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F18A" w14:textId="77777777" w:rsidR="002A72C5" w:rsidRPr="00C8556E" w:rsidRDefault="002A72C5">
      <w:pPr>
        <w:pStyle w:val="BodyText"/>
        <w:rPr>
          <w:sz w:val="20"/>
          <w:lang w:val="el-GR"/>
        </w:rPr>
      </w:pPr>
    </w:p>
    <w:p w14:paraId="05C5F355" w14:textId="77777777" w:rsidR="002A72C5" w:rsidRDefault="002A72C5">
      <w:pPr>
        <w:pStyle w:val="BodyText"/>
        <w:rPr>
          <w:sz w:val="20"/>
        </w:rPr>
      </w:pPr>
    </w:p>
    <w:p w14:paraId="1614C033" w14:textId="77777777" w:rsidR="002A72C5" w:rsidRDefault="002A72C5">
      <w:pPr>
        <w:pStyle w:val="BodyText"/>
        <w:rPr>
          <w:sz w:val="20"/>
        </w:rPr>
      </w:pPr>
    </w:p>
    <w:p w14:paraId="351E2079" w14:textId="77777777" w:rsidR="002A72C5" w:rsidRDefault="002A72C5">
      <w:pPr>
        <w:pStyle w:val="BodyText"/>
        <w:rPr>
          <w:sz w:val="20"/>
        </w:rPr>
      </w:pPr>
    </w:p>
    <w:p w14:paraId="5FD0816B" w14:textId="77777777" w:rsidR="002A72C5" w:rsidRDefault="002A72C5">
      <w:pPr>
        <w:pStyle w:val="BodyText"/>
        <w:rPr>
          <w:sz w:val="20"/>
        </w:rPr>
      </w:pPr>
    </w:p>
    <w:p w14:paraId="5D01E04D" w14:textId="77777777" w:rsidR="002A72C5" w:rsidRDefault="002A72C5">
      <w:pPr>
        <w:pStyle w:val="BodyText"/>
        <w:rPr>
          <w:sz w:val="20"/>
        </w:rPr>
      </w:pPr>
    </w:p>
    <w:p w14:paraId="2C06E289" w14:textId="44252977" w:rsidR="002A72C5" w:rsidRDefault="002A72C5">
      <w:pPr>
        <w:pStyle w:val="BodyText"/>
        <w:rPr>
          <w:sz w:val="20"/>
        </w:rPr>
      </w:pPr>
    </w:p>
    <w:p w14:paraId="1F2D5F37" w14:textId="77777777" w:rsidR="002A72C5" w:rsidRDefault="002A72C5">
      <w:pPr>
        <w:pStyle w:val="BodyText"/>
        <w:rPr>
          <w:sz w:val="20"/>
        </w:rPr>
      </w:pPr>
    </w:p>
    <w:p w14:paraId="2AAA725C" w14:textId="77777777" w:rsidR="002A72C5" w:rsidRDefault="002A72C5">
      <w:pPr>
        <w:pStyle w:val="BodyText"/>
        <w:rPr>
          <w:sz w:val="20"/>
        </w:rPr>
      </w:pPr>
    </w:p>
    <w:p w14:paraId="67F201CB" w14:textId="77777777" w:rsidR="002A72C5" w:rsidRDefault="002A72C5">
      <w:pPr>
        <w:pStyle w:val="BodyText"/>
        <w:rPr>
          <w:sz w:val="20"/>
        </w:rPr>
      </w:pPr>
    </w:p>
    <w:p w14:paraId="4A3BC8CC" w14:textId="77777777" w:rsidR="002A72C5" w:rsidRDefault="002A72C5">
      <w:pPr>
        <w:pStyle w:val="BodyText"/>
        <w:rPr>
          <w:sz w:val="20"/>
        </w:rPr>
      </w:pPr>
    </w:p>
    <w:p w14:paraId="72932434" w14:textId="77777777" w:rsidR="002A72C5" w:rsidRDefault="002A72C5">
      <w:pPr>
        <w:pStyle w:val="BodyText"/>
        <w:rPr>
          <w:sz w:val="20"/>
        </w:rPr>
      </w:pPr>
    </w:p>
    <w:p w14:paraId="11E0E6E3" w14:textId="77777777" w:rsidR="002A72C5" w:rsidRDefault="002A72C5">
      <w:pPr>
        <w:pStyle w:val="BodyText"/>
        <w:rPr>
          <w:sz w:val="20"/>
        </w:rPr>
      </w:pPr>
    </w:p>
    <w:p w14:paraId="7C066003" w14:textId="77777777" w:rsidR="002A72C5" w:rsidRDefault="002A72C5">
      <w:pPr>
        <w:pStyle w:val="BodyText"/>
        <w:rPr>
          <w:sz w:val="20"/>
        </w:rPr>
      </w:pPr>
    </w:p>
    <w:p w14:paraId="1B9E5338" w14:textId="77777777" w:rsidR="002A72C5" w:rsidRDefault="002A72C5">
      <w:pPr>
        <w:pStyle w:val="BodyText"/>
        <w:spacing w:before="6"/>
        <w:rPr>
          <w:sz w:val="24"/>
        </w:rPr>
      </w:pPr>
    </w:p>
    <w:p w14:paraId="23EB5633" w14:textId="596E447A" w:rsidR="002A72C5" w:rsidRDefault="00374FB9">
      <w:pPr>
        <w:pStyle w:val="BodyText"/>
        <w:spacing w:line="20" w:lineRule="exact"/>
        <w:ind w:left="140"/>
        <w:rPr>
          <w:sz w:val="2"/>
        </w:rPr>
      </w:pPr>
      <w:r>
        <w:rPr>
          <w:noProof/>
          <w:sz w:val="2"/>
        </w:rPr>
        <mc:AlternateContent>
          <mc:Choice Requires="wpg">
            <w:drawing>
              <wp:inline distT="0" distB="0" distL="0" distR="0" wp14:anchorId="1BDBBE71" wp14:editId="1AA8D133">
                <wp:extent cx="6047740" cy="12700"/>
                <wp:effectExtent l="0" t="0" r="3810"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12700"/>
                          <a:chOff x="0" y="0"/>
                          <a:chExt cx="9524" cy="20"/>
                        </a:xfrm>
                      </wpg:grpSpPr>
                      <wps:wsp>
                        <wps:cNvPr id="8" name="Rectangle 10"/>
                        <wps:cNvSpPr>
                          <a:spLocks noChangeArrowheads="1"/>
                        </wps:cNvSpPr>
                        <wps:spPr bwMode="auto">
                          <a:xfrm>
                            <a:off x="0" y="0"/>
                            <a:ext cx="9523" cy="19"/>
                          </a:xfrm>
                          <a:prstGeom prst="rect">
                            <a:avLst/>
                          </a:prstGeom>
                          <a:solidFill>
                            <a:srgbClr val="2222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0" y="0"/>
                            <a:ext cx="9523" cy="19"/>
                          </a:xfrm>
                          <a:prstGeom prst="rect">
                            <a:avLst/>
                          </a:prstGeom>
                          <a:solidFill>
                            <a:srgbClr val="2222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0C78974D" id="Group 8" o:spid="_x0000_s1026" style="width:476.2pt;height:1pt;mso-position-horizontal-relative:char;mso-position-vertical-relative:line" coordsize="95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">
                <v:rect id="Rectangle 10" o:spid="_x0000_s1027" style="position:absolute;width:9523;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" fillcolor="#22226d" stroked="f"/>
                <v:rect id="Rectangle 9" o:spid="_x0000_s1028" style="position:absolute;width:9523;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" fillcolor="#22226d" stroked="f"/>
                <w10:anchorlock/>
              </v:group>
            </w:pict>
          </mc:Fallback>
        </mc:AlternateContent>
      </w:r>
    </w:p>
    <w:p w14:paraId="1656A79D" w14:textId="77777777" w:rsidR="002A72C5" w:rsidRDefault="002A72C5">
      <w:pPr>
        <w:pStyle w:val="BodyText"/>
        <w:spacing w:before="6"/>
        <w:rPr>
          <w:sz w:val="23"/>
        </w:rPr>
      </w:pPr>
    </w:p>
    <w:p w14:paraId="1568F7A5" w14:textId="5CB59F82" w:rsidR="002A72C5" w:rsidRDefault="00874F8B">
      <w:pPr>
        <w:spacing w:before="51" w:line="328" w:lineRule="auto"/>
        <w:ind w:left="159" w:right="128"/>
        <w:jc w:val="center"/>
        <w:rPr>
          <w:rFonts w:ascii="Arial"/>
          <w:sz w:val="38"/>
        </w:rPr>
      </w:pPr>
      <w:r>
        <w:rPr>
          <w:rFonts w:ascii="Arial"/>
          <w:sz w:val="38"/>
        </w:rPr>
        <w:t xml:space="preserve">Third amendment of the </w:t>
      </w:r>
      <w:r w:rsidR="006A381A">
        <w:rPr>
          <w:rFonts w:ascii="Arial"/>
          <w:sz w:val="38"/>
        </w:rPr>
        <w:t>SEE CCR</w:t>
      </w:r>
      <w:r w:rsidR="009A6966">
        <w:rPr>
          <w:rFonts w:ascii="Arial"/>
          <w:sz w:val="38"/>
        </w:rPr>
        <w:t xml:space="preserve"> </w:t>
      </w:r>
      <w:r w:rsidR="007F2107">
        <w:rPr>
          <w:rFonts w:ascii="Arial"/>
          <w:sz w:val="38"/>
        </w:rPr>
        <w:t>common capacity calculation methodology for the day-ahead and intraday market time</w:t>
      </w:r>
      <w:r w:rsidR="007D1404">
        <w:rPr>
          <w:rFonts w:ascii="Arial"/>
          <w:sz w:val="38"/>
        </w:rPr>
        <w:t>-</w:t>
      </w:r>
      <w:r w:rsidR="007F2107">
        <w:rPr>
          <w:rFonts w:ascii="Arial"/>
          <w:sz w:val="38"/>
        </w:rPr>
        <w:t xml:space="preserve">frame in accordance with Article 21 of </w:t>
      </w:r>
      <w:r w:rsidR="003274F8">
        <w:rPr>
          <w:rFonts w:ascii="Arial"/>
          <w:sz w:val="38"/>
        </w:rPr>
        <w:t xml:space="preserve">the </w:t>
      </w:r>
      <w:r w:rsidR="007F2107">
        <w:rPr>
          <w:rFonts w:ascii="Arial"/>
          <w:sz w:val="38"/>
        </w:rPr>
        <w:t>Commission Regulation (EU) 2015/1222 of 24 July 2015 establishing a guideline on capacity allocation and congestion management</w:t>
      </w:r>
    </w:p>
    <w:p w14:paraId="76F144F6" w14:textId="77777777" w:rsidR="002A72C5" w:rsidRDefault="002A72C5">
      <w:pPr>
        <w:pStyle w:val="BodyText"/>
        <w:rPr>
          <w:rFonts w:ascii="Arial"/>
          <w:sz w:val="20"/>
        </w:rPr>
      </w:pPr>
    </w:p>
    <w:p w14:paraId="20EF9146" w14:textId="77777777" w:rsidR="002A72C5" w:rsidRDefault="002A72C5">
      <w:pPr>
        <w:pStyle w:val="BodyText"/>
        <w:rPr>
          <w:rFonts w:ascii="Arial"/>
          <w:sz w:val="20"/>
        </w:rPr>
      </w:pPr>
    </w:p>
    <w:p w14:paraId="21A4E04E" w14:textId="1F4E5089" w:rsidR="002A72C5" w:rsidRDefault="00374FB9">
      <w:pPr>
        <w:pStyle w:val="BodyText"/>
        <w:spacing w:before="2"/>
        <w:rPr>
          <w:rFonts w:ascii="Arial"/>
          <w:sz w:val="11"/>
        </w:rPr>
      </w:pPr>
      <w:r>
        <w:rPr>
          <w:noProof/>
        </w:rPr>
        <mc:AlternateContent>
          <mc:Choice Requires="wps">
            <w:drawing>
              <wp:anchor distT="0" distB="0" distL="0" distR="0" simplePos="0" relativeHeight="1048" behindDoc="0" locked="0" layoutInCell="1" allowOverlap="1" wp14:anchorId="5825AAB3" wp14:editId="17833328">
                <wp:simplePos x="0" y="0"/>
                <wp:positionH relativeFrom="page">
                  <wp:posOffset>854710</wp:posOffset>
                </wp:positionH>
                <wp:positionV relativeFrom="paragraph">
                  <wp:posOffset>113030</wp:posOffset>
                </wp:positionV>
                <wp:extent cx="6056630" cy="0"/>
                <wp:effectExtent l="6985" t="12065" r="13335" b="698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66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FD8BF38" id="Line 7"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3pt,8.9pt" to="544.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" strokeweight=".96pt">
                <w10:wrap type="topAndBottom" anchorx="page"/>
              </v:line>
            </w:pict>
          </mc:Fallback>
        </mc:AlternateContent>
      </w:r>
    </w:p>
    <w:p w14:paraId="4D3DDAD0" w14:textId="77777777" w:rsidR="002A72C5" w:rsidRDefault="002A72C5">
      <w:pPr>
        <w:pStyle w:val="BodyText"/>
        <w:spacing w:before="6"/>
        <w:rPr>
          <w:rFonts w:ascii="Arial"/>
          <w:sz w:val="6"/>
        </w:rPr>
      </w:pPr>
    </w:p>
    <w:p w14:paraId="59004C88" w14:textId="2DB79C5F" w:rsidR="002A72C5" w:rsidRDefault="00374FB9">
      <w:pPr>
        <w:pStyle w:val="BodyText"/>
        <w:spacing w:line="20" w:lineRule="exact"/>
        <w:ind w:left="116"/>
        <w:rPr>
          <w:rFonts w:ascii="Arial"/>
          <w:sz w:val="2"/>
        </w:rPr>
      </w:pPr>
      <w:r>
        <w:rPr>
          <w:rFonts w:ascii="Arial"/>
          <w:noProof/>
          <w:sz w:val="2"/>
        </w:rPr>
        <mc:AlternateContent>
          <mc:Choice Requires="wpg">
            <w:drawing>
              <wp:inline distT="0" distB="0" distL="0" distR="0" wp14:anchorId="368488B3" wp14:editId="3886FD7E">
                <wp:extent cx="6069330" cy="12700"/>
                <wp:effectExtent l="1905" t="5715" r="5715" b="63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0"/>
                          <a:chOff x="0" y="0"/>
                          <a:chExt cx="9558" cy="20"/>
                        </a:xfrm>
                      </wpg:grpSpPr>
                      <wps:wsp>
                        <wps:cNvPr id="5" name="Line 6"/>
                        <wps:cNvCnPr/>
                        <wps:spPr bwMode="auto">
                          <a:xfrm>
                            <a:off x="10" y="10"/>
                            <a:ext cx="953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371DA2A6" id="Group 5" o:spid="_x0000_s1026" style="width:477.9pt;height:1pt;mso-position-horizontal-relative:char;mso-position-vertical-relative:line" coordsize="95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">
                <v:line id="Line 6" o:spid="_x0000_s1027" style="position:absolute;visibility:visible;mso-wrap-style:square" from="10,10" to="95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w10:anchorlock/>
              </v:group>
            </w:pict>
          </mc:Fallback>
        </mc:AlternateContent>
      </w:r>
    </w:p>
    <w:p w14:paraId="7B84D79E" w14:textId="77777777" w:rsidR="002A72C5" w:rsidRDefault="002A72C5">
      <w:pPr>
        <w:pStyle w:val="BodyText"/>
        <w:rPr>
          <w:rFonts w:ascii="Arial"/>
          <w:sz w:val="16"/>
        </w:rPr>
      </w:pPr>
    </w:p>
    <w:p w14:paraId="3250BCEA" w14:textId="3458B831" w:rsidR="002A72C5" w:rsidRDefault="00E95C2E">
      <w:pPr>
        <w:pStyle w:val="Heading1"/>
        <w:ind w:left="148" w:right="128"/>
        <w:jc w:val="center"/>
      </w:pPr>
      <w:r>
        <w:rPr>
          <w:color w:val="22226D"/>
        </w:rPr>
        <w:t xml:space="preserve">May </w:t>
      </w:r>
      <w:r w:rsidR="00A1084C">
        <w:rPr>
          <w:color w:val="22226D"/>
        </w:rPr>
        <w:t>2025</w:t>
      </w:r>
    </w:p>
    <w:p w14:paraId="5E6C21DE" w14:textId="77777777" w:rsidR="002A72C5" w:rsidRDefault="002A72C5">
      <w:pPr>
        <w:pStyle w:val="BodyText"/>
        <w:rPr>
          <w:rFonts w:ascii="Arial"/>
          <w:b/>
          <w:sz w:val="20"/>
        </w:rPr>
      </w:pPr>
    </w:p>
    <w:p w14:paraId="755C18B6" w14:textId="77777777" w:rsidR="002A72C5" w:rsidRDefault="002A72C5">
      <w:pPr>
        <w:pStyle w:val="BodyText"/>
        <w:rPr>
          <w:rFonts w:ascii="Arial"/>
          <w:b/>
          <w:sz w:val="20"/>
        </w:rPr>
      </w:pPr>
    </w:p>
    <w:p w14:paraId="692D00DD" w14:textId="77777777" w:rsidR="002A72C5" w:rsidRDefault="002A72C5">
      <w:pPr>
        <w:pStyle w:val="BodyText"/>
        <w:rPr>
          <w:rFonts w:ascii="Arial"/>
          <w:b/>
          <w:sz w:val="20"/>
        </w:rPr>
      </w:pPr>
    </w:p>
    <w:p w14:paraId="7E871D23" w14:textId="77777777" w:rsidR="002A72C5" w:rsidRDefault="002A72C5">
      <w:pPr>
        <w:pStyle w:val="BodyText"/>
        <w:rPr>
          <w:rFonts w:ascii="Arial"/>
          <w:b/>
          <w:sz w:val="20"/>
        </w:rPr>
      </w:pPr>
    </w:p>
    <w:p w14:paraId="2075B56A" w14:textId="77777777" w:rsidR="002A72C5" w:rsidRDefault="002A72C5">
      <w:pPr>
        <w:pStyle w:val="BodyText"/>
        <w:rPr>
          <w:rFonts w:ascii="Arial"/>
          <w:b/>
          <w:sz w:val="20"/>
        </w:rPr>
      </w:pPr>
    </w:p>
    <w:p w14:paraId="5EBD53FC" w14:textId="77777777" w:rsidR="002A72C5" w:rsidRDefault="002A72C5">
      <w:pPr>
        <w:pStyle w:val="BodyText"/>
        <w:rPr>
          <w:rFonts w:ascii="Arial"/>
          <w:b/>
          <w:sz w:val="20"/>
        </w:rPr>
      </w:pPr>
    </w:p>
    <w:p w14:paraId="204BD865" w14:textId="77777777" w:rsidR="002A72C5" w:rsidRDefault="002A72C5">
      <w:pPr>
        <w:pStyle w:val="BodyText"/>
        <w:rPr>
          <w:rFonts w:ascii="Arial"/>
          <w:b/>
          <w:sz w:val="20"/>
        </w:rPr>
      </w:pPr>
    </w:p>
    <w:p w14:paraId="18B9591C" w14:textId="77777777" w:rsidR="002A72C5" w:rsidRDefault="002A72C5">
      <w:pPr>
        <w:pStyle w:val="BodyText"/>
        <w:rPr>
          <w:rFonts w:ascii="Arial"/>
          <w:b/>
          <w:sz w:val="20"/>
        </w:rPr>
      </w:pPr>
    </w:p>
    <w:p w14:paraId="199C466A" w14:textId="77777777" w:rsidR="002A72C5" w:rsidRDefault="002A72C5">
      <w:pPr>
        <w:pStyle w:val="BodyText"/>
        <w:rPr>
          <w:rFonts w:ascii="Arial"/>
          <w:b/>
          <w:sz w:val="20"/>
        </w:rPr>
      </w:pPr>
    </w:p>
    <w:p w14:paraId="1B460FAD" w14:textId="77777777" w:rsidR="002A72C5" w:rsidRDefault="002A72C5">
      <w:pPr>
        <w:pStyle w:val="BodyText"/>
        <w:rPr>
          <w:rFonts w:ascii="Arial"/>
          <w:b/>
          <w:sz w:val="20"/>
        </w:rPr>
      </w:pPr>
    </w:p>
    <w:p w14:paraId="69D4180B" w14:textId="77777777" w:rsidR="002A72C5" w:rsidRDefault="002A72C5">
      <w:pPr>
        <w:pStyle w:val="BodyText"/>
        <w:rPr>
          <w:rFonts w:ascii="Arial"/>
          <w:b/>
          <w:sz w:val="20"/>
        </w:rPr>
      </w:pPr>
    </w:p>
    <w:p w14:paraId="08AB40AE" w14:textId="77777777" w:rsidR="002A72C5" w:rsidRDefault="002A72C5">
      <w:pPr>
        <w:pStyle w:val="BodyText"/>
        <w:rPr>
          <w:rFonts w:ascii="Arial"/>
          <w:b/>
          <w:sz w:val="20"/>
        </w:rPr>
      </w:pPr>
    </w:p>
    <w:p w14:paraId="2CDD0F28" w14:textId="77777777" w:rsidR="002A72C5" w:rsidRDefault="002A72C5">
      <w:pPr>
        <w:pStyle w:val="BodyText"/>
        <w:rPr>
          <w:rFonts w:ascii="Arial"/>
          <w:b/>
          <w:sz w:val="20"/>
        </w:rPr>
      </w:pPr>
    </w:p>
    <w:p w14:paraId="379B30FF" w14:textId="77777777" w:rsidR="002A72C5" w:rsidRDefault="002A72C5">
      <w:pPr>
        <w:pStyle w:val="BodyText"/>
        <w:rPr>
          <w:rFonts w:ascii="Arial"/>
          <w:b/>
          <w:sz w:val="20"/>
        </w:rPr>
      </w:pPr>
    </w:p>
    <w:p w14:paraId="57B37AB5" w14:textId="77777777" w:rsidR="002A72C5" w:rsidRDefault="002A72C5">
      <w:pPr>
        <w:pStyle w:val="BodyText"/>
        <w:rPr>
          <w:rFonts w:ascii="Arial"/>
          <w:b/>
          <w:sz w:val="20"/>
        </w:rPr>
      </w:pPr>
    </w:p>
    <w:p w14:paraId="1B7743F4" w14:textId="77777777" w:rsidR="002A72C5" w:rsidRDefault="002A72C5">
      <w:pPr>
        <w:pStyle w:val="BodyText"/>
        <w:rPr>
          <w:rFonts w:ascii="Arial"/>
          <w:b/>
          <w:sz w:val="20"/>
        </w:rPr>
      </w:pPr>
    </w:p>
    <w:p w14:paraId="4976A515" w14:textId="77777777" w:rsidR="002A72C5" w:rsidRDefault="002A72C5">
      <w:pPr>
        <w:pStyle w:val="BodyText"/>
        <w:rPr>
          <w:rFonts w:ascii="Arial"/>
          <w:b/>
          <w:sz w:val="20"/>
        </w:rPr>
      </w:pPr>
    </w:p>
    <w:p w14:paraId="67A7EE5E" w14:textId="77777777" w:rsidR="002A72C5" w:rsidRDefault="002A72C5">
      <w:pPr>
        <w:pStyle w:val="BodyText"/>
        <w:rPr>
          <w:rFonts w:ascii="Arial"/>
          <w:b/>
          <w:sz w:val="20"/>
        </w:rPr>
      </w:pPr>
    </w:p>
    <w:p w14:paraId="307080E3" w14:textId="77777777" w:rsidR="002A72C5" w:rsidRDefault="002A72C5">
      <w:pPr>
        <w:pStyle w:val="BodyText"/>
        <w:rPr>
          <w:rFonts w:ascii="Arial"/>
          <w:b/>
          <w:sz w:val="20"/>
        </w:rPr>
      </w:pPr>
    </w:p>
    <w:p w14:paraId="670D5E27" w14:textId="77777777" w:rsidR="002A72C5" w:rsidRDefault="002A72C5">
      <w:pPr>
        <w:pStyle w:val="BodyText"/>
        <w:rPr>
          <w:rFonts w:ascii="Arial"/>
          <w:b/>
          <w:sz w:val="20"/>
        </w:rPr>
      </w:pPr>
    </w:p>
    <w:p w14:paraId="06E1E845" w14:textId="77777777" w:rsidR="002A72C5" w:rsidRDefault="002A72C5">
      <w:pPr>
        <w:pStyle w:val="BodyText"/>
        <w:rPr>
          <w:rFonts w:ascii="Arial"/>
          <w:b/>
          <w:sz w:val="20"/>
        </w:rPr>
      </w:pPr>
    </w:p>
    <w:p w14:paraId="23985A56" w14:textId="77777777" w:rsidR="002A72C5" w:rsidRDefault="002A72C5">
      <w:pPr>
        <w:pStyle w:val="BodyText"/>
        <w:rPr>
          <w:rFonts w:ascii="Arial"/>
          <w:b/>
          <w:sz w:val="20"/>
        </w:rPr>
      </w:pPr>
    </w:p>
    <w:p w14:paraId="26CE62B8" w14:textId="77777777" w:rsidR="002A72C5" w:rsidRDefault="002A72C5">
      <w:pPr>
        <w:pStyle w:val="BodyText"/>
        <w:rPr>
          <w:rFonts w:ascii="Arial"/>
          <w:b/>
          <w:sz w:val="20"/>
        </w:rPr>
      </w:pPr>
    </w:p>
    <w:p w14:paraId="56ADFFA3" w14:textId="77777777" w:rsidR="002A72C5" w:rsidRDefault="002A72C5">
      <w:pPr>
        <w:pStyle w:val="BodyText"/>
        <w:rPr>
          <w:rFonts w:ascii="Arial"/>
          <w:b/>
          <w:sz w:val="20"/>
        </w:rPr>
      </w:pPr>
    </w:p>
    <w:p w14:paraId="6C350566" w14:textId="77777777" w:rsidR="002A72C5" w:rsidRDefault="002A72C5">
      <w:pPr>
        <w:pStyle w:val="BodyText"/>
        <w:spacing w:before="6"/>
        <w:rPr>
          <w:rFonts w:ascii="Arial"/>
          <w:b/>
          <w:sz w:val="11"/>
        </w:rPr>
      </w:pPr>
    </w:p>
    <w:p w14:paraId="491D1D8E" w14:textId="77777777" w:rsidR="002A72C5" w:rsidRDefault="002A72C5">
      <w:pPr>
        <w:rPr>
          <w:rFonts w:ascii="Arial"/>
          <w:sz w:val="11"/>
        </w:rPr>
        <w:sectPr w:rsidR="002A72C5" w:rsidSect="00CD3DAD">
          <w:type w:val="continuous"/>
          <w:pgSz w:w="11900" w:h="16840"/>
          <w:pgMar w:top="1600" w:right="900" w:bottom="0" w:left="1220" w:header="720" w:footer="720" w:gutter="0"/>
          <w:cols w:space="720"/>
        </w:sectPr>
      </w:pPr>
    </w:p>
    <w:p w14:paraId="4093C3B3" w14:textId="0C5DB070" w:rsidR="002A72C5" w:rsidRDefault="007F2107" w:rsidP="007974DE">
      <w:pPr>
        <w:pStyle w:val="BodyText"/>
        <w:ind w:left="119"/>
      </w:pPr>
      <w:r>
        <w:lastRenderedPageBreak/>
        <w:t>TSOs</w:t>
      </w:r>
      <w:r w:rsidR="007D1404">
        <w:t xml:space="preserve"> of the SEE CCR</w:t>
      </w:r>
      <w:r>
        <w:t>, taking into account the following:</w:t>
      </w:r>
    </w:p>
    <w:p w14:paraId="7FC771CE" w14:textId="77777777" w:rsidR="002A72C5" w:rsidRDefault="002A72C5">
      <w:pPr>
        <w:pStyle w:val="BodyText"/>
      </w:pPr>
    </w:p>
    <w:p w14:paraId="2165EC7D" w14:textId="77777777" w:rsidR="002A72C5" w:rsidRDefault="002A72C5">
      <w:pPr>
        <w:pStyle w:val="BodyText"/>
        <w:spacing w:before="4"/>
        <w:rPr>
          <w:sz w:val="17"/>
        </w:rPr>
      </w:pPr>
    </w:p>
    <w:p w14:paraId="5E2E4C9A" w14:textId="77777777" w:rsidR="002A72C5" w:rsidRDefault="007F2107" w:rsidP="00457547">
      <w:pPr>
        <w:pStyle w:val="Title1"/>
      </w:pPr>
      <w:bookmarkStart w:id="0" w:name="_TOC_250004"/>
      <w:bookmarkEnd w:id="0"/>
      <w:r>
        <w:t>Whereas</w:t>
      </w:r>
    </w:p>
    <w:p w14:paraId="313D9DF1" w14:textId="6AD1DABE" w:rsidR="002A72C5" w:rsidRDefault="007F2107" w:rsidP="00FA1E37">
      <w:pPr>
        <w:pStyle w:val="ListParagraph"/>
        <w:numPr>
          <w:ilvl w:val="0"/>
          <w:numId w:val="14"/>
        </w:numPr>
        <w:tabs>
          <w:tab w:val="left" w:pos="1115"/>
        </w:tabs>
        <w:spacing w:before="131" w:after="200" w:line="259" w:lineRule="auto"/>
        <w:ind w:left="1117" w:right="0" w:hanging="635"/>
      </w:pPr>
      <w:r>
        <w:t>This document (hereafter referred to as “common capacity calculation methodology”,</w:t>
      </w:r>
      <w:r>
        <w:rPr>
          <w:spacing w:val="-5"/>
        </w:rPr>
        <w:t xml:space="preserve"> </w:t>
      </w:r>
      <w:r>
        <w:t>or</w:t>
      </w:r>
      <w:r>
        <w:rPr>
          <w:spacing w:val="-4"/>
        </w:rPr>
        <w:t xml:space="preserve"> </w:t>
      </w:r>
      <w:r>
        <w:t>“</w:t>
      </w:r>
      <w:r w:rsidR="00B47A7E">
        <w:t>this</w:t>
      </w:r>
      <w:r>
        <w:rPr>
          <w:spacing w:val="-7"/>
        </w:rPr>
        <w:t xml:space="preserve"> </w:t>
      </w:r>
      <w:r>
        <w:t>methodology”)</w:t>
      </w:r>
      <w:r>
        <w:rPr>
          <w:spacing w:val="-5"/>
        </w:rPr>
        <w:t xml:space="preserve"> </w:t>
      </w:r>
      <w:r>
        <w:t>is</w:t>
      </w:r>
      <w:r>
        <w:rPr>
          <w:spacing w:val="-6"/>
        </w:rPr>
        <w:t xml:space="preserve"> </w:t>
      </w:r>
      <w:r>
        <w:t xml:space="preserve">a common proposal developed by all Transmission System Operators (hereafter referred to as “TSOs”) within the </w:t>
      </w:r>
      <w:r w:rsidR="00EF6571">
        <w:t xml:space="preserve">South East Europe </w:t>
      </w:r>
      <w:r>
        <w:t>Capacity Calculation Region (hereafter referred to as “</w:t>
      </w:r>
      <w:r w:rsidR="00EF6571">
        <w:t xml:space="preserve">SEE </w:t>
      </w:r>
      <w:r w:rsidR="00CE7B7B">
        <w:t xml:space="preserve">Capacity Calculation </w:t>
      </w:r>
      <w:r>
        <w:t>Region”</w:t>
      </w:r>
      <w:r w:rsidR="00FE7DCA">
        <w:t xml:space="preserve"> or “SEE CCR”</w:t>
      </w:r>
      <w:r>
        <w:t>)</w:t>
      </w:r>
      <w:r w:rsidR="00C334C4">
        <w:t xml:space="preserve">, </w:t>
      </w:r>
      <w:r>
        <w:t>on</w:t>
      </w:r>
      <w:r>
        <w:rPr>
          <w:spacing w:val="-9"/>
        </w:rPr>
        <w:t xml:space="preserve"> </w:t>
      </w:r>
      <w:r>
        <w:t>the</w:t>
      </w:r>
      <w:r>
        <w:rPr>
          <w:spacing w:val="-9"/>
        </w:rPr>
        <w:t xml:space="preserve"> </w:t>
      </w:r>
      <w:r>
        <w:t>common</w:t>
      </w:r>
      <w:r>
        <w:rPr>
          <w:spacing w:val="-7"/>
        </w:rPr>
        <w:t xml:space="preserve"> </w:t>
      </w:r>
      <w:r>
        <w:t>capacity</w:t>
      </w:r>
      <w:r>
        <w:rPr>
          <w:spacing w:val="-9"/>
        </w:rPr>
        <w:t xml:space="preserve"> </w:t>
      </w:r>
      <w:r>
        <w:t>calculation</w:t>
      </w:r>
      <w:r>
        <w:rPr>
          <w:spacing w:val="-7"/>
        </w:rPr>
        <w:t xml:space="preserve"> </w:t>
      </w:r>
      <w:r>
        <w:t>performed</w:t>
      </w:r>
      <w:r>
        <w:rPr>
          <w:spacing w:val="-7"/>
        </w:rPr>
        <w:t xml:space="preserve"> </w:t>
      </w:r>
      <w:r>
        <w:t>for</w:t>
      </w:r>
      <w:r>
        <w:rPr>
          <w:spacing w:val="-9"/>
        </w:rPr>
        <w:t xml:space="preserve"> </w:t>
      </w:r>
      <w:r>
        <w:t>the</w:t>
      </w:r>
      <w:r>
        <w:rPr>
          <w:spacing w:val="-7"/>
        </w:rPr>
        <w:t xml:space="preserve"> </w:t>
      </w:r>
      <w:r>
        <w:t>capacity</w:t>
      </w:r>
      <w:r>
        <w:rPr>
          <w:spacing w:val="-9"/>
        </w:rPr>
        <w:t xml:space="preserve"> </w:t>
      </w:r>
      <w:r>
        <w:t>allocation</w:t>
      </w:r>
      <w:r>
        <w:rPr>
          <w:spacing w:val="-7"/>
        </w:rPr>
        <w:t xml:space="preserve"> </w:t>
      </w:r>
      <w:r>
        <w:t xml:space="preserve">within the day-ahead and intraday market timeframes. This proposal is required by Article 20 (2) and developed in accordance with Article 21 of </w:t>
      </w:r>
      <w:r w:rsidR="0006582A">
        <w:t xml:space="preserve">Commission Regulation (EU) 2015/1222 of 24 July 2015 establishing a guideline on Capacity Allocation and Congestion Management (hereafter referred to as the </w:t>
      </w:r>
      <w:r>
        <w:t>“CACM</w:t>
      </w:r>
      <w:r>
        <w:rPr>
          <w:spacing w:val="-9"/>
        </w:rPr>
        <w:t xml:space="preserve"> </w:t>
      </w:r>
      <w:r>
        <w:t>Regulation”</w:t>
      </w:r>
      <w:r w:rsidR="0006582A">
        <w:t>)</w:t>
      </w:r>
      <w:r>
        <w:t>.</w:t>
      </w:r>
    </w:p>
    <w:p w14:paraId="07D36548" w14:textId="62D187D5" w:rsidR="002A72C5" w:rsidRPr="009C093F" w:rsidRDefault="007F2107" w:rsidP="00FA1E37">
      <w:pPr>
        <w:pStyle w:val="ListParagraph"/>
        <w:numPr>
          <w:ilvl w:val="0"/>
          <w:numId w:val="14"/>
        </w:numPr>
        <w:tabs>
          <w:tab w:val="left" w:pos="1115"/>
        </w:tabs>
        <w:spacing w:after="200" w:line="259" w:lineRule="auto"/>
        <w:ind w:left="1117" w:right="0" w:hanging="635"/>
      </w:pPr>
      <w:r>
        <w:t>This proposal (hereafter referred to as the “</w:t>
      </w:r>
      <w:r w:rsidR="00C82EB6">
        <w:t xml:space="preserve">common capacity calculation </w:t>
      </w:r>
      <w:r>
        <w:t xml:space="preserve">methodology Proposal”) takes into account the general principles and goals set in </w:t>
      </w:r>
      <w:r w:rsidR="00A95D52">
        <w:t xml:space="preserve">the </w:t>
      </w:r>
      <w:r>
        <w:t xml:space="preserve">CACM Regulation as well as Regulation (EC) No 714/2009 of the European Parliament and of the Council of 13 July 2009 on conditions for access to the network for cross-border exchanges in electricity </w:t>
      </w:r>
      <w:r w:rsidR="0046747F">
        <w:t xml:space="preserve">and repealing Regulation (EC) No 1228/2003 </w:t>
      </w:r>
      <w:r>
        <w:t>(hereafter referred to as “Regulation (EC) No</w:t>
      </w:r>
      <w:r>
        <w:rPr>
          <w:spacing w:val="-18"/>
        </w:rPr>
        <w:t xml:space="preserve"> </w:t>
      </w:r>
      <w:r>
        <w:t>714/2009”).</w:t>
      </w:r>
    </w:p>
    <w:p w14:paraId="7CE2F733" w14:textId="3DCE9F4D" w:rsidR="00D31178" w:rsidRDefault="00D31178" w:rsidP="00097A6E">
      <w:pPr>
        <w:pStyle w:val="ListParagraph"/>
        <w:numPr>
          <w:ilvl w:val="0"/>
          <w:numId w:val="14"/>
        </w:numPr>
        <w:tabs>
          <w:tab w:val="left" w:pos="1115"/>
        </w:tabs>
        <w:spacing w:after="200" w:line="259" w:lineRule="auto"/>
        <w:ind w:left="1117" w:right="0" w:hanging="635"/>
      </w:pPr>
      <w:r>
        <w:rPr>
          <w:lang w:val="el-GR"/>
        </w:rPr>
        <w:t>Τ</w:t>
      </w:r>
      <w:r>
        <w:t xml:space="preserve">his methodology </w:t>
      </w:r>
      <w:r w:rsidRPr="009C093F">
        <w:t>takes into account the general principles and goals set in the CACM Regulation, while respecting the principles set in the Regulation (EC) 2019/943 of the European Parliament and of the Council of 5 June 2019 on the internal market for electricity (recast) (hereafter referred to as “Regulation (EC) 2019/943”). In addition, this methodology takes into account the effective structure of the gr</w:t>
      </w:r>
      <w:r w:rsidRPr="00D31178">
        <w:t xml:space="preserve">id and the borders between </w:t>
      </w:r>
      <w:r>
        <w:t xml:space="preserve">SEE </w:t>
      </w:r>
      <w:r w:rsidRPr="009C093F">
        <w:t>and Third Countries by establishing TSO-TSO based contractual frameworks to include Third Countries as Technical Counterparties. Therefore, this methodology takes into account Technical Counterparties' grid elements.</w:t>
      </w:r>
    </w:p>
    <w:p w14:paraId="50FC6103" w14:textId="3AC21547" w:rsidR="00A024C2" w:rsidRPr="009C093F" w:rsidRDefault="00A024C2" w:rsidP="00097A6E">
      <w:pPr>
        <w:pStyle w:val="ListParagraph"/>
        <w:numPr>
          <w:ilvl w:val="0"/>
          <w:numId w:val="14"/>
        </w:numPr>
        <w:tabs>
          <w:tab w:val="left" w:pos="1115"/>
        </w:tabs>
        <w:spacing w:after="200" w:line="259" w:lineRule="auto"/>
        <w:ind w:left="1117" w:right="0" w:hanging="635"/>
      </w:pPr>
      <w:r>
        <w:t xml:space="preserve">This methodology </w:t>
      </w:r>
      <w:r w:rsidRPr="009C093F">
        <w:t xml:space="preserve">takes into account the general principles and goals set in CACM Regulation. Ensuring optimal use of the transmission infrastructure and operational security, which are among the objectives of capacity allocation and congestion management cooperation, laid down by Article 3 of CACM Regulation, requires the inclusion of Third Countries’ grid elements in the capacity calculation process of </w:t>
      </w:r>
      <w:r>
        <w:t>SEE</w:t>
      </w:r>
      <w:r w:rsidRPr="009C093F">
        <w:t xml:space="preserve"> CCR. CACM Regulation’s objectives cannot be achieved in any other way but by including Third Countries’ grid elements. This inclusion is in line with Article 13 of Commission Regulation (EU) 2017/1485 of 2 August 2017 establishing a guideline on electricity transmission system operation (hereafter referred to as “SOGL Regulation”), providing that EU TSOs must establish “</w:t>
      </w:r>
      <w:r w:rsidRPr="009C093F">
        <w:rPr>
          <w:i/>
          <w:iCs/>
        </w:rPr>
        <w:t>cooperation concerning secure system operation</w:t>
      </w:r>
      <w:r w:rsidRPr="009C093F">
        <w:t xml:space="preserve">” with non-EU TSOs belonging to the same synchronous area via an agreement with these non-EU TSOs. In order to comply with the requirement laid down by EU Regulation, this methodology includes Third Countries as Technical Counterparties. </w:t>
      </w:r>
      <w:r w:rsidRPr="00A024C2">
        <w:t xml:space="preserve">TSOs of </w:t>
      </w:r>
      <w:r>
        <w:t>SEE</w:t>
      </w:r>
      <w:r w:rsidRPr="009C093F">
        <w:t xml:space="preserve"> CCR will conclude</w:t>
      </w:r>
      <w:r w:rsidR="003E2C0A">
        <w:t xml:space="preserve"> to</w:t>
      </w:r>
      <w:r w:rsidRPr="009C093F">
        <w:t xml:space="preserve"> an agreement with relevant Technical Counterparties. In order to be taken into consideration in the capacity calculation process and enter into a TSO-TSO based contractual framework, Technical Counterparties must fulfil the conditions laid down by Article 1.3 of the “</w:t>
      </w:r>
      <w:r w:rsidRPr="009C093F">
        <w:rPr>
          <w:i/>
          <w:iCs/>
        </w:rPr>
        <w:t>All TSOs’ proposal for a common grid model methodology in accordance with Article 17 of Commission Regulation (EU) 2015/1222 of 24 July 2015 establishing a guideline on capacity allocation and congestion management</w:t>
      </w:r>
      <w:r w:rsidRPr="009C093F">
        <w:t>”, applicable to TSOs from jurisdictions outside the area referred to in Article 1(2) of the CACM Regulation. T</w:t>
      </w:r>
      <w:r w:rsidRPr="00A024C2">
        <w:t xml:space="preserve">he agreement between </w:t>
      </w:r>
      <w:r>
        <w:t>SEE</w:t>
      </w:r>
      <w:r w:rsidRPr="009C093F">
        <w:t xml:space="preserve"> CCR TSOs and the Technica</w:t>
      </w:r>
      <w:r w:rsidRPr="00A024C2">
        <w:t xml:space="preserve">l Counterparty will include </w:t>
      </w:r>
      <w:r>
        <w:t xml:space="preserve">the </w:t>
      </w:r>
      <w:r w:rsidRPr="009C093F">
        <w:t>CCC methodology’s provisions and ensure that the Technical Counterparty is contractually bound by the same obligations as the ones binding upon TSOs of t</w:t>
      </w:r>
      <w:r w:rsidRPr="00A024C2">
        <w:t xml:space="preserve">he </w:t>
      </w:r>
      <w:r>
        <w:t>SEE</w:t>
      </w:r>
      <w:r w:rsidRPr="009C093F">
        <w:t xml:space="preserve"> CCR by virtue of EU Regulations. Such agreement will govern mutual obligations and responsibilities of the Technical Count</w:t>
      </w:r>
      <w:r w:rsidRPr="00A024C2">
        <w:t xml:space="preserve">erparty with TSOs of </w:t>
      </w:r>
      <w:r>
        <w:t>SEE</w:t>
      </w:r>
      <w:r w:rsidRPr="009C093F">
        <w:t xml:space="preserve"> CCR in relation to the capacity calculation process. Ensuring optimal use of the transmission infrastructure and operational security, which are among the objectives of capacity allocation and congestion management cooperation, laid down by Article 3 of </w:t>
      </w:r>
      <w:r w:rsidRPr="009C093F">
        <w:lastRenderedPageBreak/>
        <w:t>CACM Regulation, requires the inclusion of Technical Counterparties’ grid elements in the capacity ca</w:t>
      </w:r>
      <w:r w:rsidRPr="00A024C2">
        <w:t xml:space="preserve">lculation process of </w:t>
      </w:r>
      <w:r>
        <w:t>SEE</w:t>
      </w:r>
      <w:r w:rsidRPr="009C093F">
        <w:t xml:space="preserve"> CCR.</w:t>
      </w:r>
    </w:p>
    <w:p w14:paraId="02A3F90F" w14:textId="767B1BA7" w:rsidR="002A72C5" w:rsidRDefault="007F2107" w:rsidP="00FA1E37">
      <w:pPr>
        <w:pStyle w:val="ListParagraph"/>
        <w:numPr>
          <w:ilvl w:val="0"/>
          <w:numId w:val="14"/>
        </w:numPr>
        <w:tabs>
          <w:tab w:val="left" w:pos="1115"/>
        </w:tabs>
        <w:spacing w:after="200" w:line="259" w:lineRule="auto"/>
        <w:ind w:left="1117" w:right="0" w:hanging="635"/>
      </w:pPr>
      <w:r>
        <w:t xml:space="preserve">The goal of the CACM Regulation is the coordination and </w:t>
      </w:r>
      <w:r w:rsidR="009B0D74">
        <w:t>harmonization</w:t>
      </w:r>
      <w:r>
        <w:t xml:space="preserve"> of capacity calculation and allocation in the day-ahead and intraday cross-border markets. To facilitate these aims the TSOs</w:t>
      </w:r>
      <w:r w:rsidR="00C334C4">
        <w:t xml:space="preserve"> in the Capacity Calculation Region</w:t>
      </w:r>
      <w:r>
        <w:t xml:space="preserve"> shall calculate in a coordinated manner the available cross-border</w:t>
      </w:r>
      <w:r>
        <w:rPr>
          <w:spacing w:val="-8"/>
        </w:rPr>
        <w:t xml:space="preserve"> </w:t>
      </w:r>
      <w:r>
        <w:t>capacity.</w:t>
      </w:r>
    </w:p>
    <w:p w14:paraId="1103B66E" w14:textId="544C8DD7" w:rsidR="002A72C5" w:rsidRDefault="007F2107" w:rsidP="00FA1E37">
      <w:pPr>
        <w:pStyle w:val="ListParagraph"/>
        <w:numPr>
          <w:ilvl w:val="0"/>
          <w:numId w:val="14"/>
        </w:numPr>
        <w:tabs>
          <w:tab w:val="left" w:pos="1115"/>
          <w:tab w:val="left" w:pos="10160"/>
        </w:tabs>
        <w:ind w:right="0"/>
      </w:pPr>
      <w:r>
        <w:t xml:space="preserve">Article 21(1) of the CACM Regulation constitutes the legal basis for this proposal and defines several specific requirements that the </w:t>
      </w:r>
      <w:r w:rsidR="006B5284">
        <w:t>common capacity calculation</w:t>
      </w:r>
      <w:r>
        <w:t xml:space="preserve"> methodology Proposal should take into</w:t>
      </w:r>
      <w:r>
        <w:rPr>
          <w:spacing w:val="-28"/>
        </w:rPr>
        <w:t xml:space="preserve"> </w:t>
      </w:r>
      <w:r>
        <w:t>account:</w:t>
      </w:r>
    </w:p>
    <w:p w14:paraId="567A4D36" w14:textId="77777777" w:rsidR="002A72C5" w:rsidRDefault="007F2107" w:rsidP="00FA1E37">
      <w:pPr>
        <w:tabs>
          <w:tab w:val="left" w:pos="10160"/>
        </w:tabs>
        <w:ind w:left="1114"/>
        <w:jc w:val="both"/>
        <w:rPr>
          <w:i/>
        </w:rPr>
      </w:pPr>
      <w:r>
        <w:rPr>
          <w:i/>
        </w:rPr>
        <w:t>“1. The proposal for a common capacity calculation methodology for a capacity calculation region determined in accordance with Article 20(2) shall include at least the following items for each capacity calculation time-frame:</w:t>
      </w:r>
    </w:p>
    <w:p w14:paraId="2CF0F3C0" w14:textId="77777777" w:rsidR="002A72C5" w:rsidRDefault="007F2107" w:rsidP="00FA1E37">
      <w:pPr>
        <w:pStyle w:val="ListParagraph"/>
        <w:numPr>
          <w:ilvl w:val="1"/>
          <w:numId w:val="14"/>
        </w:numPr>
        <w:tabs>
          <w:tab w:val="left" w:pos="2365"/>
          <w:tab w:val="left" w:pos="2366"/>
          <w:tab w:val="left" w:pos="10160"/>
        </w:tabs>
        <w:ind w:right="0" w:hanging="663"/>
        <w:rPr>
          <w:i/>
        </w:rPr>
      </w:pPr>
      <w:r>
        <w:rPr>
          <w:i/>
        </w:rPr>
        <w:t>methodologies for the calculation of</w:t>
      </w:r>
      <w:r>
        <w:rPr>
          <w:i/>
          <w:spacing w:val="-38"/>
        </w:rPr>
        <w:t xml:space="preserve"> </w:t>
      </w:r>
      <w:r>
        <w:rPr>
          <w:i/>
        </w:rPr>
        <w:t>the inputs to capacity calculation, which shall include the following</w:t>
      </w:r>
      <w:r>
        <w:rPr>
          <w:i/>
          <w:spacing w:val="-4"/>
        </w:rPr>
        <w:t xml:space="preserve"> </w:t>
      </w:r>
      <w:r>
        <w:rPr>
          <w:i/>
        </w:rPr>
        <w:t>parameters:</w:t>
      </w:r>
    </w:p>
    <w:p w14:paraId="32C3CC24" w14:textId="77777777" w:rsidR="002A72C5" w:rsidRDefault="007F2107" w:rsidP="00FA1E37">
      <w:pPr>
        <w:pStyle w:val="ListParagraph"/>
        <w:numPr>
          <w:ilvl w:val="2"/>
          <w:numId w:val="14"/>
        </w:numPr>
        <w:tabs>
          <w:tab w:val="left" w:pos="-5670"/>
          <w:tab w:val="left" w:pos="10160"/>
        </w:tabs>
        <w:ind w:left="2835" w:right="0" w:hanging="471"/>
        <w:rPr>
          <w:i/>
        </w:rPr>
      </w:pPr>
      <w:r>
        <w:rPr>
          <w:i/>
        </w:rPr>
        <w:t>a methodology for determining the reliability margin in</w:t>
      </w:r>
      <w:r>
        <w:rPr>
          <w:i/>
          <w:spacing w:val="-34"/>
        </w:rPr>
        <w:t xml:space="preserve"> </w:t>
      </w:r>
      <w:r>
        <w:rPr>
          <w:i/>
        </w:rPr>
        <w:t>accordance with Article</w:t>
      </w:r>
      <w:r>
        <w:rPr>
          <w:i/>
          <w:spacing w:val="-4"/>
        </w:rPr>
        <w:t xml:space="preserve"> </w:t>
      </w:r>
      <w:r>
        <w:rPr>
          <w:i/>
        </w:rPr>
        <w:t>22;</w:t>
      </w:r>
    </w:p>
    <w:p w14:paraId="1C7B4E2F" w14:textId="77777777" w:rsidR="002A72C5" w:rsidRDefault="007F2107" w:rsidP="00FA1E37">
      <w:pPr>
        <w:pStyle w:val="ListParagraph"/>
        <w:numPr>
          <w:ilvl w:val="2"/>
          <w:numId w:val="14"/>
        </w:numPr>
        <w:tabs>
          <w:tab w:val="left" w:pos="-5670"/>
          <w:tab w:val="left" w:pos="10160"/>
        </w:tabs>
        <w:ind w:left="2835" w:right="0" w:hanging="471"/>
        <w:rPr>
          <w:i/>
        </w:rPr>
      </w:pPr>
      <w:r>
        <w:rPr>
          <w:i/>
        </w:rPr>
        <w:t>the methodologies for determining operational security limits, contingencies relevant to capacity calculation and allocation constraints that may be applied in accordance with Article</w:t>
      </w:r>
      <w:r>
        <w:rPr>
          <w:i/>
          <w:spacing w:val="-15"/>
        </w:rPr>
        <w:t xml:space="preserve"> </w:t>
      </w:r>
      <w:r>
        <w:rPr>
          <w:i/>
        </w:rPr>
        <w:t>23;</w:t>
      </w:r>
    </w:p>
    <w:p w14:paraId="41731107" w14:textId="77777777" w:rsidR="002A72C5" w:rsidRDefault="007F2107" w:rsidP="00FA1E37">
      <w:pPr>
        <w:pStyle w:val="ListParagraph"/>
        <w:numPr>
          <w:ilvl w:val="2"/>
          <w:numId w:val="14"/>
        </w:numPr>
        <w:tabs>
          <w:tab w:val="left" w:pos="-5670"/>
          <w:tab w:val="left" w:pos="10160"/>
        </w:tabs>
        <w:ind w:left="2835" w:right="0" w:hanging="471"/>
        <w:rPr>
          <w:i/>
        </w:rPr>
      </w:pPr>
      <w:r>
        <w:rPr>
          <w:i/>
        </w:rPr>
        <w:t>the methodology for determining the generation shift keys in accordance with Article</w:t>
      </w:r>
      <w:r>
        <w:rPr>
          <w:i/>
          <w:spacing w:val="-9"/>
        </w:rPr>
        <w:t xml:space="preserve"> </w:t>
      </w:r>
      <w:r>
        <w:rPr>
          <w:i/>
        </w:rPr>
        <w:t>24;</w:t>
      </w:r>
    </w:p>
    <w:p w14:paraId="76611CF8" w14:textId="59722641" w:rsidR="002A72C5" w:rsidRDefault="007F2107" w:rsidP="00FA1E37">
      <w:pPr>
        <w:pStyle w:val="ListParagraph"/>
        <w:numPr>
          <w:ilvl w:val="2"/>
          <w:numId w:val="14"/>
        </w:numPr>
        <w:tabs>
          <w:tab w:val="left" w:pos="-5670"/>
          <w:tab w:val="left" w:pos="10160"/>
        </w:tabs>
        <w:ind w:left="2835" w:right="0" w:hanging="471"/>
        <w:rPr>
          <w:i/>
        </w:rPr>
      </w:pPr>
      <w:r>
        <w:rPr>
          <w:i/>
        </w:rPr>
        <w:t>the methodology for determining remedial actions to be considered in capacity calculation in accordance with Article</w:t>
      </w:r>
      <w:r>
        <w:rPr>
          <w:i/>
          <w:spacing w:val="-12"/>
        </w:rPr>
        <w:t xml:space="preserve"> </w:t>
      </w:r>
      <w:r>
        <w:rPr>
          <w:i/>
        </w:rPr>
        <w:t>25</w:t>
      </w:r>
      <w:r w:rsidR="00FA1E37">
        <w:rPr>
          <w:i/>
        </w:rPr>
        <w:t>;</w:t>
      </w:r>
    </w:p>
    <w:p w14:paraId="4E9A12DE" w14:textId="58697135" w:rsidR="002A72C5" w:rsidRPr="00FA1E37" w:rsidRDefault="007F2107" w:rsidP="00FA1E37">
      <w:pPr>
        <w:pStyle w:val="ListParagraph"/>
        <w:numPr>
          <w:ilvl w:val="1"/>
          <w:numId w:val="14"/>
        </w:numPr>
        <w:tabs>
          <w:tab w:val="left" w:pos="2364"/>
          <w:tab w:val="left" w:pos="2365"/>
          <w:tab w:val="left" w:pos="10160"/>
        </w:tabs>
        <w:ind w:right="0" w:hanging="663"/>
        <w:rPr>
          <w:i/>
          <w:sz w:val="17"/>
        </w:rPr>
      </w:pPr>
      <w:r w:rsidRPr="00FA1E37">
        <w:rPr>
          <w:i/>
        </w:rPr>
        <w:t>a</w:t>
      </w:r>
      <w:r w:rsidRPr="00FA1E37">
        <w:rPr>
          <w:i/>
          <w:spacing w:val="-4"/>
        </w:rPr>
        <w:t xml:space="preserve"> </w:t>
      </w:r>
      <w:r w:rsidRPr="00FA1E37">
        <w:rPr>
          <w:i/>
        </w:rPr>
        <w:t>detailed</w:t>
      </w:r>
      <w:r w:rsidRPr="00FA1E37">
        <w:rPr>
          <w:i/>
          <w:spacing w:val="-4"/>
        </w:rPr>
        <w:t xml:space="preserve"> </w:t>
      </w:r>
      <w:r w:rsidRPr="00FA1E37">
        <w:rPr>
          <w:i/>
        </w:rPr>
        <w:t>description</w:t>
      </w:r>
      <w:r w:rsidRPr="00FA1E37">
        <w:rPr>
          <w:i/>
          <w:spacing w:val="-4"/>
        </w:rPr>
        <w:t xml:space="preserve"> </w:t>
      </w:r>
      <w:r w:rsidRPr="00FA1E37">
        <w:rPr>
          <w:i/>
        </w:rPr>
        <w:t>of</w:t>
      </w:r>
      <w:r w:rsidRPr="00FA1E37">
        <w:rPr>
          <w:i/>
          <w:spacing w:val="-3"/>
        </w:rPr>
        <w:t xml:space="preserve"> </w:t>
      </w:r>
      <w:r w:rsidRPr="00FA1E37">
        <w:rPr>
          <w:i/>
        </w:rPr>
        <w:t>the</w:t>
      </w:r>
      <w:r w:rsidRPr="00FA1E37">
        <w:rPr>
          <w:i/>
          <w:spacing w:val="-3"/>
        </w:rPr>
        <w:t xml:space="preserve"> </w:t>
      </w:r>
      <w:r w:rsidRPr="00FA1E37">
        <w:rPr>
          <w:i/>
        </w:rPr>
        <w:t>capacity</w:t>
      </w:r>
      <w:r w:rsidRPr="00FA1E37">
        <w:rPr>
          <w:i/>
          <w:spacing w:val="-3"/>
        </w:rPr>
        <w:t xml:space="preserve"> </w:t>
      </w:r>
      <w:r w:rsidRPr="00FA1E37">
        <w:rPr>
          <w:i/>
        </w:rPr>
        <w:t>calculation</w:t>
      </w:r>
      <w:r w:rsidRPr="00FA1E37">
        <w:rPr>
          <w:i/>
          <w:spacing w:val="-5"/>
        </w:rPr>
        <w:t xml:space="preserve"> </w:t>
      </w:r>
      <w:r w:rsidRPr="00FA1E37">
        <w:rPr>
          <w:i/>
        </w:rPr>
        <w:t>approach</w:t>
      </w:r>
      <w:r w:rsidRPr="00FA1E37">
        <w:rPr>
          <w:i/>
          <w:spacing w:val="-4"/>
        </w:rPr>
        <w:t xml:space="preserve"> </w:t>
      </w:r>
      <w:r w:rsidRPr="00FA1E37">
        <w:rPr>
          <w:i/>
        </w:rPr>
        <w:t>which</w:t>
      </w:r>
      <w:r w:rsidRPr="00FA1E37">
        <w:rPr>
          <w:i/>
          <w:spacing w:val="-4"/>
        </w:rPr>
        <w:t xml:space="preserve"> </w:t>
      </w:r>
      <w:r w:rsidRPr="00FA1E37">
        <w:rPr>
          <w:i/>
        </w:rPr>
        <w:t>shall</w:t>
      </w:r>
      <w:r w:rsidRPr="00FA1E37">
        <w:rPr>
          <w:i/>
          <w:spacing w:val="-5"/>
        </w:rPr>
        <w:t xml:space="preserve"> </w:t>
      </w:r>
      <w:r w:rsidRPr="00FA1E37">
        <w:rPr>
          <w:i/>
        </w:rPr>
        <w:t>include</w:t>
      </w:r>
      <w:r w:rsidRPr="00FA1E37">
        <w:rPr>
          <w:i/>
          <w:spacing w:val="-6"/>
        </w:rPr>
        <w:t xml:space="preserve"> </w:t>
      </w:r>
      <w:r w:rsidRPr="00FA1E37">
        <w:rPr>
          <w:i/>
        </w:rPr>
        <w:t>the following:</w:t>
      </w:r>
    </w:p>
    <w:p w14:paraId="07D2B2E8" w14:textId="77777777" w:rsidR="002A72C5" w:rsidRDefault="007F2107" w:rsidP="00FA1E37">
      <w:pPr>
        <w:pStyle w:val="ListParagraph"/>
        <w:numPr>
          <w:ilvl w:val="2"/>
          <w:numId w:val="14"/>
        </w:numPr>
        <w:ind w:left="2835" w:right="0" w:hanging="471"/>
        <w:rPr>
          <w:i/>
        </w:rPr>
      </w:pPr>
      <w:r>
        <w:rPr>
          <w:i/>
        </w:rPr>
        <w:t>a mathematical description of the applied capacity calculation approach with different capacity calculation</w:t>
      </w:r>
      <w:r>
        <w:rPr>
          <w:i/>
          <w:spacing w:val="-13"/>
        </w:rPr>
        <w:t xml:space="preserve"> </w:t>
      </w:r>
      <w:r>
        <w:rPr>
          <w:i/>
        </w:rPr>
        <w:t>inputs;</w:t>
      </w:r>
    </w:p>
    <w:p w14:paraId="3926231B" w14:textId="77777777" w:rsidR="002A72C5" w:rsidRDefault="007F2107" w:rsidP="00FA1E37">
      <w:pPr>
        <w:pStyle w:val="ListParagraph"/>
        <w:numPr>
          <w:ilvl w:val="2"/>
          <w:numId w:val="14"/>
        </w:numPr>
        <w:ind w:left="2835" w:right="0" w:hanging="471"/>
        <w:rPr>
          <w:i/>
        </w:rPr>
      </w:pPr>
      <w:r>
        <w:rPr>
          <w:i/>
        </w:rPr>
        <w:t>rules</w:t>
      </w:r>
      <w:r>
        <w:rPr>
          <w:i/>
          <w:spacing w:val="-14"/>
        </w:rPr>
        <w:t xml:space="preserve"> </w:t>
      </w:r>
      <w:r>
        <w:rPr>
          <w:i/>
        </w:rPr>
        <w:t>for</w:t>
      </w:r>
      <w:r>
        <w:rPr>
          <w:i/>
          <w:spacing w:val="-14"/>
        </w:rPr>
        <w:t xml:space="preserve"> </w:t>
      </w:r>
      <w:r>
        <w:rPr>
          <w:i/>
        </w:rPr>
        <w:t>avoiding</w:t>
      </w:r>
      <w:r>
        <w:rPr>
          <w:i/>
          <w:spacing w:val="-14"/>
        </w:rPr>
        <w:t xml:space="preserve"> </w:t>
      </w:r>
      <w:r>
        <w:rPr>
          <w:i/>
        </w:rPr>
        <w:t>undue</w:t>
      </w:r>
      <w:r>
        <w:rPr>
          <w:i/>
          <w:spacing w:val="-14"/>
        </w:rPr>
        <w:t xml:space="preserve"> </w:t>
      </w:r>
      <w:r>
        <w:rPr>
          <w:i/>
        </w:rPr>
        <w:t>discrimination</w:t>
      </w:r>
      <w:r>
        <w:rPr>
          <w:i/>
          <w:spacing w:val="-14"/>
        </w:rPr>
        <w:t xml:space="preserve"> </w:t>
      </w:r>
      <w:r>
        <w:rPr>
          <w:i/>
        </w:rPr>
        <w:t>between</w:t>
      </w:r>
      <w:r>
        <w:rPr>
          <w:i/>
          <w:spacing w:val="-14"/>
        </w:rPr>
        <w:t xml:space="preserve"> </w:t>
      </w:r>
      <w:r>
        <w:rPr>
          <w:i/>
        </w:rPr>
        <w:t>internal</w:t>
      </w:r>
      <w:r>
        <w:rPr>
          <w:i/>
          <w:spacing w:val="-13"/>
        </w:rPr>
        <w:t xml:space="preserve"> </w:t>
      </w:r>
      <w:r>
        <w:rPr>
          <w:i/>
        </w:rPr>
        <w:t>and</w:t>
      </w:r>
      <w:r>
        <w:rPr>
          <w:i/>
          <w:spacing w:val="-14"/>
        </w:rPr>
        <w:t xml:space="preserve"> </w:t>
      </w:r>
      <w:r>
        <w:rPr>
          <w:i/>
        </w:rPr>
        <w:t>cross- zonal exchanges to ensure compliance with point 1.7 of Annex I to Regulation (EC) No</w:t>
      </w:r>
      <w:r>
        <w:rPr>
          <w:i/>
          <w:spacing w:val="-4"/>
        </w:rPr>
        <w:t xml:space="preserve"> </w:t>
      </w:r>
      <w:r>
        <w:rPr>
          <w:i/>
        </w:rPr>
        <w:t>714/2009;</w:t>
      </w:r>
    </w:p>
    <w:p w14:paraId="071D9ED3" w14:textId="77777777" w:rsidR="002A72C5" w:rsidRDefault="007F2107" w:rsidP="00FA1E37">
      <w:pPr>
        <w:pStyle w:val="ListParagraph"/>
        <w:numPr>
          <w:ilvl w:val="2"/>
          <w:numId w:val="14"/>
        </w:numPr>
        <w:ind w:left="2835" w:right="0" w:hanging="471"/>
        <w:rPr>
          <w:i/>
        </w:rPr>
      </w:pPr>
      <w:r>
        <w:rPr>
          <w:i/>
        </w:rPr>
        <w:t>rules for taking into account, where appropriate, previously allocated cross-zonal</w:t>
      </w:r>
      <w:r>
        <w:rPr>
          <w:i/>
          <w:spacing w:val="-7"/>
        </w:rPr>
        <w:t xml:space="preserve"> </w:t>
      </w:r>
      <w:r>
        <w:rPr>
          <w:i/>
        </w:rPr>
        <w:t>capacity;</w:t>
      </w:r>
    </w:p>
    <w:p w14:paraId="1662BA3B" w14:textId="77777777" w:rsidR="002A72C5" w:rsidRDefault="007F2107" w:rsidP="00FA1E37">
      <w:pPr>
        <w:pStyle w:val="ListParagraph"/>
        <w:numPr>
          <w:ilvl w:val="2"/>
          <w:numId w:val="14"/>
        </w:numPr>
        <w:ind w:left="2835" w:right="0" w:hanging="471"/>
        <w:rPr>
          <w:i/>
        </w:rPr>
      </w:pPr>
      <w:r>
        <w:rPr>
          <w:i/>
        </w:rPr>
        <w:t>rules</w:t>
      </w:r>
      <w:r>
        <w:rPr>
          <w:i/>
          <w:spacing w:val="-6"/>
        </w:rPr>
        <w:t xml:space="preserve"> </w:t>
      </w:r>
      <w:r>
        <w:rPr>
          <w:i/>
        </w:rPr>
        <w:t>on</w:t>
      </w:r>
      <w:r>
        <w:rPr>
          <w:i/>
          <w:spacing w:val="-7"/>
        </w:rPr>
        <w:t xml:space="preserve"> </w:t>
      </w:r>
      <w:r>
        <w:rPr>
          <w:i/>
        </w:rPr>
        <w:t>the</w:t>
      </w:r>
      <w:r>
        <w:rPr>
          <w:i/>
          <w:spacing w:val="-7"/>
        </w:rPr>
        <w:t xml:space="preserve"> </w:t>
      </w:r>
      <w:r>
        <w:rPr>
          <w:i/>
        </w:rPr>
        <w:t>adjustment</w:t>
      </w:r>
      <w:r>
        <w:rPr>
          <w:i/>
          <w:spacing w:val="-6"/>
        </w:rPr>
        <w:t xml:space="preserve"> </w:t>
      </w:r>
      <w:r>
        <w:rPr>
          <w:i/>
        </w:rPr>
        <w:t>of</w:t>
      </w:r>
      <w:r>
        <w:rPr>
          <w:i/>
          <w:spacing w:val="-6"/>
        </w:rPr>
        <w:t xml:space="preserve"> </w:t>
      </w:r>
      <w:r>
        <w:rPr>
          <w:i/>
        </w:rPr>
        <w:t>power</w:t>
      </w:r>
      <w:r>
        <w:rPr>
          <w:i/>
          <w:spacing w:val="-6"/>
        </w:rPr>
        <w:t xml:space="preserve"> </w:t>
      </w:r>
      <w:r>
        <w:rPr>
          <w:i/>
        </w:rPr>
        <w:t>flows</w:t>
      </w:r>
      <w:r>
        <w:rPr>
          <w:i/>
          <w:spacing w:val="-6"/>
        </w:rPr>
        <w:t xml:space="preserve"> </w:t>
      </w:r>
      <w:r>
        <w:rPr>
          <w:i/>
        </w:rPr>
        <w:t>on</w:t>
      </w:r>
      <w:r>
        <w:rPr>
          <w:i/>
          <w:spacing w:val="-7"/>
        </w:rPr>
        <w:t xml:space="preserve"> </w:t>
      </w:r>
      <w:r>
        <w:rPr>
          <w:i/>
        </w:rPr>
        <w:t>critical</w:t>
      </w:r>
      <w:r>
        <w:rPr>
          <w:i/>
          <w:spacing w:val="-8"/>
        </w:rPr>
        <w:t xml:space="preserve"> </w:t>
      </w:r>
      <w:r>
        <w:rPr>
          <w:i/>
        </w:rPr>
        <w:t>network</w:t>
      </w:r>
      <w:r>
        <w:rPr>
          <w:i/>
          <w:spacing w:val="-7"/>
        </w:rPr>
        <w:t xml:space="preserve"> </w:t>
      </w:r>
      <w:r>
        <w:rPr>
          <w:i/>
        </w:rPr>
        <w:t>elements or of cross-zonal capacity due to remedial actions in accordance with Article</w:t>
      </w:r>
      <w:r>
        <w:rPr>
          <w:i/>
          <w:spacing w:val="-4"/>
        </w:rPr>
        <w:t xml:space="preserve"> </w:t>
      </w:r>
      <w:r>
        <w:rPr>
          <w:i/>
        </w:rPr>
        <w:t>25;</w:t>
      </w:r>
    </w:p>
    <w:p w14:paraId="609A10B9" w14:textId="77777777" w:rsidR="002A72C5" w:rsidRDefault="007F2107" w:rsidP="00FA1E37">
      <w:pPr>
        <w:pStyle w:val="ListParagraph"/>
        <w:numPr>
          <w:ilvl w:val="2"/>
          <w:numId w:val="14"/>
        </w:numPr>
        <w:ind w:left="2835" w:right="0" w:hanging="471"/>
        <w:rPr>
          <w:i/>
        </w:rPr>
      </w:pPr>
      <w:r>
        <w:rPr>
          <w:i/>
        </w:rPr>
        <w:t>for the coordinated net transmission capacity approach, the rules for calculating cross-zonal capacity, including the rules for efficiently sharing the power flow capabilities of critical network elements among different bidding zone</w:t>
      </w:r>
      <w:r>
        <w:rPr>
          <w:i/>
          <w:spacing w:val="-9"/>
        </w:rPr>
        <w:t xml:space="preserve"> </w:t>
      </w:r>
      <w:r>
        <w:rPr>
          <w:i/>
        </w:rPr>
        <w:t>borders;</w:t>
      </w:r>
    </w:p>
    <w:p w14:paraId="118061ED" w14:textId="4F0586F0" w:rsidR="002A72C5" w:rsidRDefault="007F2107" w:rsidP="00FA1E37">
      <w:pPr>
        <w:pStyle w:val="ListParagraph"/>
        <w:numPr>
          <w:ilvl w:val="2"/>
          <w:numId w:val="14"/>
        </w:numPr>
        <w:ind w:left="2835" w:right="0" w:hanging="471"/>
        <w:rPr>
          <w:i/>
        </w:rPr>
      </w:pPr>
      <w:r>
        <w:rPr>
          <w:i/>
        </w:rPr>
        <w:t>where the power flows on critical network elements are influenced by cross-zonal power exchanges in different capacity calculation regions, the rules for sharing the power flow capabilities of</w:t>
      </w:r>
      <w:r>
        <w:rPr>
          <w:i/>
          <w:spacing w:val="-30"/>
        </w:rPr>
        <w:t xml:space="preserve"> </w:t>
      </w:r>
      <w:r>
        <w:rPr>
          <w:i/>
        </w:rPr>
        <w:t>critical network elements among different capacity calculation regions in order to accommodate these</w:t>
      </w:r>
      <w:r>
        <w:rPr>
          <w:i/>
          <w:spacing w:val="-3"/>
        </w:rPr>
        <w:t xml:space="preserve"> </w:t>
      </w:r>
      <w:r>
        <w:rPr>
          <w:i/>
        </w:rPr>
        <w:t>flows.</w:t>
      </w:r>
    </w:p>
    <w:p w14:paraId="053976FA" w14:textId="77777777" w:rsidR="002A72C5" w:rsidRDefault="007F2107" w:rsidP="00FA1E37">
      <w:pPr>
        <w:pStyle w:val="ListParagraph"/>
        <w:numPr>
          <w:ilvl w:val="1"/>
          <w:numId w:val="14"/>
        </w:numPr>
        <w:tabs>
          <w:tab w:val="left" w:pos="2364"/>
          <w:tab w:val="left" w:pos="2365"/>
        </w:tabs>
        <w:spacing w:after="200"/>
        <w:ind w:right="0" w:hanging="663"/>
        <w:rPr>
          <w:i/>
        </w:rPr>
      </w:pPr>
      <w:r>
        <w:rPr>
          <w:i/>
        </w:rPr>
        <w:t>a</w:t>
      </w:r>
      <w:r>
        <w:rPr>
          <w:i/>
          <w:spacing w:val="-12"/>
        </w:rPr>
        <w:t xml:space="preserve"> </w:t>
      </w:r>
      <w:r>
        <w:rPr>
          <w:i/>
        </w:rPr>
        <w:t>methodology</w:t>
      </w:r>
      <w:r>
        <w:rPr>
          <w:i/>
          <w:spacing w:val="-11"/>
        </w:rPr>
        <w:t xml:space="preserve"> </w:t>
      </w:r>
      <w:r>
        <w:rPr>
          <w:i/>
        </w:rPr>
        <w:t>for</w:t>
      </w:r>
      <w:r>
        <w:rPr>
          <w:i/>
          <w:spacing w:val="-11"/>
        </w:rPr>
        <w:t xml:space="preserve"> </w:t>
      </w:r>
      <w:r>
        <w:rPr>
          <w:i/>
        </w:rPr>
        <w:t>the</w:t>
      </w:r>
      <w:r>
        <w:rPr>
          <w:i/>
          <w:spacing w:val="-11"/>
        </w:rPr>
        <w:t xml:space="preserve"> </w:t>
      </w:r>
      <w:r>
        <w:rPr>
          <w:i/>
        </w:rPr>
        <w:t>validation</w:t>
      </w:r>
      <w:r>
        <w:rPr>
          <w:i/>
          <w:spacing w:val="-12"/>
        </w:rPr>
        <w:t xml:space="preserve"> </w:t>
      </w:r>
      <w:r>
        <w:rPr>
          <w:i/>
        </w:rPr>
        <w:t>of</w:t>
      </w:r>
      <w:r>
        <w:rPr>
          <w:i/>
          <w:spacing w:val="-11"/>
        </w:rPr>
        <w:t xml:space="preserve"> </w:t>
      </w:r>
      <w:r>
        <w:rPr>
          <w:i/>
        </w:rPr>
        <w:t>cross-zonal</w:t>
      </w:r>
      <w:r>
        <w:rPr>
          <w:i/>
          <w:spacing w:val="-11"/>
        </w:rPr>
        <w:t xml:space="preserve"> </w:t>
      </w:r>
      <w:r>
        <w:rPr>
          <w:i/>
        </w:rPr>
        <w:t>capacity</w:t>
      </w:r>
      <w:r>
        <w:rPr>
          <w:i/>
          <w:spacing w:val="-11"/>
        </w:rPr>
        <w:t xml:space="preserve"> </w:t>
      </w:r>
      <w:r>
        <w:rPr>
          <w:i/>
        </w:rPr>
        <w:t>in</w:t>
      </w:r>
      <w:r>
        <w:rPr>
          <w:i/>
          <w:spacing w:val="-12"/>
        </w:rPr>
        <w:t xml:space="preserve"> </w:t>
      </w:r>
      <w:r>
        <w:rPr>
          <w:i/>
        </w:rPr>
        <w:t>accordance</w:t>
      </w:r>
      <w:r>
        <w:rPr>
          <w:i/>
          <w:spacing w:val="-11"/>
        </w:rPr>
        <w:t xml:space="preserve"> </w:t>
      </w:r>
      <w:r>
        <w:rPr>
          <w:i/>
        </w:rPr>
        <w:t>with</w:t>
      </w:r>
      <w:r>
        <w:rPr>
          <w:i/>
          <w:spacing w:val="-12"/>
        </w:rPr>
        <w:t xml:space="preserve"> </w:t>
      </w:r>
      <w:r>
        <w:rPr>
          <w:i/>
        </w:rPr>
        <w:t>Article 26.”</w:t>
      </w:r>
    </w:p>
    <w:p w14:paraId="7C7BD7CA" w14:textId="09B3AA68" w:rsidR="002A72C5" w:rsidRDefault="007F2107" w:rsidP="006B5284">
      <w:pPr>
        <w:pStyle w:val="ListParagraph"/>
        <w:numPr>
          <w:ilvl w:val="0"/>
          <w:numId w:val="14"/>
        </w:numPr>
        <w:tabs>
          <w:tab w:val="left" w:pos="1115"/>
        </w:tabs>
        <w:spacing w:after="200" w:line="259" w:lineRule="auto"/>
        <w:ind w:left="1111" w:right="0"/>
        <w:rPr>
          <w:i/>
        </w:rPr>
      </w:pPr>
      <w:r>
        <w:t>Article 14 of the CACM Regulation</w:t>
      </w:r>
      <w:r w:rsidR="00C334C4">
        <w:t xml:space="preserve">, with reference to the day ahead timeframe, </w:t>
      </w:r>
      <w:r>
        <w:t>defines the following: “</w:t>
      </w:r>
      <w:r>
        <w:rPr>
          <w:i/>
        </w:rPr>
        <w:t xml:space="preserve">1. (…) TSOs shall calculate cross- zonal capacity for (…) (a) </w:t>
      </w:r>
      <w:r>
        <w:t>“</w:t>
      </w:r>
      <w:r>
        <w:rPr>
          <w:i/>
        </w:rPr>
        <w:t xml:space="preserve">day-ahead, for the day-ahead market“ </w:t>
      </w:r>
      <w:r>
        <w:t>and “</w:t>
      </w:r>
      <w:r>
        <w:rPr>
          <w:i/>
        </w:rPr>
        <w:t>2. For the day-ahead market time-frame, individual values for cross-zonal capacity for each day-ahead market time unit</w:t>
      </w:r>
      <w:r>
        <w:rPr>
          <w:i/>
          <w:spacing w:val="-8"/>
        </w:rPr>
        <w:t xml:space="preserve"> </w:t>
      </w:r>
      <w:r>
        <w:rPr>
          <w:i/>
        </w:rPr>
        <w:t>shall</w:t>
      </w:r>
      <w:r>
        <w:rPr>
          <w:i/>
          <w:spacing w:val="-6"/>
        </w:rPr>
        <w:t xml:space="preserve"> </w:t>
      </w:r>
      <w:r>
        <w:rPr>
          <w:i/>
        </w:rPr>
        <w:t>be</w:t>
      </w:r>
      <w:r>
        <w:rPr>
          <w:i/>
          <w:spacing w:val="-9"/>
        </w:rPr>
        <w:t xml:space="preserve"> </w:t>
      </w:r>
      <w:r>
        <w:rPr>
          <w:i/>
        </w:rPr>
        <w:t>calculated.”</w:t>
      </w:r>
      <w:r>
        <w:t>,</w:t>
      </w:r>
      <w:r>
        <w:rPr>
          <w:spacing w:val="-9"/>
        </w:rPr>
        <w:t xml:space="preserve"> </w:t>
      </w:r>
      <w:r>
        <w:t>and</w:t>
      </w:r>
      <w:r>
        <w:rPr>
          <w:spacing w:val="-7"/>
        </w:rPr>
        <w:t xml:space="preserve"> </w:t>
      </w:r>
      <w:r>
        <w:rPr>
          <w:i/>
        </w:rPr>
        <w:t>“3.</w:t>
      </w:r>
      <w:r>
        <w:rPr>
          <w:i/>
          <w:spacing w:val="-9"/>
        </w:rPr>
        <w:t xml:space="preserve"> </w:t>
      </w:r>
      <w:r>
        <w:rPr>
          <w:i/>
        </w:rPr>
        <w:t>For</w:t>
      </w:r>
      <w:r>
        <w:rPr>
          <w:i/>
          <w:spacing w:val="-9"/>
        </w:rPr>
        <w:t xml:space="preserve"> </w:t>
      </w:r>
      <w:r>
        <w:rPr>
          <w:i/>
        </w:rPr>
        <w:t>the</w:t>
      </w:r>
      <w:r>
        <w:rPr>
          <w:i/>
          <w:spacing w:val="-9"/>
        </w:rPr>
        <w:t xml:space="preserve"> </w:t>
      </w:r>
      <w:r>
        <w:rPr>
          <w:i/>
        </w:rPr>
        <w:t>day-ahead</w:t>
      </w:r>
      <w:r>
        <w:rPr>
          <w:i/>
          <w:spacing w:val="-9"/>
        </w:rPr>
        <w:t xml:space="preserve"> </w:t>
      </w:r>
      <w:r>
        <w:rPr>
          <w:i/>
        </w:rPr>
        <w:t>market</w:t>
      </w:r>
      <w:r>
        <w:rPr>
          <w:i/>
          <w:spacing w:val="-8"/>
        </w:rPr>
        <w:t xml:space="preserve"> </w:t>
      </w:r>
      <w:r>
        <w:rPr>
          <w:i/>
        </w:rPr>
        <w:t>time-frame,</w:t>
      </w:r>
      <w:r>
        <w:rPr>
          <w:i/>
          <w:spacing w:val="-9"/>
        </w:rPr>
        <w:t xml:space="preserve"> </w:t>
      </w:r>
      <w:r>
        <w:rPr>
          <w:i/>
        </w:rPr>
        <w:t>the</w:t>
      </w:r>
      <w:r>
        <w:rPr>
          <w:i/>
          <w:spacing w:val="-9"/>
        </w:rPr>
        <w:t xml:space="preserve"> </w:t>
      </w:r>
      <w:r>
        <w:rPr>
          <w:i/>
        </w:rPr>
        <w:t>capacity</w:t>
      </w:r>
      <w:r>
        <w:rPr>
          <w:i/>
          <w:spacing w:val="-9"/>
        </w:rPr>
        <w:t xml:space="preserve"> </w:t>
      </w:r>
      <w:r>
        <w:rPr>
          <w:i/>
        </w:rPr>
        <w:t>calculation shall be based on the latest available information. The information update for the day-ahead market time-frame shall not start before 15:00 market time two days before the day of</w:t>
      </w:r>
      <w:r>
        <w:rPr>
          <w:i/>
          <w:spacing w:val="-23"/>
        </w:rPr>
        <w:t xml:space="preserve"> </w:t>
      </w:r>
      <w:r>
        <w:rPr>
          <w:i/>
        </w:rPr>
        <w:t>delivery”.</w:t>
      </w:r>
    </w:p>
    <w:p w14:paraId="27373793" w14:textId="17EA5EA7" w:rsidR="00C334C4" w:rsidRDefault="00C334C4" w:rsidP="006B5284">
      <w:pPr>
        <w:pStyle w:val="ListParagraph"/>
        <w:numPr>
          <w:ilvl w:val="0"/>
          <w:numId w:val="14"/>
        </w:numPr>
        <w:tabs>
          <w:tab w:val="left" w:pos="1115"/>
        </w:tabs>
        <w:spacing w:after="200" w:line="259" w:lineRule="auto"/>
        <w:ind w:left="1111" w:right="0"/>
        <w:rPr>
          <w:i/>
        </w:rPr>
      </w:pPr>
      <w:r>
        <w:t>Article 14 of the CACM Regulation, with reference to the intraday ahead timeframe, defines the following: “</w:t>
      </w:r>
      <w:r>
        <w:rPr>
          <w:i/>
        </w:rPr>
        <w:t>1. (…) TSOs shall calculate cross- zonal capacity for (…) (b) intraday, for the intraday market;” and“</w:t>
      </w:r>
      <w:r w:rsidR="006B5284">
        <w:rPr>
          <w:i/>
        </w:rPr>
        <w:t>4</w:t>
      </w:r>
      <w:r w:rsidRPr="00095002">
        <w:rPr>
          <w:i/>
        </w:rPr>
        <w:t>. All TSOs in each capacity calculation region shall ensure that cross-zonal capacity is recalculated within the intraday market time-frame based on the latest available information. The frequency of this recalculation shall take into consideration efficiency and operational security”</w:t>
      </w:r>
    </w:p>
    <w:p w14:paraId="35C91488" w14:textId="153DF593" w:rsidR="002A72C5" w:rsidRPr="00AC6D6D" w:rsidRDefault="007F2107" w:rsidP="006B5284">
      <w:pPr>
        <w:pStyle w:val="ListParagraph"/>
        <w:numPr>
          <w:ilvl w:val="0"/>
          <w:numId w:val="14"/>
        </w:numPr>
        <w:tabs>
          <w:tab w:val="left" w:pos="1115"/>
        </w:tabs>
        <w:spacing w:after="200" w:line="259" w:lineRule="auto"/>
        <w:ind w:left="1117" w:right="0" w:hanging="635"/>
        <w:rPr>
          <w:i/>
          <w:sz w:val="23"/>
        </w:rPr>
      </w:pPr>
      <w:r w:rsidRPr="00142B5F">
        <w:lastRenderedPageBreak/>
        <w:t>Article 20(1) of the CACM Regulation defines the approach to use in the common capacity calculation methodologies as “</w:t>
      </w:r>
      <w:r w:rsidRPr="002755B4">
        <w:rPr>
          <w:i/>
        </w:rPr>
        <w:t>flow-based approach</w:t>
      </w:r>
      <w:r w:rsidR="00142B5F" w:rsidRPr="002755B4">
        <w:rPr>
          <w:i/>
        </w:rPr>
        <w:t>”</w:t>
      </w:r>
      <w:r w:rsidR="002755B4">
        <w:rPr>
          <w:i/>
        </w:rPr>
        <w:t xml:space="preserve"> </w:t>
      </w:r>
      <w:r w:rsidR="00B24497" w:rsidRPr="002755B4">
        <w:rPr>
          <w:i/>
        </w:rPr>
        <w:t xml:space="preserve">after the conditions </w:t>
      </w:r>
      <w:r w:rsidR="002755B4" w:rsidRPr="002755B4">
        <w:rPr>
          <w:i/>
        </w:rPr>
        <w:t>Article 20 (4) are met and (4) specifies that: “No later than six months after at least all South East Europe Energy Community Contracting Parties participate in the single day-ahead coupling, the TSOs from at least Croatia, Romania, Bulgaria and Greece shall jointly submit a proposal to introduce a common capacity calculation methodology using the flow-based approach for the day-ahead</w:t>
      </w:r>
      <w:r w:rsidR="002755B4">
        <w:rPr>
          <w:i/>
        </w:rPr>
        <w:t xml:space="preserve"> and intraday market time-frame</w:t>
      </w:r>
      <w:r w:rsidR="002755B4" w:rsidRPr="002755B4">
        <w:rPr>
          <w:i/>
        </w:rPr>
        <w:t>“</w:t>
      </w:r>
      <w:r w:rsidR="002755B4">
        <w:rPr>
          <w:i/>
        </w:rPr>
        <w:t xml:space="preserve">. </w:t>
      </w:r>
      <w:r w:rsidR="00DF4C3B">
        <w:rPr>
          <w:i/>
        </w:rPr>
        <w:t xml:space="preserve">So, </w:t>
      </w:r>
      <w:r w:rsidR="006B5284">
        <w:rPr>
          <w:i/>
        </w:rPr>
        <w:t xml:space="preserve">the </w:t>
      </w:r>
      <w:r w:rsidR="006B5284">
        <w:t>common capacity calculation</w:t>
      </w:r>
      <w:r w:rsidR="00DF4C3B">
        <w:t xml:space="preserve"> methodology Proposal is based on </w:t>
      </w:r>
      <w:r w:rsidR="00DF4C3B">
        <w:rPr>
          <w:i/>
        </w:rPr>
        <w:t xml:space="preserve">coordinated net transmission capacity approach. </w:t>
      </w:r>
    </w:p>
    <w:p w14:paraId="7E256F35" w14:textId="0177E9B4" w:rsidR="002A72C5" w:rsidRDefault="007F2107" w:rsidP="006B5284">
      <w:pPr>
        <w:pStyle w:val="ListParagraph"/>
        <w:numPr>
          <w:ilvl w:val="0"/>
          <w:numId w:val="14"/>
        </w:numPr>
        <w:tabs>
          <w:tab w:val="left" w:pos="1115"/>
        </w:tabs>
        <w:spacing w:before="1" w:after="200" w:line="259" w:lineRule="auto"/>
        <w:ind w:left="1117" w:right="0" w:hanging="635"/>
        <w:rPr>
          <w:i/>
        </w:rPr>
      </w:pPr>
      <w:r>
        <w:t>Article 2(8) of the CACM Regulation defines the “</w:t>
      </w:r>
      <w:r>
        <w:rPr>
          <w:i/>
        </w:rPr>
        <w:t>coordinated net transmission capacity approach</w:t>
      </w:r>
      <w:r>
        <w:t xml:space="preserve">” as </w:t>
      </w:r>
      <w:r>
        <w:rPr>
          <w:i/>
        </w:rPr>
        <w:t>“the capacity calculation method based on the principle of assessing and defining ex ante a maximum energy exchange between adjacent bidding</w:t>
      </w:r>
      <w:r>
        <w:rPr>
          <w:i/>
          <w:spacing w:val="-9"/>
        </w:rPr>
        <w:t xml:space="preserve"> </w:t>
      </w:r>
      <w:r>
        <w:rPr>
          <w:i/>
        </w:rPr>
        <w:t>zones”.</w:t>
      </w:r>
    </w:p>
    <w:p w14:paraId="0C5B73BE" w14:textId="62AEF349" w:rsidR="002A72C5" w:rsidRDefault="007F2107" w:rsidP="006B5284">
      <w:pPr>
        <w:pStyle w:val="ListParagraph"/>
        <w:numPr>
          <w:ilvl w:val="0"/>
          <w:numId w:val="14"/>
        </w:numPr>
        <w:tabs>
          <w:tab w:val="left" w:pos="1115"/>
        </w:tabs>
        <w:spacing w:before="1" w:after="200" w:line="259" w:lineRule="auto"/>
        <w:ind w:left="1117" w:right="0" w:hanging="635"/>
        <w:rPr>
          <w:i/>
        </w:rPr>
      </w:pPr>
      <w:r>
        <w:t>In the context of this proposal, the definition of “</w:t>
      </w:r>
      <w:r>
        <w:rPr>
          <w:i/>
        </w:rPr>
        <w:t>coordinated capacity calculator</w:t>
      </w:r>
      <w:r>
        <w:t xml:space="preserve">” is important and is defined in Article 2(11) of the CACM Regulation as: </w:t>
      </w:r>
      <w:r>
        <w:rPr>
          <w:i/>
        </w:rPr>
        <w:t>“the entity or entities with the task of calculating transmission capacity, at regional level or</w:t>
      </w:r>
      <w:r>
        <w:rPr>
          <w:i/>
          <w:spacing w:val="-17"/>
        </w:rPr>
        <w:t xml:space="preserve"> </w:t>
      </w:r>
      <w:r>
        <w:rPr>
          <w:i/>
        </w:rPr>
        <w:t>above”.</w:t>
      </w:r>
    </w:p>
    <w:p w14:paraId="1812610A" w14:textId="7854E401" w:rsidR="002A72C5" w:rsidRDefault="007F2107" w:rsidP="0085271F">
      <w:pPr>
        <w:pStyle w:val="ListParagraph"/>
        <w:numPr>
          <w:ilvl w:val="0"/>
          <w:numId w:val="14"/>
        </w:numPr>
        <w:tabs>
          <w:tab w:val="left" w:pos="1115"/>
        </w:tabs>
        <w:spacing w:after="200" w:line="259" w:lineRule="auto"/>
        <w:ind w:left="1117" w:right="0" w:hanging="635"/>
      </w:pPr>
      <w:r>
        <w:t>Article</w:t>
      </w:r>
      <w:r>
        <w:rPr>
          <w:spacing w:val="-13"/>
        </w:rPr>
        <w:t xml:space="preserve"> </w:t>
      </w:r>
      <w:r>
        <w:t>9(9)</w:t>
      </w:r>
      <w:r>
        <w:rPr>
          <w:spacing w:val="-10"/>
        </w:rPr>
        <w:t xml:space="preserve"> </w:t>
      </w:r>
      <w:r>
        <w:t>of</w:t>
      </w:r>
      <w:r>
        <w:rPr>
          <w:spacing w:val="-12"/>
        </w:rPr>
        <w:t xml:space="preserve"> </w:t>
      </w:r>
      <w:r>
        <w:t>the</w:t>
      </w:r>
      <w:r>
        <w:rPr>
          <w:spacing w:val="-10"/>
        </w:rPr>
        <w:t xml:space="preserve"> </w:t>
      </w:r>
      <w:r>
        <w:t>CACM</w:t>
      </w:r>
      <w:r>
        <w:rPr>
          <w:spacing w:val="-13"/>
        </w:rPr>
        <w:t xml:space="preserve"> </w:t>
      </w:r>
      <w:r>
        <w:t>Regulation</w:t>
      </w:r>
      <w:r>
        <w:rPr>
          <w:spacing w:val="-11"/>
        </w:rPr>
        <w:t xml:space="preserve"> </w:t>
      </w:r>
      <w:r>
        <w:t>requires</w:t>
      </w:r>
      <w:r>
        <w:rPr>
          <w:spacing w:val="-13"/>
        </w:rPr>
        <w:t xml:space="preserve"> </w:t>
      </w:r>
      <w:r>
        <w:t>that</w:t>
      </w:r>
      <w:r>
        <w:rPr>
          <w:spacing w:val="-14"/>
        </w:rPr>
        <w:t xml:space="preserve"> </w:t>
      </w:r>
      <w:r>
        <w:t>the</w:t>
      </w:r>
      <w:r>
        <w:rPr>
          <w:spacing w:val="-13"/>
        </w:rPr>
        <w:t xml:space="preserve"> </w:t>
      </w:r>
      <w:r>
        <w:t>proposed</w:t>
      </w:r>
      <w:r>
        <w:rPr>
          <w:spacing w:val="-11"/>
        </w:rPr>
        <w:t xml:space="preserve"> </w:t>
      </w:r>
      <w:r>
        <w:t>timescale</w:t>
      </w:r>
      <w:r>
        <w:rPr>
          <w:spacing w:val="-10"/>
        </w:rPr>
        <w:t xml:space="preserve"> </w:t>
      </w:r>
      <w:r>
        <w:t>for</w:t>
      </w:r>
      <w:r>
        <w:rPr>
          <w:spacing w:val="-10"/>
        </w:rPr>
        <w:t xml:space="preserve"> </w:t>
      </w:r>
      <w:r>
        <w:t>the</w:t>
      </w:r>
      <w:r>
        <w:rPr>
          <w:spacing w:val="-10"/>
        </w:rPr>
        <w:t xml:space="preserve"> </w:t>
      </w:r>
      <w:r>
        <w:t xml:space="preserve">implementation and the expected impact of the </w:t>
      </w:r>
      <w:r w:rsidR="006B5284">
        <w:t>common capacity calculation</w:t>
      </w:r>
      <w:r>
        <w:t xml:space="preserve"> methodology Proposal on the objectives of the CACM Regulation is described. The impact is presented below (point (</w:t>
      </w:r>
      <w:r w:rsidR="00A42106">
        <w:t>1</w:t>
      </w:r>
      <w:r w:rsidR="00805DCE">
        <w:t>3</w:t>
      </w:r>
      <w:r>
        <w:t>)) of this Whereas</w:t>
      </w:r>
      <w:r>
        <w:rPr>
          <w:spacing w:val="-27"/>
        </w:rPr>
        <w:t xml:space="preserve"> </w:t>
      </w:r>
      <w:r>
        <w:t>Section.</w:t>
      </w:r>
    </w:p>
    <w:p w14:paraId="648E548C" w14:textId="64AFB971" w:rsidR="002A72C5" w:rsidRDefault="007F2107" w:rsidP="00887518">
      <w:pPr>
        <w:pStyle w:val="ListParagraph"/>
        <w:numPr>
          <w:ilvl w:val="0"/>
          <w:numId w:val="14"/>
        </w:numPr>
        <w:tabs>
          <w:tab w:val="left" w:pos="1115"/>
        </w:tabs>
        <w:spacing w:after="120" w:line="259" w:lineRule="auto"/>
        <w:ind w:left="1117" w:right="0" w:hanging="635"/>
      </w:pPr>
      <w:r>
        <w:t xml:space="preserve">The </w:t>
      </w:r>
      <w:r w:rsidR="006B5284">
        <w:t>common capacity calculation</w:t>
      </w:r>
      <w:r>
        <w:t xml:space="preserve"> methodology Proposal </w:t>
      </w:r>
      <w:r w:rsidR="00FB0B6D">
        <w:t xml:space="preserve">generally </w:t>
      </w:r>
      <w:r>
        <w:t>contributes to the achievement of the objectives of Article 3 of the CACM Regulation:</w:t>
      </w:r>
    </w:p>
    <w:p w14:paraId="2FA21D38" w14:textId="41401E50" w:rsidR="002A72C5" w:rsidRDefault="007F2107" w:rsidP="00887518">
      <w:pPr>
        <w:pStyle w:val="BodyText"/>
        <w:spacing w:after="120" w:line="259" w:lineRule="auto"/>
        <w:ind w:left="1114"/>
        <w:jc w:val="both"/>
      </w:pPr>
      <w:r>
        <w:t xml:space="preserve">Article 3(a) of the CACM Regulation aims at promoting effective competition in the generation, trading and supply of electricity. The </w:t>
      </w:r>
      <w:r w:rsidR="006B5284">
        <w:t>common capacity calculation</w:t>
      </w:r>
      <w:r>
        <w:t xml:space="preserve"> methodology Proposal serves the objective of promoting effective competition in the generation, trading and supply of electricity by defining a set of </w:t>
      </w:r>
      <w:r w:rsidR="00656B2C">
        <w:t>harmonized</w:t>
      </w:r>
      <w:r>
        <w:t xml:space="preserve"> rules for capacity calculation and congestion management, which contributes to the effectiveness of the single day-ahead and intraday coupling. Establishing common and coordinated processes for the capacity calculations within the day-ahead and intraday market timeframes contributes to achieve this objective.</w:t>
      </w:r>
    </w:p>
    <w:p w14:paraId="4E588E49" w14:textId="53D7CB70" w:rsidR="002A72C5" w:rsidRDefault="007F2107" w:rsidP="00887518">
      <w:pPr>
        <w:pStyle w:val="BodyText"/>
        <w:spacing w:before="1" w:after="120" w:line="259" w:lineRule="auto"/>
        <w:ind w:left="1114"/>
        <w:jc w:val="both"/>
      </w:pPr>
      <w:r>
        <w:t xml:space="preserve">Article 3(b) of the CACM Regulation aims at ensuring optimal use of the transmission infrastructure. The </w:t>
      </w:r>
      <w:r w:rsidR="006B5284">
        <w:t>common capacity calculation</w:t>
      </w:r>
      <w:r>
        <w:t xml:space="preserve"> methodology Proposal contributes to achieve the objective of ensuring optimal use of the transmission infrastructure by using last available inputs based on the best possible forecast of transmission systems at the time of each capacity calculation, updated in a timely manner.</w:t>
      </w:r>
    </w:p>
    <w:p w14:paraId="51187B18" w14:textId="18A46281" w:rsidR="002A72C5" w:rsidRDefault="007F2107" w:rsidP="00887518">
      <w:pPr>
        <w:pStyle w:val="BodyText"/>
        <w:spacing w:after="120" w:line="259" w:lineRule="auto"/>
        <w:ind w:left="1114"/>
        <w:jc w:val="both"/>
      </w:pPr>
      <w:r>
        <w:t xml:space="preserve">Article 3(c) of the CACM Regulation aims at ensuring operational security. The </w:t>
      </w:r>
      <w:r w:rsidR="006B5284">
        <w:t>common capacity calculation</w:t>
      </w:r>
      <w:r>
        <w:t xml:space="preserve"> methodology Proposal contributes to achieve the objective of ensuring operational</w:t>
      </w:r>
      <w:r w:rsidR="00C334C4">
        <w:t xml:space="preserve"> security</w:t>
      </w:r>
      <w:r>
        <w:t xml:space="preserve"> by coordinating the capacity calculation with updated inputs for the day-ahead and intraday market timeframe at regional level to ensure its reliability.</w:t>
      </w:r>
    </w:p>
    <w:p w14:paraId="64FDFD65" w14:textId="0B322B74" w:rsidR="002A72C5" w:rsidRDefault="007F2107" w:rsidP="00887518">
      <w:pPr>
        <w:pStyle w:val="BodyText"/>
        <w:spacing w:before="1" w:after="120" w:line="259" w:lineRule="auto"/>
        <w:ind w:left="1114"/>
        <w:jc w:val="both"/>
      </w:pPr>
      <w:r>
        <w:t xml:space="preserve">Article 3(d) of the CACM Regulation aims at </w:t>
      </w:r>
      <w:r w:rsidR="00656B2C">
        <w:t>optimizing</w:t>
      </w:r>
      <w:r>
        <w:t xml:space="preserve"> the calculation and allocation of cross- zonal capacity. By coordinating the timings for the delivery of inputs, calculation approach and validation requirements of the </w:t>
      </w:r>
      <w:r w:rsidR="006B5284">
        <w:t>common capacity calculation</w:t>
      </w:r>
      <w:r>
        <w:t xml:space="preserve"> between TSOs and the coordinated capacity calculator, the </w:t>
      </w:r>
      <w:r w:rsidR="006B5284">
        <w:t>common capacity calculation</w:t>
      </w:r>
      <w:r>
        <w:rPr>
          <w:spacing w:val="-4"/>
        </w:rPr>
        <w:t xml:space="preserve"> </w:t>
      </w:r>
      <w:r>
        <w:t>methodology</w:t>
      </w:r>
      <w:r>
        <w:rPr>
          <w:spacing w:val="-8"/>
        </w:rPr>
        <w:t xml:space="preserve"> </w:t>
      </w:r>
      <w:r>
        <w:t>proposal</w:t>
      </w:r>
      <w:r>
        <w:rPr>
          <w:spacing w:val="-5"/>
        </w:rPr>
        <w:t xml:space="preserve"> </w:t>
      </w:r>
      <w:r>
        <w:t>contributes</w:t>
      </w:r>
      <w:r>
        <w:rPr>
          <w:spacing w:val="-8"/>
        </w:rPr>
        <w:t xml:space="preserve"> </w:t>
      </w:r>
      <w:r>
        <w:t>to</w:t>
      </w:r>
      <w:r>
        <w:rPr>
          <w:spacing w:val="-8"/>
        </w:rPr>
        <w:t xml:space="preserve"> </w:t>
      </w:r>
      <w:r>
        <w:t>achieve</w:t>
      </w:r>
      <w:r>
        <w:rPr>
          <w:spacing w:val="-6"/>
        </w:rPr>
        <w:t xml:space="preserve"> </w:t>
      </w:r>
      <w:r>
        <w:t>the</w:t>
      </w:r>
      <w:r>
        <w:rPr>
          <w:spacing w:val="-10"/>
        </w:rPr>
        <w:t xml:space="preserve"> </w:t>
      </w:r>
      <w:r>
        <w:t>objective</w:t>
      </w:r>
      <w:r>
        <w:rPr>
          <w:spacing w:val="-6"/>
        </w:rPr>
        <w:t xml:space="preserve"> </w:t>
      </w:r>
      <w:r>
        <w:t>of</w:t>
      </w:r>
      <w:r>
        <w:rPr>
          <w:spacing w:val="-5"/>
        </w:rPr>
        <w:t xml:space="preserve"> </w:t>
      </w:r>
      <w:r w:rsidR="00656B2C">
        <w:t>optimizing</w:t>
      </w:r>
      <w:r>
        <w:rPr>
          <w:spacing w:val="-8"/>
        </w:rPr>
        <w:t xml:space="preserve"> </w:t>
      </w:r>
      <w:r>
        <w:t>the</w:t>
      </w:r>
      <w:r>
        <w:rPr>
          <w:spacing w:val="-8"/>
        </w:rPr>
        <w:t xml:space="preserve"> </w:t>
      </w:r>
      <w:r>
        <w:t>calculation</w:t>
      </w:r>
      <w:r>
        <w:rPr>
          <w:spacing w:val="-6"/>
        </w:rPr>
        <w:t xml:space="preserve"> </w:t>
      </w:r>
      <w:r>
        <w:t>and allocation of cross-zonal</w:t>
      </w:r>
      <w:r>
        <w:rPr>
          <w:spacing w:val="-10"/>
        </w:rPr>
        <w:t xml:space="preserve"> </w:t>
      </w:r>
      <w:r>
        <w:t>capacity.</w:t>
      </w:r>
    </w:p>
    <w:p w14:paraId="2FDD38B2" w14:textId="29A07671" w:rsidR="002A72C5" w:rsidRDefault="007F2107" w:rsidP="00887518">
      <w:pPr>
        <w:pStyle w:val="BodyText"/>
        <w:spacing w:after="120" w:line="259" w:lineRule="auto"/>
        <w:ind w:left="1111"/>
        <w:jc w:val="both"/>
      </w:pPr>
      <w:r>
        <w:t>Article 3(g) of the CACM Regulation aims at contributing to the efficient long-term operation and development of the electricity transmission system and electricity sector in the Union. By using</w:t>
      </w:r>
      <w:r>
        <w:rPr>
          <w:spacing w:val="-17"/>
        </w:rPr>
        <w:t xml:space="preserve"> </w:t>
      </w:r>
      <w:r>
        <w:t>the</w:t>
      </w:r>
      <w:r>
        <w:rPr>
          <w:spacing w:val="-14"/>
        </w:rPr>
        <w:t xml:space="preserve"> </w:t>
      </w:r>
      <w:r>
        <w:t>best</w:t>
      </w:r>
      <w:r>
        <w:rPr>
          <w:spacing w:val="-13"/>
        </w:rPr>
        <w:t xml:space="preserve"> </w:t>
      </w:r>
      <w:r>
        <w:t>possible</w:t>
      </w:r>
      <w:r>
        <w:rPr>
          <w:spacing w:val="-14"/>
        </w:rPr>
        <w:t xml:space="preserve"> </w:t>
      </w:r>
      <w:r>
        <w:t>forecast</w:t>
      </w:r>
      <w:r>
        <w:rPr>
          <w:spacing w:val="-13"/>
        </w:rPr>
        <w:t xml:space="preserve"> </w:t>
      </w:r>
      <w:r>
        <w:t>of</w:t>
      </w:r>
      <w:r>
        <w:rPr>
          <w:spacing w:val="-13"/>
        </w:rPr>
        <w:t xml:space="preserve"> </w:t>
      </w:r>
      <w:r>
        <w:t>the</w:t>
      </w:r>
      <w:r>
        <w:rPr>
          <w:spacing w:val="-14"/>
        </w:rPr>
        <w:t xml:space="preserve"> </w:t>
      </w:r>
      <w:r>
        <w:t>transmission</w:t>
      </w:r>
      <w:r>
        <w:rPr>
          <w:spacing w:val="-14"/>
        </w:rPr>
        <w:t xml:space="preserve"> </w:t>
      </w:r>
      <w:r>
        <w:t>systems</w:t>
      </w:r>
      <w:r>
        <w:rPr>
          <w:spacing w:val="-14"/>
        </w:rPr>
        <w:t xml:space="preserve"> </w:t>
      </w:r>
      <w:r>
        <w:t>at</w:t>
      </w:r>
      <w:r>
        <w:rPr>
          <w:spacing w:val="-13"/>
        </w:rPr>
        <w:t xml:space="preserve"> </w:t>
      </w:r>
      <w:r>
        <w:t>the</w:t>
      </w:r>
      <w:r>
        <w:rPr>
          <w:spacing w:val="-14"/>
        </w:rPr>
        <w:t xml:space="preserve"> </w:t>
      </w:r>
      <w:r>
        <w:t>time</w:t>
      </w:r>
      <w:r>
        <w:rPr>
          <w:spacing w:val="-14"/>
        </w:rPr>
        <w:t xml:space="preserve"> </w:t>
      </w:r>
      <w:r>
        <w:t>of</w:t>
      </w:r>
      <w:r>
        <w:rPr>
          <w:spacing w:val="-13"/>
        </w:rPr>
        <w:t xml:space="preserve"> </w:t>
      </w:r>
      <w:r>
        <w:t>each</w:t>
      </w:r>
      <w:r>
        <w:rPr>
          <w:spacing w:val="-17"/>
        </w:rPr>
        <w:t xml:space="preserve"> </w:t>
      </w:r>
      <w:r>
        <w:t>capacity</w:t>
      </w:r>
      <w:r>
        <w:rPr>
          <w:spacing w:val="-17"/>
        </w:rPr>
        <w:t xml:space="preserve"> </w:t>
      </w:r>
      <w:r>
        <w:t>calculation within</w:t>
      </w:r>
      <w:r>
        <w:rPr>
          <w:spacing w:val="-13"/>
        </w:rPr>
        <w:t xml:space="preserve"> </w:t>
      </w:r>
      <w:r>
        <w:t>the</w:t>
      </w:r>
      <w:r>
        <w:rPr>
          <w:spacing w:val="-13"/>
        </w:rPr>
        <w:t xml:space="preserve"> </w:t>
      </w:r>
      <w:r w:rsidR="00F236C7">
        <w:rPr>
          <w:spacing w:val="-13"/>
        </w:rPr>
        <w:t xml:space="preserve">SEE </w:t>
      </w:r>
      <w:r w:rsidR="007B0A79">
        <w:t>CCR</w:t>
      </w:r>
      <w:r>
        <w:t>,</w:t>
      </w:r>
      <w:r>
        <w:rPr>
          <w:spacing w:val="-16"/>
        </w:rPr>
        <w:t xml:space="preserve"> </w:t>
      </w:r>
      <w:r>
        <w:t>the</w:t>
      </w:r>
      <w:r>
        <w:rPr>
          <w:spacing w:val="-18"/>
        </w:rPr>
        <w:t xml:space="preserve"> </w:t>
      </w:r>
      <w:r>
        <w:t>results</w:t>
      </w:r>
      <w:r>
        <w:rPr>
          <w:spacing w:val="-13"/>
        </w:rPr>
        <w:t xml:space="preserve"> </w:t>
      </w:r>
      <w:r>
        <w:t>of</w:t>
      </w:r>
      <w:r>
        <w:rPr>
          <w:spacing w:val="-15"/>
        </w:rPr>
        <w:t xml:space="preserve"> </w:t>
      </w:r>
      <w:r>
        <w:t>the</w:t>
      </w:r>
      <w:r>
        <w:rPr>
          <w:spacing w:val="-15"/>
        </w:rPr>
        <w:t xml:space="preserve"> </w:t>
      </w:r>
      <w:r>
        <w:t>coordinated</w:t>
      </w:r>
      <w:r>
        <w:rPr>
          <w:spacing w:val="-13"/>
        </w:rPr>
        <w:t xml:space="preserve"> </w:t>
      </w:r>
      <w:r>
        <w:t>capacity</w:t>
      </w:r>
      <w:r>
        <w:rPr>
          <w:spacing w:val="-16"/>
        </w:rPr>
        <w:t xml:space="preserve"> </w:t>
      </w:r>
      <w:r>
        <w:t>calculation</w:t>
      </w:r>
      <w:r>
        <w:rPr>
          <w:spacing w:val="-13"/>
        </w:rPr>
        <w:t xml:space="preserve"> </w:t>
      </w:r>
      <w:r>
        <w:t>contribute</w:t>
      </w:r>
      <w:r>
        <w:rPr>
          <w:spacing w:val="-13"/>
        </w:rPr>
        <w:t xml:space="preserve"> </w:t>
      </w:r>
      <w:r>
        <w:t>to</w:t>
      </w:r>
      <w:r>
        <w:rPr>
          <w:spacing w:val="-16"/>
        </w:rPr>
        <w:t xml:space="preserve"> </w:t>
      </w:r>
      <w:r>
        <w:t>determine the most limiting branches within this region, thus supporting TSOs for a more efficient development of the electricity transmission</w:t>
      </w:r>
      <w:r>
        <w:rPr>
          <w:spacing w:val="-16"/>
        </w:rPr>
        <w:t xml:space="preserve"> </w:t>
      </w:r>
      <w:r>
        <w:lastRenderedPageBreak/>
        <w:t>system.</w:t>
      </w:r>
    </w:p>
    <w:p w14:paraId="038BA202" w14:textId="15A73F0B" w:rsidR="002A72C5" w:rsidRDefault="007F2107" w:rsidP="0085271F">
      <w:pPr>
        <w:pStyle w:val="ListParagraph"/>
        <w:numPr>
          <w:ilvl w:val="0"/>
          <w:numId w:val="14"/>
        </w:numPr>
        <w:tabs>
          <w:tab w:val="left" w:pos="1114"/>
          <w:tab w:val="left" w:pos="1115"/>
        </w:tabs>
        <w:spacing w:after="200" w:line="259" w:lineRule="auto"/>
        <w:ind w:left="1117" w:right="0" w:hanging="635"/>
      </w:pPr>
      <w:r>
        <w:t>In</w:t>
      </w:r>
      <w:r>
        <w:rPr>
          <w:spacing w:val="-6"/>
        </w:rPr>
        <w:t xml:space="preserve"> </w:t>
      </w:r>
      <w:r>
        <w:t>conclusion,</w:t>
      </w:r>
      <w:r>
        <w:rPr>
          <w:spacing w:val="-8"/>
        </w:rPr>
        <w:t xml:space="preserve"> </w:t>
      </w:r>
      <w:r>
        <w:t>the</w:t>
      </w:r>
      <w:r>
        <w:rPr>
          <w:spacing w:val="-8"/>
        </w:rPr>
        <w:t xml:space="preserve"> </w:t>
      </w:r>
      <w:r w:rsidR="006B5284">
        <w:t>common capacity calculation</w:t>
      </w:r>
      <w:r>
        <w:rPr>
          <w:spacing w:val="-7"/>
        </w:rPr>
        <w:t xml:space="preserve"> </w:t>
      </w:r>
      <w:r>
        <w:t>methodology</w:t>
      </w:r>
      <w:r>
        <w:rPr>
          <w:spacing w:val="-8"/>
        </w:rPr>
        <w:t xml:space="preserve"> </w:t>
      </w:r>
      <w:r>
        <w:t>Proposal</w:t>
      </w:r>
      <w:r>
        <w:rPr>
          <w:spacing w:val="-7"/>
        </w:rPr>
        <w:t xml:space="preserve"> </w:t>
      </w:r>
      <w:r>
        <w:t>contributes</w:t>
      </w:r>
      <w:r>
        <w:rPr>
          <w:spacing w:val="-8"/>
        </w:rPr>
        <w:t xml:space="preserve"> </w:t>
      </w:r>
      <w:r>
        <w:t>to</w:t>
      </w:r>
      <w:r>
        <w:rPr>
          <w:spacing w:val="-8"/>
        </w:rPr>
        <w:t xml:space="preserve"> </w:t>
      </w:r>
      <w:r>
        <w:t>the</w:t>
      </w:r>
      <w:r>
        <w:rPr>
          <w:spacing w:val="-6"/>
        </w:rPr>
        <w:t xml:space="preserve"> </w:t>
      </w:r>
      <w:r>
        <w:t>general</w:t>
      </w:r>
      <w:r>
        <w:rPr>
          <w:spacing w:val="-7"/>
        </w:rPr>
        <w:t xml:space="preserve"> </w:t>
      </w:r>
      <w:r>
        <w:t>objectives</w:t>
      </w:r>
      <w:r>
        <w:rPr>
          <w:spacing w:val="-8"/>
        </w:rPr>
        <w:t xml:space="preserve"> </w:t>
      </w:r>
      <w:r>
        <w:t>of</w:t>
      </w:r>
      <w:r>
        <w:rPr>
          <w:spacing w:val="-8"/>
        </w:rPr>
        <w:t xml:space="preserve"> </w:t>
      </w:r>
      <w:r>
        <w:t>the</w:t>
      </w:r>
      <w:r>
        <w:rPr>
          <w:spacing w:val="-8"/>
        </w:rPr>
        <w:t xml:space="preserve"> </w:t>
      </w:r>
      <w:r>
        <w:t>CACM Regulation</w:t>
      </w:r>
      <w:r w:rsidR="00A67ED2">
        <w:t xml:space="preserve"> to the benefit of all market participants and electricity end consumers</w:t>
      </w:r>
      <w:r>
        <w:t>.</w:t>
      </w:r>
    </w:p>
    <w:p w14:paraId="2AC883EE" w14:textId="5F93EE4E" w:rsidR="00697F55" w:rsidRPr="009C093F" w:rsidRDefault="00697F55" w:rsidP="00097A6E">
      <w:pPr>
        <w:pStyle w:val="ListParagraph"/>
        <w:numPr>
          <w:ilvl w:val="0"/>
          <w:numId w:val="14"/>
        </w:numPr>
        <w:tabs>
          <w:tab w:val="left" w:pos="1114"/>
          <w:tab w:val="left" w:pos="1115"/>
        </w:tabs>
        <w:spacing w:after="200" w:line="259" w:lineRule="auto"/>
        <w:ind w:left="1117" w:right="0" w:hanging="635"/>
      </w:pPr>
      <w:r>
        <w:t xml:space="preserve">Article 16(8) </w:t>
      </w:r>
      <w:r w:rsidRPr="009C093F">
        <w:t xml:space="preserve">of the Regulation (EC) 2019/943 complements the principles of the CACM Regulation, with the introduction of a requirement for a minimum level of capacity to be offered to the market: </w:t>
      </w:r>
    </w:p>
    <w:p w14:paraId="3466DA04" w14:textId="64947380" w:rsidR="00697F55" w:rsidRPr="009C093F" w:rsidRDefault="00697F55" w:rsidP="00097A6E">
      <w:pPr>
        <w:pStyle w:val="ListParagraph"/>
        <w:tabs>
          <w:tab w:val="left" w:pos="1114"/>
          <w:tab w:val="left" w:pos="1115"/>
        </w:tabs>
        <w:spacing w:after="200" w:line="259" w:lineRule="auto"/>
        <w:ind w:left="1117" w:right="0" w:firstLine="0"/>
      </w:pPr>
      <w:r w:rsidRPr="009C093F">
        <w:rPr>
          <w:i/>
          <w:iCs/>
        </w:rPr>
        <w:t xml:space="preserve">“Transmission system operators shall not limit the volume of interconnection capacity to be made available to market participants as a means of solving congestion inside their own bidding zone or as a means of managing flows resulting from transactions internal to bidding zones. Without prejudice to the application of the derogations under paragraphs 3 and 9 of this Article and to </w:t>
      </w:r>
      <w:r w:rsidRPr="009C093F">
        <w:t xml:space="preserve">6 </w:t>
      </w:r>
      <w:r w:rsidRPr="009C093F">
        <w:rPr>
          <w:i/>
          <w:iCs/>
        </w:rPr>
        <w:t xml:space="preserve">the application of Article 15(2), this paragraph shall be considered to be complied with where the following minimum levels of available capacity for cross-zonal trade are reached: </w:t>
      </w:r>
    </w:p>
    <w:p w14:paraId="68C69495" w14:textId="77777777" w:rsidR="00697F55" w:rsidRPr="009C093F" w:rsidRDefault="00697F55" w:rsidP="00097A6E">
      <w:pPr>
        <w:pStyle w:val="ListParagraph"/>
        <w:tabs>
          <w:tab w:val="left" w:pos="1114"/>
          <w:tab w:val="left" w:pos="1115"/>
        </w:tabs>
        <w:spacing w:after="200" w:line="259" w:lineRule="auto"/>
        <w:ind w:left="1117" w:right="0" w:firstLine="0"/>
      </w:pPr>
      <w:r w:rsidRPr="009C093F">
        <w:rPr>
          <w:i/>
          <w:iCs/>
        </w:rPr>
        <w:t xml:space="preserve">(a) for borders using a coordinated net transmission capacity approach, the minimum capacity shall be 70 % of the transmission capacity respecting operational security limits after deduction of contingencies, as determined in accordance with the capacity allocation and congestion management guideline adopted on the basis of Article 18(5) of Regulation (EC) No 714/2009; </w:t>
      </w:r>
    </w:p>
    <w:p w14:paraId="253EFCC2" w14:textId="77777777" w:rsidR="00697F55" w:rsidRPr="009C093F" w:rsidRDefault="00697F55" w:rsidP="00097A6E">
      <w:pPr>
        <w:pStyle w:val="ListParagraph"/>
        <w:tabs>
          <w:tab w:val="left" w:pos="1114"/>
          <w:tab w:val="left" w:pos="1115"/>
        </w:tabs>
        <w:spacing w:after="200" w:line="259" w:lineRule="auto"/>
        <w:ind w:left="1117" w:right="0" w:firstLine="0"/>
      </w:pPr>
      <w:r w:rsidRPr="009C093F">
        <w:rPr>
          <w:i/>
          <w:iCs/>
        </w:rPr>
        <w:t xml:space="preserve">(b) for borders using a flow-based approach, the minimum capacity shall be a margin set in the capacity calculation process as available for flows induced by cross-zonal exchange. The margin shall be 70 % of the capacity respecting operational security limits of internal and cross-zonal critical network elements, taking into account contingencies, as determined in accordance with the capacity allocation and congestion management guideline adopted on the basis of Article 18(5) of Regulation (EC) No 714/2009. </w:t>
      </w:r>
    </w:p>
    <w:p w14:paraId="4C378CDC" w14:textId="7C737624" w:rsidR="00697F55" w:rsidRDefault="00697F55" w:rsidP="009C093F">
      <w:pPr>
        <w:pStyle w:val="ListParagraph"/>
        <w:tabs>
          <w:tab w:val="left" w:pos="1114"/>
          <w:tab w:val="left" w:pos="1115"/>
        </w:tabs>
        <w:spacing w:after="200" w:line="259" w:lineRule="auto"/>
        <w:ind w:left="1114" w:right="0" w:firstLine="0"/>
      </w:pPr>
      <w:r w:rsidRPr="009C093F">
        <w:rPr>
          <w:i/>
          <w:iCs/>
        </w:rPr>
        <w:t>The total amount of 30 % can be used for the reliability margins, loop flows and internal flows on each critical network element.”</w:t>
      </w:r>
    </w:p>
    <w:p w14:paraId="480222FA" w14:textId="7C737624" w:rsidR="003B10AF" w:rsidRDefault="002514CF" w:rsidP="009C093F">
      <w:pPr>
        <w:pStyle w:val="ListParagraph"/>
        <w:numPr>
          <w:ilvl w:val="0"/>
          <w:numId w:val="14"/>
        </w:numPr>
        <w:tabs>
          <w:tab w:val="left" w:pos="1114"/>
          <w:tab w:val="left" w:pos="1115"/>
        </w:tabs>
        <w:spacing w:after="200" w:line="259" w:lineRule="auto"/>
        <w:ind w:right="0"/>
      </w:pPr>
      <w:r w:rsidRPr="002514CF">
        <w:t>The common capacity calculation methodology</w:t>
      </w:r>
      <w:r>
        <w:t xml:space="preserve"> is based on forecast models of the transmissions system. The</w:t>
      </w:r>
      <w:r w:rsidR="00EB06EE">
        <w:t xml:space="preserve">refore, the outcomes are subject to inaccuracies and uncertainties. The aim of the reliability margin is to cover a level of risk </w:t>
      </w:r>
      <w:r w:rsidR="008E586C">
        <w:t xml:space="preserve">induced by these forecast errors. Nevertheless, in order to limit the impact of these uncertainties on available cross-zonal capacities, an overall limitation of reliability margin is needed and uncertainties exceeding this limitation should be managed in other ways. This methodology applies a temporary </w:t>
      </w:r>
      <w:r w:rsidR="002576AB">
        <w:t>range</w:t>
      </w:r>
      <w:r w:rsidR="008E586C">
        <w:t xml:space="preserve"> for re</w:t>
      </w:r>
      <w:r w:rsidR="008A4C11">
        <w:t>li</w:t>
      </w:r>
      <w:r w:rsidR="008E586C">
        <w:t xml:space="preserve">ability margin, </w:t>
      </w:r>
      <w:r w:rsidR="008A4C11">
        <w:t>by using the reliability margin values already in operation in the existing capacity calculation initiatives.</w:t>
      </w:r>
      <w:r w:rsidR="00B70B48">
        <w:t xml:space="preserve"> The first real calculation can only be done after some operational experience is gained with the application of this methodology.</w:t>
      </w:r>
    </w:p>
    <w:p w14:paraId="3E5DFAB8" w14:textId="5CF15FBE" w:rsidR="00697F55" w:rsidRDefault="00697F55" w:rsidP="009C093F">
      <w:pPr>
        <w:pStyle w:val="ListParagraph"/>
        <w:numPr>
          <w:ilvl w:val="0"/>
          <w:numId w:val="14"/>
        </w:numPr>
        <w:tabs>
          <w:tab w:val="left" w:pos="1114"/>
          <w:tab w:val="left" w:pos="1115"/>
        </w:tabs>
        <w:spacing w:after="200" w:line="259" w:lineRule="auto"/>
        <w:ind w:right="0"/>
      </w:pPr>
      <w:r w:rsidRPr="00697F55">
        <w:t>Articles 15(1), 15(2) and 15(4), and Article 16(9) of the Regulation (EC) 2019/943 introduce possible temporary exemptions to comply with the minimum level of capacity set in the Article 16(8) of the Regulation (EC) 2019/943 through action plans and derogations.</w:t>
      </w:r>
    </w:p>
    <w:p w14:paraId="63907C2A" w14:textId="77777777" w:rsidR="00697F55" w:rsidRDefault="00697F55" w:rsidP="00097A6E">
      <w:pPr>
        <w:pStyle w:val="ListParagraph"/>
        <w:numPr>
          <w:ilvl w:val="0"/>
          <w:numId w:val="14"/>
        </w:numPr>
        <w:tabs>
          <w:tab w:val="left" w:pos="1114"/>
          <w:tab w:val="left" w:pos="1115"/>
        </w:tabs>
        <w:spacing w:after="200" w:line="259" w:lineRule="auto"/>
        <w:ind w:left="1111" w:right="0"/>
      </w:pPr>
      <w:r>
        <w:t>Article 16(4) of the Regulation (EC) 2019/943 gives a framework for the consideration of costly remedial actions in the capacity calculation:</w:t>
      </w:r>
    </w:p>
    <w:p w14:paraId="3BDBB34F" w14:textId="0CF357AF" w:rsidR="00697F55" w:rsidRDefault="00697F55" w:rsidP="00097A6E">
      <w:pPr>
        <w:pStyle w:val="ListParagraph"/>
        <w:tabs>
          <w:tab w:val="left" w:pos="1114"/>
          <w:tab w:val="left" w:pos="1115"/>
        </w:tabs>
        <w:spacing w:after="200" w:line="259" w:lineRule="auto"/>
        <w:ind w:left="1111" w:right="0" w:firstLine="0"/>
      </w:pPr>
      <w:r>
        <w:t xml:space="preserve">“The maximum level of capacity of the interconnections and the transmission networks affected by cross-border capacity shall be made available to market participants complying with the safety standards of secure network operation. Counter-trading and redispatch, including cross-border redispatch, shall be used to maximise available capacities to reach the minimum capacity provided for in paragraph 8. A coordinated and non-discriminatory process for cross-border remedial actions shall be applied to enable such maximisation, following the implementation of a redispatching and counter-trading cost-sharing </w:t>
      </w:r>
      <w:r>
        <w:lastRenderedPageBreak/>
        <w:t>methodology.”</w:t>
      </w:r>
    </w:p>
    <w:p w14:paraId="46B6643D" w14:textId="77777777" w:rsidR="00697F55" w:rsidRDefault="00697F55" w:rsidP="00444CB2">
      <w:pPr>
        <w:pStyle w:val="ListParagraph"/>
        <w:numPr>
          <w:ilvl w:val="0"/>
          <w:numId w:val="14"/>
        </w:numPr>
        <w:tabs>
          <w:tab w:val="left" w:pos="1114"/>
          <w:tab w:val="left" w:pos="1115"/>
        </w:tabs>
        <w:spacing w:after="200" w:line="259" w:lineRule="auto"/>
        <w:ind w:right="-46"/>
      </w:pPr>
      <w:r>
        <w:t>Article 16(3) of the Regulation (EC) 2019/943 describes the capacity calculation process and attributes the role of coordinated capacity calculator to the regional coordination centres:</w:t>
      </w:r>
    </w:p>
    <w:p w14:paraId="32F2D0D8" w14:textId="5E304B1B" w:rsidR="00697F55" w:rsidRPr="00444CB2" w:rsidRDefault="00697F55" w:rsidP="009C093F">
      <w:pPr>
        <w:pStyle w:val="ListParagraph"/>
        <w:tabs>
          <w:tab w:val="left" w:pos="1114"/>
          <w:tab w:val="left" w:pos="1115"/>
        </w:tabs>
        <w:spacing w:after="200" w:line="259" w:lineRule="auto"/>
        <w:ind w:left="1114" w:right="0" w:firstLine="0"/>
        <w:rPr>
          <w:i/>
        </w:rPr>
      </w:pPr>
      <w:r w:rsidRPr="00444CB2">
        <w:rPr>
          <w:i/>
        </w:rPr>
        <w:t>“Regional coordination centres shall carry out coordinated capacity calculation in accordance with paragraphs 4 and 8 of this Article, as provided for in point (a) of Article 37(1) and in Article 42(1). Regional coordination centres shall calculate cross-zonal capacities respecting operational security limits using data from transmission system operators including data on the technical availability of remedial actions, not including load shedding. Where regional coordination centres conclude that those available remedial actions in the capacity calculation region or between capacity calculation regions are not sufficient to reach the linear trajectory pursuant to Article 15(2) or the minimum capacities provided for in paragraph 8 of this Article while respecting operational security limits, they may, as a measure of last resort, set out coordinated actions reducing the cross-zonal capacities accordingly. Transmission system operators may deviate from coordinated actions in respect of coordinated capacity calculation and coordinated security analysis only in accordance with Article 42(2). By 3 months after the entry into operation of the regional coordination centres pursuant to Article 35(2) of this Regulation and every three months thereafter, the regional coordination centres shall submit a report to the relevant regulatory authorities and to ACER on any reduction of capacity or deviation from coordinated actions pursuant to the second subparagraph and shall assess the incidences and make recommendations, if necessary, on how to avoid such deviations in the future. If ACER concludes that the prerequisites for a deviation pursuant to this paragraph are not fulfilled or are of a structural nature, ACER shall submit an opinion to the relevant regulatory authorities and to the Commission. The competent regulatory authorities shall take appropriate action against transmission system operators or regional coordination centres pursuant to Article 59 or 62 of Directive (EU) 2019/944 if the prerequisites for a deviation pursuant to this paragraph were not fulfilled. Deviations of a structural nature shall be addressed in an action plan referred to in Article 14(7) or in an update of an existing action plan.”</w:t>
      </w:r>
    </w:p>
    <w:p w14:paraId="4DC300DA" w14:textId="17DF2ADD" w:rsidR="00B70B48" w:rsidRDefault="00DE067D" w:rsidP="009C093F">
      <w:pPr>
        <w:pStyle w:val="ListParagraph"/>
        <w:numPr>
          <w:ilvl w:val="0"/>
          <w:numId w:val="14"/>
        </w:numPr>
        <w:tabs>
          <w:tab w:val="left" w:pos="1114"/>
          <w:tab w:val="left" w:pos="1115"/>
        </w:tabs>
        <w:spacing w:after="200" w:line="259" w:lineRule="auto"/>
        <w:ind w:right="0"/>
      </w:pPr>
      <w:r>
        <w:t>The final definition of the capacity calculation inputs</w:t>
      </w:r>
      <w:r w:rsidR="00EE002B">
        <w:t xml:space="preserve"> (the reliability margin, the list of critical network elements, the generation shift key, </w:t>
      </w:r>
      <w:r w:rsidR="00D10FFE">
        <w:t>and remedial</w:t>
      </w:r>
      <w:r w:rsidR="00EE002B">
        <w:t xml:space="preserve"> actions)</w:t>
      </w:r>
      <w:r>
        <w:t xml:space="preserve"> shall be reviewed and redefined if needed after the implementation of this methodology once some </w:t>
      </w:r>
      <w:r w:rsidR="00EE002B">
        <w:t xml:space="preserve">operational experience is obtained. </w:t>
      </w:r>
      <w:r w:rsidR="00175C54">
        <w:t>The SEE TSOs shall make ex-post analysis of these input parameters regularly and, if considered necessary, they will request to change them</w:t>
      </w:r>
      <w:r w:rsidR="00A43965">
        <w:t xml:space="preserve">. </w:t>
      </w:r>
      <w:r w:rsidR="00A43965" w:rsidRPr="00A43965">
        <w:t>If any change leads to an adaption of this meth</w:t>
      </w:r>
      <w:r w:rsidR="00A43965">
        <w:t>odology, SEE TSOs will amend th</w:t>
      </w:r>
      <w:r w:rsidR="00A43965" w:rsidRPr="00A43965">
        <w:t>is methodology according to Article 9(13) of the CACM Regulation</w:t>
      </w:r>
      <w:r w:rsidR="00A43965">
        <w:t>.</w:t>
      </w:r>
    </w:p>
    <w:p w14:paraId="2EE26C7F" w14:textId="64480B22" w:rsidR="00876ADC" w:rsidRDefault="00876ADC" w:rsidP="009C093F">
      <w:pPr>
        <w:pStyle w:val="ListParagraph"/>
        <w:numPr>
          <w:ilvl w:val="0"/>
          <w:numId w:val="14"/>
        </w:numPr>
        <w:tabs>
          <w:tab w:val="left" w:pos="1114"/>
          <w:tab w:val="left" w:pos="1115"/>
        </w:tabs>
        <w:spacing w:after="200" w:line="259" w:lineRule="auto"/>
        <w:ind w:right="0"/>
      </w:pPr>
      <w:r>
        <w:t>To avoid undue discrimination between internal and cross-zonal exchanges (and the underlying discrimination between market participants trading inside or between bidding zones), this methodology</w:t>
      </w:r>
      <w:r w:rsidR="00B16C22">
        <w:t xml:space="preserve"> introduces important measures. </w:t>
      </w:r>
      <w:r w:rsidR="006B191D">
        <w:t>T</w:t>
      </w:r>
      <w:r w:rsidR="00D1483F">
        <w:t xml:space="preserve">he SEE TSOs shall monitor only the elements significantly impacted by cross-zonal power exchanges. </w:t>
      </w:r>
      <w:r w:rsidR="00E91A44">
        <w:t>As mid-term and long-term measures, t</w:t>
      </w:r>
      <w:r w:rsidR="00D1483F">
        <w:t xml:space="preserve">he SEE TSOs shall investigate a higher sensitivity threshold for the elements significantly impacted by cross-zonal power exchanges and </w:t>
      </w:r>
      <w:r w:rsidR="00E91A44">
        <w:t xml:space="preserve">consider future </w:t>
      </w:r>
      <w:r w:rsidR="00D1483F">
        <w:t>investments</w:t>
      </w:r>
      <w:r w:rsidR="00E91A44">
        <w:t xml:space="preserve"> in the transmission grid</w:t>
      </w:r>
      <w:r w:rsidR="00D1483F">
        <w:t>.</w:t>
      </w:r>
    </w:p>
    <w:p w14:paraId="25B9555E" w14:textId="587C6BB3" w:rsidR="007B1EAA" w:rsidRDefault="007B1EAA" w:rsidP="009C093F">
      <w:pPr>
        <w:pStyle w:val="ListParagraph"/>
        <w:numPr>
          <w:ilvl w:val="0"/>
          <w:numId w:val="14"/>
        </w:numPr>
        <w:tabs>
          <w:tab w:val="left" w:pos="1114"/>
          <w:tab w:val="left" w:pos="1115"/>
        </w:tabs>
        <w:spacing w:after="200" w:line="259" w:lineRule="auto"/>
        <w:ind w:right="0"/>
      </w:pPr>
      <w:r>
        <w:t>Despite coordinated application of capacity calculation, SEE TSOs remain responsible for maintaining operational security. For this reason</w:t>
      </w:r>
      <w:r w:rsidR="00547FB4">
        <w:t>,</w:t>
      </w:r>
      <w:r>
        <w:t xml:space="preserve"> </w:t>
      </w:r>
      <w:r w:rsidR="00F1255B">
        <w:t>each SEE TSO shall validate and have the right to correct cross-zonal capacity relevant to the TSOs bidding zone border for reasons of operational security during the validation process. The validation process may lead to reductions of cross-zonal capacities. Thus, transparency, monitoring and reporting as well as exploration of alternative solutions in order to prevent similar cases in the future,</w:t>
      </w:r>
      <w:r>
        <w:t xml:space="preserve"> </w:t>
      </w:r>
      <w:r w:rsidR="00F1255B">
        <w:t>is necessary.</w:t>
      </w:r>
    </w:p>
    <w:p w14:paraId="610ADBD7" w14:textId="52AA5536" w:rsidR="00F1255B" w:rsidRDefault="0074464D" w:rsidP="009C093F">
      <w:pPr>
        <w:pStyle w:val="ListParagraph"/>
        <w:numPr>
          <w:ilvl w:val="0"/>
          <w:numId w:val="14"/>
        </w:numPr>
        <w:tabs>
          <w:tab w:val="left" w:pos="1114"/>
          <w:tab w:val="left" w:pos="1115"/>
        </w:tabs>
        <w:spacing w:after="200" w:line="259" w:lineRule="auto"/>
        <w:ind w:right="0"/>
      </w:pPr>
      <w:r>
        <w:t xml:space="preserve">Transparency and monitoring of capacity calculation is essential for ensuring its efficiency and understanding. This methodology establishes significant requirements on TSOs to publish the </w:t>
      </w:r>
      <w:r>
        <w:lastRenderedPageBreak/>
        <w:t xml:space="preserve">information required by stakeholders to </w:t>
      </w:r>
      <w:r w:rsidR="00D8684B">
        <w:t>analyses</w:t>
      </w:r>
      <w:r>
        <w:t xml:space="preserve"> the impact of capacity calculation on market functioning. Furthermore, </w:t>
      </w:r>
      <w:r w:rsidR="00D8684B">
        <w:t>this methodology establishes significant reporting requirements in order for the stakeholders, regulatory authorities and other interested party to verify either the transmission infrastructure is operated efficiently and in the interest of consumers.</w:t>
      </w:r>
    </w:p>
    <w:p w14:paraId="6B93D12E" w14:textId="77777777" w:rsidR="00D8684B" w:rsidRDefault="00D8684B" w:rsidP="00740D0F">
      <w:pPr>
        <w:pStyle w:val="ListParagraph"/>
        <w:tabs>
          <w:tab w:val="left" w:pos="1114"/>
          <w:tab w:val="left" w:pos="1115"/>
        </w:tabs>
        <w:spacing w:after="240" w:line="259" w:lineRule="auto"/>
        <w:ind w:left="1114" w:right="0" w:firstLine="0"/>
      </w:pPr>
    </w:p>
    <w:p w14:paraId="7D1E9C69" w14:textId="77777777" w:rsidR="007974DE" w:rsidRDefault="007974DE">
      <w:pPr>
        <w:pStyle w:val="BodyText"/>
        <w:spacing w:before="1"/>
        <w:rPr>
          <w:sz w:val="24"/>
        </w:rPr>
      </w:pPr>
    </w:p>
    <w:p w14:paraId="63F835C2" w14:textId="4C2A520D" w:rsidR="002A72C5" w:rsidRDefault="007F2107" w:rsidP="00922270">
      <w:pPr>
        <w:ind w:left="120"/>
        <w:jc w:val="both"/>
        <w:rPr>
          <w:b/>
        </w:rPr>
      </w:pPr>
      <w:r>
        <w:rPr>
          <w:b/>
        </w:rPr>
        <w:t xml:space="preserve">SUBMIT THE FOLLOWING </w:t>
      </w:r>
      <w:r w:rsidR="00922270">
        <w:rPr>
          <w:b/>
        </w:rPr>
        <w:t>DAY-AHEAD AND INTRADAY COMMON C</w:t>
      </w:r>
      <w:r w:rsidR="00A67ED2">
        <w:rPr>
          <w:b/>
        </w:rPr>
        <w:t>A</w:t>
      </w:r>
      <w:r w:rsidR="00922270">
        <w:rPr>
          <w:b/>
        </w:rPr>
        <w:t xml:space="preserve">PAPACITY CALCULATION </w:t>
      </w:r>
      <w:r>
        <w:rPr>
          <w:b/>
        </w:rPr>
        <w:t>METHODOLOGY TO NATIONAL REGULATORY AUTHORITIES</w:t>
      </w:r>
      <w:r w:rsidR="00922270">
        <w:rPr>
          <w:b/>
        </w:rPr>
        <w:t xml:space="preserve"> OF THE SEE CCR</w:t>
      </w:r>
      <w:r>
        <w:rPr>
          <w:b/>
        </w:rPr>
        <w:t>:</w:t>
      </w:r>
    </w:p>
    <w:p w14:paraId="3A65FC6E" w14:textId="77777777" w:rsidR="00922270" w:rsidRDefault="00922270" w:rsidP="00922270">
      <w:pPr>
        <w:ind w:left="120"/>
        <w:jc w:val="both"/>
        <w:sectPr w:rsidR="00922270" w:rsidSect="00CD3DAD">
          <w:headerReference w:type="default" r:id="rId8"/>
          <w:footerReference w:type="default" r:id="rId9"/>
          <w:pgSz w:w="11900" w:h="16840"/>
          <w:pgMar w:top="1860" w:right="500" w:bottom="1100" w:left="1240" w:header="703" w:footer="909" w:gutter="0"/>
          <w:cols w:space="720"/>
        </w:sectPr>
      </w:pPr>
    </w:p>
    <w:p w14:paraId="7EF5F933" w14:textId="77777777" w:rsidR="002A72C5" w:rsidRDefault="007F2107" w:rsidP="00CE4D6D">
      <w:pPr>
        <w:pStyle w:val="Title1"/>
        <w:ind w:right="0"/>
      </w:pPr>
      <w:r>
        <w:lastRenderedPageBreak/>
        <w:t>Article 1</w:t>
      </w:r>
    </w:p>
    <w:p w14:paraId="3D661BC1" w14:textId="77777777" w:rsidR="002A72C5" w:rsidRDefault="007F2107" w:rsidP="00CE4D6D">
      <w:pPr>
        <w:pStyle w:val="Title1"/>
        <w:ind w:right="0"/>
      </w:pPr>
      <w:r>
        <w:t>Subject matter and scope</w:t>
      </w:r>
    </w:p>
    <w:p w14:paraId="11438944" w14:textId="19E001AB" w:rsidR="002A72C5" w:rsidRDefault="007F2107" w:rsidP="002141FC">
      <w:pPr>
        <w:pStyle w:val="BodyText"/>
        <w:spacing w:before="112" w:line="276" w:lineRule="auto"/>
        <w:jc w:val="both"/>
      </w:pPr>
      <w:r>
        <w:t xml:space="preserve">The common capacity calculation methodology </w:t>
      </w:r>
      <w:r w:rsidR="007D1404">
        <w:t xml:space="preserve">shall be considered as a SEE TSOs methodology </w:t>
      </w:r>
      <w:r>
        <w:t>in accordance with Article</w:t>
      </w:r>
      <w:r w:rsidR="004C6679">
        <w:t xml:space="preserve"> 21 </w:t>
      </w:r>
      <w:r>
        <w:t>of the CACM Regulation</w:t>
      </w:r>
      <w:r w:rsidR="00F73DEA">
        <w:t xml:space="preserve"> and shall cover the day-ahead and intraday common capacity calculation </w:t>
      </w:r>
      <w:r w:rsidR="00E06E50">
        <w:t xml:space="preserve">methodology </w:t>
      </w:r>
      <w:r w:rsidR="00F73DEA">
        <w:t>for</w:t>
      </w:r>
      <w:r w:rsidR="00E06E50">
        <w:t xml:space="preserve"> the</w:t>
      </w:r>
      <w:r w:rsidR="00F73DEA">
        <w:t xml:space="preserve"> SEE CCR bidding </w:t>
      </w:r>
      <w:r w:rsidR="004C6679">
        <w:t xml:space="preserve">zone </w:t>
      </w:r>
      <w:r w:rsidR="00F73DEA">
        <w:t>borders</w:t>
      </w:r>
      <w:r>
        <w:t>.</w:t>
      </w:r>
    </w:p>
    <w:p w14:paraId="66F5BA7C" w14:textId="77777777" w:rsidR="002A72C5" w:rsidRDefault="002A72C5" w:rsidP="00DF7F15">
      <w:pPr>
        <w:pStyle w:val="BodyText"/>
        <w:spacing w:line="276" w:lineRule="auto"/>
      </w:pPr>
    </w:p>
    <w:p w14:paraId="39CAFB08" w14:textId="77777777" w:rsidR="00457547" w:rsidRDefault="007F2107" w:rsidP="00DF7F15">
      <w:pPr>
        <w:pStyle w:val="Title1"/>
        <w:spacing w:line="276" w:lineRule="auto"/>
        <w:ind w:right="0"/>
      </w:pPr>
      <w:bookmarkStart w:id="1" w:name="_TOC_250003"/>
      <w:bookmarkEnd w:id="1"/>
      <w:r>
        <w:t>Article 2</w:t>
      </w:r>
    </w:p>
    <w:p w14:paraId="7C001D81" w14:textId="67FB0442" w:rsidR="002A72C5" w:rsidRDefault="007F2107" w:rsidP="00DF7F15">
      <w:pPr>
        <w:pStyle w:val="Title1"/>
        <w:spacing w:line="276" w:lineRule="auto"/>
        <w:ind w:right="0"/>
      </w:pPr>
      <w:r>
        <w:t>Definitions and interpretation</w:t>
      </w:r>
    </w:p>
    <w:p w14:paraId="2B78E4BC" w14:textId="3ADFF769" w:rsidR="002A72C5" w:rsidRPr="00417AD9" w:rsidRDefault="007F2107" w:rsidP="00DF7F15">
      <w:pPr>
        <w:pStyle w:val="ListParagraph"/>
        <w:numPr>
          <w:ilvl w:val="0"/>
          <w:numId w:val="13"/>
        </w:numPr>
        <w:spacing w:after="200" w:line="276" w:lineRule="auto"/>
        <w:ind w:left="425" w:right="0" w:hanging="425"/>
      </w:pPr>
      <w:r w:rsidRPr="00CB7914">
        <w:t xml:space="preserve">For the purposes of the </w:t>
      </w:r>
      <w:r w:rsidR="00F73DEA">
        <w:t xml:space="preserve">day-ahead and intraday common capacity calculation </w:t>
      </w:r>
      <w:r w:rsidRPr="00CB7914">
        <w:t xml:space="preserve">methodology, the terms used </w:t>
      </w:r>
      <w:r w:rsidR="00F73DEA">
        <w:t xml:space="preserve">in this document </w:t>
      </w:r>
      <w:r w:rsidRPr="00CB7914">
        <w:t xml:space="preserve">shall have the meaning </w:t>
      </w:r>
      <w:r w:rsidR="00E61715">
        <w:t xml:space="preserve">of the definitions included </w:t>
      </w:r>
      <w:r w:rsidRPr="00CB7914">
        <w:t xml:space="preserve"> in</w:t>
      </w:r>
      <w:r w:rsidRPr="00E045CF">
        <w:rPr>
          <w:spacing w:val="-4"/>
        </w:rPr>
        <w:t xml:space="preserve"> </w:t>
      </w:r>
      <w:r w:rsidRPr="00E045CF">
        <w:t>Article</w:t>
      </w:r>
      <w:r w:rsidRPr="00417AD9">
        <w:rPr>
          <w:spacing w:val="-6"/>
        </w:rPr>
        <w:t xml:space="preserve"> </w:t>
      </w:r>
      <w:r w:rsidRPr="00417AD9">
        <w:t>2</w:t>
      </w:r>
      <w:r w:rsidRPr="00417AD9">
        <w:rPr>
          <w:spacing w:val="-4"/>
        </w:rPr>
        <w:t xml:space="preserve"> </w:t>
      </w:r>
      <w:r w:rsidRPr="00417AD9">
        <w:t>of</w:t>
      </w:r>
      <w:r w:rsidRPr="00417AD9">
        <w:rPr>
          <w:spacing w:val="-3"/>
        </w:rPr>
        <w:t xml:space="preserve"> </w:t>
      </w:r>
      <w:r w:rsidR="00F73DEA">
        <w:rPr>
          <w:spacing w:val="-3"/>
        </w:rPr>
        <w:t xml:space="preserve">the CACM Regulation, of </w:t>
      </w:r>
      <w:r w:rsidRPr="00417AD9">
        <w:t>Regulation</w:t>
      </w:r>
      <w:r w:rsidRPr="00417AD9">
        <w:rPr>
          <w:spacing w:val="-6"/>
        </w:rPr>
        <w:t xml:space="preserve"> </w:t>
      </w:r>
      <w:r w:rsidRPr="00417AD9">
        <w:t>(EC)</w:t>
      </w:r>
      <w:r w:rsidRPr="00417AD9">
        <w:rPr>
          <w:spacing w:val="-3"/>
        </w:rPr>
        <w:t xml:space="preserve"> </w:t>
      </w:r>
      <w:r w:rsidR="0046747F">
        <w:rPr>
          <w:spacing w:val="-3"/>
        </w:rPr>
        <w:t xml:space="preserve">No </w:t>
      </w:r>
      <w:r w:rsidRPr="00417AD9">
        <w:t>714/2009,</w:t>
      </w:r>
      <w:r w:rsidRPr="00417AD9">
        <w:rPr>
          <w:spacing w:val="-4"/>
        </w:rPr>
        <w:t xml:space="preserve"> </w:t>
      </w:r>
      <w:r w:rsidR="008951B3">
        <w:rPr>
          <w:spacing w:val="-4"/>
        </w:rPr>
        <w:t xml:space="preserve">in Article 2 </w:t>
      </w:r>
      <w:r w:rsidRPr="00417AD9">
        <w:t>of</w:t>
      </w:r>
      <w:r w:rsidRPr="00417AD9">
        <w:rPr>
          <w:spacing w:val="-5"/>
        </w:rPr>
        <w:t xml:space="preserve"> </w:t>
      </w:r>
      <w:r w:rsidR="008951B3">
        <w:rPr>
          <w:spacing w:val="-5"/>
        </w:rPr>
        <w:t xml:space="preserve">the </w:t>
      </w:r>
      <w:r w:rsidR="0046747F">
        <w:rPr>
          <w:spacing w:val="-5"/>
        </w:rPr>
        <w:t xml:space="preserve">Commission </w:t>
      </w:r>
      <w:r w:rsidRPr="00417AD9">
        <w:t>Regulation</w:t>
      </w:r>
      <w:r w:rsidRPr="00417AD9">
        <w:rPr>
          <w:spacing w:val="-4"/>
        </w:rPr>
        <w:t xml:space="preserve"> </w:t>
      </w:r>
      <w:r w:rsidRPr="00417AD9">
        <w:t>(</w:t>
      </w:r>
      <w:r w:rsidR="00DF7F15" w:rsidRPr="00417AD9">
        <w:t>E</w:t>
      </w:r>
      <w:r w:rsidR="00DF7F15">
        <w:t>U</w:t>
      </w:r>
      <w:r w:rsidRPr="00417AD9">
        <w:t>)</w:t>
      </w:r>
      <w:r w:rsidRPr="00417AD9">
        <w:rPr>
          <w:spacing w:val="-3"/>
        </w:rPr>
        <w:t xml:space="preserve"> </w:t>
      </w:r>
      <w:r w:rsidR="0046747F">
        <w:rPr>
          <w:spacing w:val="-3"/>
        </w:rPr>
        <w:t xml:space="preserve">No </w:t>
      </w:r>
      <w:r w:rsidRPr="00417AD9">
        <w:t>543/2013</w:t>
      </w:r>
      <w:r w:rsidR="0046747F">
        <w:t xml:space="preserve"> of 14 June 2013 on submission and publication of data in electricity markets and amending Annex I to Regulation (EC) No 714/2009 of</w:t>
      </w:r>
      <w:r w:rsidR="008951B3">
        <w:t xml:space="preserve"> the European Parliament and of the Council</w:t>
      </w:r>
      <w:r w:rsidR="00E61715">
        <w:t xml:space="preserve">, </w:t>
      </w:r>
      <w:r w:rsidR="008951B3">
        <w:t xml:space="preserve">in Article </w:t>
      </w:r>
      <w:r w:rsidR="004C450F">
        <w:t xml:space="preserve">2 of the </w:t>
      </w:r>
      <w:r w:rsidR="00E61715">
        <w:t>Directive 2009/72/EC</w:t>
      </w:r>
      <w:r w:rsidR="003A7F1D">
        <w:t xml:space="preserve"> of the European Parliament and of the Council of 13 July 2009 concerning common rules for the internal market in electricity and repealing Directive 2003/54/EC</w:t>
      </w:r>
      <w:r w:rsidRPr="00417AD9">
        <w:t>.</w:t>
      </w:r>
    </w:p>
    <w:p w14:paraId="0DD7457E" w14:textId="416334B5" w:rsidR="002A72C5" w:rsidRPr="00E045CF" w:rsidRDefault="007F2107" w:rsidP="00DF7F15">
      <w:pPr>
        <w:pStyle w:val="ListParagraph"/>
        <w:numPr>
          <w:ilvl w:val="0"/>
          <w:numId w:val="13"/>
        </w:numPr>
        <w:tabs>
          <w:tab w:val="left" w:pos="-4678"/>
        </w:tabs>
        <w:spacing w:before="1" w:line="276" w:lineRule="auto"/>
        <w:ind w:left="426" w:right="0" w:hanging="426"/>
      </w:pPr>
      <w:r w:rsidRPr="00CB7914">
        <w:t>In addition, the following definitions</w:t>
      </w:r>
      <w:r w:rsidR="00D41AFB">
        <w:t>, abbreviations and notations</w:t>
      </w:r>
      <w:r w:rsidRPr="00CB7914">
        <w:t xml:space="preserve"> shall</w:t>
      </w:r>
      <w:r w:rsidRPr="00E045CF">
        <w:rPr>
          <w:spacing w:val="-12"/>
        </w:rPr>
        <w:t xml:space="preserve"> </w:t>
      </w:r>
      <w:r w:rsidRPr="00E045CF">
        <w:t>apply:</w:t>
      </w:r>
    </w:p>
    <w:p w14:paraId="36A51A04" w14:textId="45BC5431" w:rsidR="009671DF" w:rsidRDefault="009671DF" w:rsidP="00973BD9">
      <w:pPr>
        <w:pStyle w:val="ListParagraph"/>
        <w:numPr>
          <w:ilvl w:val="0"/>
          <w:numId w:val="80"/>
        </w:numPr>
        <w:tabs>
          <w:tab w:val="left" w:pos="1561"/>
        </w:tabs>
        <w:spacing w:line="276" w:lineRule="auto"/>
        <w:ind w:left="1134" w:right="0" w:hanging="425"/>
      </w:pPr>
      <w:r>
        <w:t xml:space="preserve">‘AAC’ means the </w:t>
      </w:r>
      <w:r w:rsidRPr="005C42F5">
        <w:t>already allocated capacities</w:t>
      </w:r>
      <w:r w:rsidR="00992062">
        <w:t>, which is the</w:t>
      </w:r>
      <w:r w:rsidR="003857E1">
        <w:t xml:space="preserve"> capacity </w:t>
      </w:r>
      <w:r w:rsidR="003857E1" w:rsidRPr="003D58B5">
        <w:t xml:space="preserve">allocated as an outcome of the latest capacity calculation in the </w:t>
      </w:r>
      <w:r w:rsidR="003857E1">
        <w:t>SEE</w:t>
      </w:r>
      <w:r w:rsidR="003857E1" w:rsidRPr="003D58B5">
        <w:t xml:space="preserve"> CCR</w:t>
      </w:r>
      <w:r w:rsidR="003857E1">
        <w:t>;</w:t>
      </w:r>
      <w:r w:rsidR="00992062">
        <w:t xml:space="preserve"> </w:t>
      </w:r>
    </w:p>
    <w:p w14:paraId="5A04E251" w14:textId="5E58DFE9" w:rsidR="009671DF" w:rsidRDefault="009671DF" w:rsidP="00973BD9">
      <w:pPr>
        <w:pStyle w:val="ListParagraph"/>
        <w:numPr>
          <w:ilvl w:val="0"/>
          <w:numId w:val="80"/>
        </w:numPr>
        <w:spacing w:line="276" w:lineRule="auto"/>
        <w:ind w:left="1134" w:right="0" w:hanging="425"/>
      </w:pPr>
      <w:r w:rsidRPr="009671DF">
        <w:t>‘ANC’ means the already nominated capacities</w:t>
      </w:r>
      <w:r w:rsidR="00992062">
        <w:t>, which is the</w:t>
      </w:r>
      <w:r w:rsidR="003857E1">
        <w:t xml:space="preserve"> nomination of the </w:t>
      </w:r>
      <w:r w:rsidR="003857E1" w:rsidRPr="005C42F5">
        <w:t>already allocated capacities</w:t>
      </w:r>
      <w:r w:rsidRPr="009671DF">
        <w:t>;</w:t>
      </w:r>
    </w:p>
    <w:p w14:paraId="4F60D829" w14:textId="77521BB1" w:rsidR="005B4EA9" w:rsidRDefault="005B4EA9" w:rsidP="00973BD9">
      <w:pPr>
        <w:pStyle w:val="ListParagraph"/>
        <w:numPr>
          <w:ilvl w:val="0"/>
          <w:numId w:val="80"/>
        </w:numPr>
        <w:tabs>
          <w:tab w:val="left" w:pos="1561"/>
        </w:tabs>
        <w:spacing w:line="276" w:lineRule="auto"/>
        <w:ind w:left="1134" w:right="0" w:hanging="425"/>
      </w:pPr>
      <w:r>
        <w:t xml:space="preserve">‘ATC’ means the available transmission capacity, which is the transmission capacity that remains available </w:t>
      </w:r>
      <w:r w:rsidR="005E0119">
        <w:t xml:space="preserve">for </w:t>
      </w:r>
      <w:r>
        <w:t>the allocation procedure and which respects the physical conditions of the transmission system;</w:t>
      </w:r>
    </w:p>
    <w:p w14:paraId="62E73D7B" w14:textId="77777777" w:rsidR="005B4EA9" w:rsidRDefault="005B4EA9" w:rsidP="00973BD9">
      <w:pPr>
        <w:pStyle w:val="ListParagraph"/>
        <w:numPr>
          <w:ilvl w:val="0"/>
          <w:numId w:val="80"/>
        </w:numPr>
        <w:tabs>
          <w:tab w:val="left" w:pos="1561"/>
        </w:tabs>
        <w:spacing w:line="276" w:lineRule="auto"/>
        <w:ind w:left="1134" w:right="0" w:hanging="425"/>
      </w:pPr>
      <w:r>
        <w:t xml:space="preserve">‘CCC’ means the coordinated capacity calculator of the SEE CCR as </w:t>
      </w:r>
      <w:r w:rsidRPr="007454FC">
        <w:t>defined in Article 2(</w:t>
      </w:r>
      <w:r>
        <w:t>11</w:t>
      </w:r>
      <w:r w:rsidRPr="007454FC">
        <w:t>) of the CACM Regulation</w:t>
      </w:r>
      <w:r>
        <w:t>;</w:t>
      </w:r>
    </w:p>
    <w:p w14:paraId="3C3F492E" w14:textId="67814CFB" w:rsidR="005B4EA9" w:rsidRDefault="005B4EA9" w:rsidP="00973BD9">
      <w:pPr>
        <w:pStyle w:val="ListParagraph"/>
        <w:numPr>
          <w:ilvl w:val="0"/>
          <w:numId w:val="80"/>
        </w:numPr>
        <w:tabs>
          <w:tab w:val="left" w:pos="1561"/>
        </w:tabs>
        <w:spacing w:line="276" w:lineRule="auto"/>
        <w:ind w:left="1134" w:right="0" w:hanging="425"/>
      </w:pPr>
      <w:r w:rsidRPr="005B4EA9">
        <w:t>‘CCR’ means the capacity calculation region as defined in Article 2 (3) of the CACM Regulation;</w:t>
      </w:r>
    </w:p>
    <w:p w14:paraId="32D2F49A" w14:textId="632A5F4F" w:rsidR="005B4EA9" w:rsidRDefault="002A2A8F" w:rsidP="00973BD9">
      <w:pPr>
        <w:pStyle w:val="ListParagraph"/>
        <w:numPr>
          <w:ilvl w:val="0"/>
          <w:numId w:val="80"/>
        </w:numPr>
        <w:tabs>
          <w:tab w:val="left" w:pos="1561"/>
        </w:tabs>
        <w:spacing w:line="276" w:lineRule="auto"/>
        <w:ind w:left="1134" w:right="0" w:hanging="425"/>
      </w:pPr>
      <w:r>
        <w:t xml:space="preserve"> </w:t>
      </w:r>
      <w:r w:rsidR="005B4EA9">
        <w:t>‘CGM’ means the common grid model as defined in Article 2(2) of the CACM Regulation;</w:t>
      </w:r>
    </w:p>
    <w:p w14:paraId="706B9A52" w14:textId="77777777" w:rsidR="005B4EA9" w:rsidRDefault="005B4EA9" w:rsidP="00973BD9">
      <w:pPr>
        <w:pStyle w:val="ListParagraph"/>
        <w:numPr>
          <w:ilvl w:val="0"/>
          <w:numId w:val="80"/>
        </w:numPr>
        <w:tabs>
          <w:tab w:val="left" w:pos="1561"/>
        </w:tabs>
        <w:spacing w:line="276" w:lineRule="auto"/>
        <w:ind w:left="1134" w:right="0" w:hanging="425"/>
      </w:pPr>
      <w:r>
        <w:t>‘CGMM’ means the common grid model methodology, pursuant to Article 17 of the CACM Regulation;</w:t>
      </w:r>
    </w:p>
    <w:p w14:paraId="24E88C8E" w14:textId="74D9E58E" w:rsidR="002A2A8F" w:rsidRDefault="002A2A8F" w:rsidP="00973BD9">
      <w:pPr>
        <w:pStyle w:val="ListParagraph"/>
        <w:numPr>
          <w:ilvl w:val="0"/>
          <w:numId w:val="80"/>
        </w:numPr>
        <w:tabs>
          <w:tab w:val="left" w:pos="1561"/>
        </w:tabs>
        <w:spacing w:line="276" w:lineRule="auto"/>
        <w:ind w:left="1134" w:right="0" w:hanging="425"/>
      </w:pPr>
      <w:r>
        <w:t>‘CNE’ means a critical network element;</w:t>
      </w:r>
    </w:p>
    <w:p w14:paraId="0864DE1C" w14:textId="77777777" w:rsidR="002A2A8F" w:rsidRDefault="002A2A8F" w:rsidP="00973BD9">
      <w:pPr>
        <w:pStyle w:val="ListParagraph"/>
        <w:numPr>
          <w:ilvl w:val="0"/>
          <w:numId w:val="80"/>
        </w:numPr>
        <w:tabs>
          <w:tab w:val="left" w:pos="1561"/>
        </w:tabs>
        <w:spacing w:line="276" w:lineRule="auto"/>
        <w:ind w:left="1134" w:right="0" w:hanging="425"/>
      </w:pPr>
      <w:r w:rsidRPr="005B4EA9">
        <w:t>‘CNEC’ means a critical network element with a contingency;</w:t>
      </w:r>
    </w:p>
    <w:p w14:paraId="240816F5" w14:textId="77777777" w:rsidR="005B4EA9" w:rsidRDefault="005B4EA9" w:rsidP="00973BD9">
      <w:pPr>
        <w:pStyle w:val="ListParagraph"/>
        <w:numPr>
          <w:ilvl w:val="0"/>
          <w:numId w:val="80"/>
        </w:numPr>
        <w:tabs>
          <w:tab w:val="left" w:pos="1561"/>
        </w:tabs>
        <w:spacing w:line="276" w:lineRule="auto"/>
        <w:ind w:left="1134" w:right="0" w:hanging="425"/>
      </w:pPr>
      <w:r>
        <w:t xml:space="preserve">‘CNTC approach’ means the coordinated net transmission capacity </w:t>
      </w:r>
      <w:r w:rsidRPr="004A4E9D">
        <w:t>defined in Article</w:t>
      </w:r>
      <w:r>
        <w:t xml:space="preserve"> 2(8)</w:t>
      </w:r>
      <w:r w:rsidRPr="004A4E9D">
        <w:t xml:space="preserve"> of the CACM Regulation</w:t>
      </w:r>
      <w:r>
        <w:t>;</w:t>
      </w:r>
    </w:p>
    <w:p w14:paraId="0728AD58" w14:textId="77777777" w:rsidR="002A2A8F" w:rsidRPr="00417AD9" w:rsidRDefault="002A2A8F" w:rsidP="00973BD9">
      <w:pPr>
        <w:pStyle w:val="ListParagraph"/>
        <w:numPr>
          <w:ilvl w:val="0"/>
          <w:numId w:val="80"/>
        </w:numPr>
        <w:tabs>
          <w:tab w:val="left" w:pos="1560"/>
          <w:tab w:val="left" w:pos="1561"/>
        </w:tabs>
        <w:spacing w:line="276" w:lineRule="auto"/>
        <w:ind w:left="1134" w:right="0" w:hanging="425"/>
      </w:pPr>
      <w:r w:rsidRPr="00417AD9">
        <w:t>‘D-1’ means the day before the day of</w:t>
      </w:r>
      <w:r w:rsidRPr="00417AD9">
        <w:rPr>
          <w:spacing w:val="-9"/>
        </w:rPr>
        <w:t xml:space="preserve"> </w:t>
      </w:r>
      <w:r w:rsidRPr="00417AD9">
        <w:t>delivery</w:t>
      </w:r>
      <w:r>
        <w:t>;</w:t>
      </w:r>
    </w:p>
    <w:p w14:paraId="7E5B0A70" w14:textId="77777777" w:rsidR="002A2A8F" w:rsidRPr="00417AD9" w:rsidRDefault="002A2A8F" w:rsidP="00973BD9">
      <w:pPr>
        <w:pStyle w:val="ListParagraph"/>
        <w:numPr>
          <w:ilvl w:val="0"/>
          <w:numId w:val="80"/>
        </w:numPr>
        <w:tabs>
          <w:tab w:val="left" w:pos="1561"/>
        </w:tabs>
        <w:spacing w:line="276" w:lineRule="auto"/>
        <w:ind w:left="1134" w:right="0" w:hanging="425"/>
      </w:pPr>
      <w:r w:rsidRPr="00417AD9">
        <w:t>‘D-2’ means two days before the day of</w:t>
      </w:r>
      <w:r w:rsidRPr="00417AD9">
        <w:rPr>
          <w:spacing w:val="-11"/>
        </w:rPr>
        <w:t xml:space="preserve"> </w:t>
      </w:r>
      <w:r w:rsidRPr="00417AD9">
        <w:t>delivery</w:t>
      </w:r>
      <w:r>
        <w:t>;</w:t>
      </w:r>
    </w:p>
    <w:p w14:paraId="60767AD0" w14:textId="77777777" w:rsidR="002A2A8F" w:rsidRPr="00417AD9" w:rsidRDefault="002A2A8F" w:rsidP="00973BD9">
      <w:pPr>
        <w:pStyle w:val="ListParagraph"/>
        <w:numPr>
          <w:ilvl w:val="0"/>
          <w:numId w:val="80"/>
        </w:numPr>
        <w:tabs>
          <w:tab w:val="left" w:pos="1561"/>
        </w:tabs>
        <w:spacing w:line="276" w:lineRule="auto"/>
        <w:ind w:left="1134" w:right="0" w:hanging="425"/>
      </w:pPr>
      <w:r w:rsidRPr="00417AD9">
        <w:t xml:space="preserve">‘D-2 </w:t>
      </w:r>
      <w:r>
        <w:t>CGM</w:t>
      </w:r>
      <w:r w:rsidRPr="00417AD9">
        <w:t>’ means the common grid model built for each market time unit two days before the day of delivery for the day-ahead capacity calculation time</w:t>
      </w:r>
      <w:r>
        <w:t>-</w:t>
      </w:r>
      <w:r w:rsidRPr="00417AD9">
        <w:t>frame in accordance with Article 17 of the CACM</w:t>
      </w:r>
      <w:r w:rsidRPr="00417AD9">
        <w:rPr>
          <w:spacing w:val="-11"/>
        </w:rPr>
        <w:t xml:space="preserve"> </w:t>
      </w:r>
      <w:r w:rsidRPr="00417AD9">
        <w:t>Regulation</w:t>
      </w:r>
      <w:r>
        <w:t>;</w:t>
      </w:r>
    </w:p>
    <w:p w14:paraId="21894985" w14:textId="77777777" w:rsidR="002A2A8F" w:rsidRDefault="002A2A8F" w:rsidP="00973BD9">
      <w:pPr>
        <w:pStyle w:val="ListParagraph"/>
        <w:numPr>
          <w:ilvl w:val="0"/>
          <w:numId w:val="80"/>
        </w:numPr>
        <w:tabs>
          <w:tab w:val="left" w:pos="1561"/>
        </w:tabs>
        <w:spacing w:line="276" w:lineRule="auto"/>
        <w:ind w:left="1134" w:right="0" w:hanging="425"/>
      </w:pPr>
      <w:r w:rsidRPr="00417AD9">
        <w:t>‘D-</w:t>
      </w:r>
      <w:r>
        <w:t>1</w:t>
      </w:r>
      <w:r w:rsidRPr="00417AD9">
        <w:rPr>
          <w:spacing w:val="-9"/>
        </w:rPr>
        <w:t xml:space="preserve"> </w:t>
      </w:r>
      <w:r>
        <w:rPr>
          <w:spacing w:val="-9"/>
        </w:rPr>
        <w:t>CGM</w:t>
      </w:r>
      <w:r w:rsidRPr="00417AD9">
        <w:t>’</w:t>
      </w:r>
      <w:r w:rsidRPr="00417AD9">
        <w:rPr>
          <w:spacing w:val="-9"/>
        </w:rPr>
        <w:t xml:space="preserve"> </w:t>
      </w:r>
      <w:r w:rsidRPr="00417AD9">
        <w:t>means</w:t>
      </w:r>
      <w:r w:rsidRPr="00417AD9">
        <w:rPr>
          <w:spacing w:val="-11"/>
        </w:rPr>
        <w:t xml:space="preserve"> </w:t>
      </w:r>
      <w:r w:rsidRPr="00417AD9">
        <w:t>the</w:t>
      </w:r>
      <w:r w:rsidRPr="00417AD9">
        <w:rPr>
          <w:spacing w:val="-11"/>
        </w:rPr>
        <w:t xml:space="preserve"> </w:t>
      </w:r>
      <w:r w:rsidRPr="00417AD9">
        <w:t>common</w:t>
      </w:r>
      <w:r w:rsidRPr="00417AD9">
        <w:rPr>
          <w:spacing w:val="-9"/>
        </w:rPr>
        <w:t xml:space="preserve"> </w:t>
      </w:r>
      <w:r w:rsidRPr="00417AD9">
        <w:t>grid</w:t>
      </w:r>
      <w:r w:rsidRPr="00417AD9">
        <w:rPr>
          <w:spacing w:val="-12"/>
        </w:rPr>
        <w:t xml:space="preserve"> </w:t>
      </w:r>
      <w:r w:rsidRPr="00417AD9">
        <w:t>model</w:t>
      </w:r>
      <w:r w:rsidRPr="00417AD9">
        <w:rPr>
          <w:spacing w:val="-8"/>
        </w:rPr>
        <w:t xml:space="preserve"> </w:t>
      </w:r>
      <w:r w:rsidRPr="00417AD9">
        <w:t>built</w:t>
      </w:r>
      <w:r w:rsidRPr="00417AD9">
        <w:rPr>
          <w:spacing w:val="-11"/>
        </w:rPr>
        <w:t xml:space="preserve"> </w:t>
      </w:r>
      <w:r w:rsidRPr="00417AD9">
        <w:t>for</w:t>
      </w:r>
      <w:r w:rsidRPr="00417AD9">
        <w:rPr>
          <w:spacing w:val="-9"/>
        </w:rPr>
        <w:t xml:space="preserve"> </w:t>
      </w:r>
      <w:r w:rsidRPr="00417AD9">
        <w:t>each</w:t>
      </w:r>
      <w:r w:rsidRPr="00417AD9">
        <w:rPr>
          <w:spacing w:val="-9"/>
        </w:rPr>
        <w:t xml:space="preserve"> </w:t>
      </w:r>
      <w:r w:rsidRPr="00417AD9">
        <w:t>market</w:t>
      </w:r>
      <w:r w:rsidRPr="00417AD9">
        <w:rPr>
          <w:spacing w:val="-8"/>
        </w:rPr>
        <w:t xml:space="preserve"> </w:t>
      </w:r>
      <w:r w:rsidRPr="00417AD9">
        <w:t xml:space="preserve">time unit </w:t>
      </w:r>
      <w:r>
        <w:t>one</w:t>
      </w:r>
      <w:r w:rsidRPr="00417AD9">
        <w:t xml:space="preserve"> day before the day of delivery for the intraday capacity calculation time</w:t>
      </w:r>
      <w:r>
        <w:t>-</w:t>
      </w:r>
      <w:r w:rsidRPr="00417AD9">
        <w:t>frame in accordance with Article 17 of the CACM</w:t>
      </w:r>
      <w:r w:rsidRPr="00417AD9">
        <w:rPr>
          <w:spacing w:val="-11"/>
        </w:rPr>
        <w:t xml:space="preserve"> </w:t>
      </w:r>
      <w:r w:rsidRPr="00417AD9">
        <w:t>Regulation</w:t>
      </w:r>
      <w:r>
        <w:t>;</w:t>
      </w:r>
      <w:r w:rsidRPr="00C41843" w:rsidDel="00924646">
        <w:t xml:space="preserve"> </w:t>
      </w:r>
    </w:p>
    <w:p w14:paraId="518D241E" w14:textId="055C8ED4" w:rsidR="00F430BE" w:rsidRDefault="00F430BE" w:rsidP="00973BD9">
      <w:pPr>
        <w:pStyle w:val="ListParagraph"/>
        <w:numPr>
          <w:ilvl w:val="0"/>
          <w:numId w:val="80"/>
        </w:numPr>
        <w:tabs>
          <w:tab w:val="left" w:pos="1561"/>
        </w:tabs>
        <w:spacing w:line="276" w:lineRule="auto"/>
        <w:ind w:left="1134" w:right="0" w:hanging="425"/>
      </w:pPr>
      <w:r w:rsidRPr="00417AD9">
        <w:t>‘GR-</w:t>
      </w:r>
      <w:r>
        <w:t>BG</w:t>
      </w:r>
      <w:r w:rsidRPr="00417AD9">
        <w:t xml:space="preserve"> border’ means bidding zone border between Greece and</w:t>
      </w:r>
      <w:r w:rsidRPr="00417AD9">
        <w:rPr>
          <w:spacing w:val="-19"/>
        </w:rPr>
        <w:t xml:space="preserve"> </w:t>
      </w:r>
      <w:r>
        <w:t>Bulgaria</w:t>
      </w:r>
      <w:r w:rsidRPr="00417AD9">
        <w:t>;</w:t>
      </w:r>
    </w:p>
    <w:p w14:paraId="2EAF7D99" w14:textId="77777777" w:rsidR="00F430BE" w:rsidRPr="00CB7914" w:rsidRDefault="00F430BE" w:rsidP="00973BD9">
      <w:pPr>
        <w:pStyle w:val="ListParagraph"/>
        <w:numPr>
          <w:ilvl w:val="0"/>
          <w:numId w:val="80"/>
        </w:numPr>
        <w:tabs>
          <w:tab w:val="left" w:pos="1561"/>
        </w:tabs>
        <w:spacing w:line="276" w:lineRule="auto"/>
        <w:ind w:left="1134" w:right="0" w:hanging="425"/>
      </w:pPr>
      <w:r>
        <w:t>‘BG-RO border’ means bidding zone border between Bulgaria and Romania;</w:t>
      </w:r>
    </w:p>
    <w:p w14:paraId="44BAF346" w14:textId="58B16C1D" w:rsidR="00F430BE" w:rsidRDefault="00F430BE" w:rsidP="00973BD9">
      <w:pPr>
        <w:pStyle w:val="ListParagraph"/>
        <w:numPr>
          <w:ilvl w:val="0"/>
          <w:numId w:val="80"/>
        </w:numPr>
        <w:tabs>
          <w:tab w:val="left" w:pos="1561"/>
        </w:tabs>
        <w:spacing w:line="276" w:lineRule="auto"/>
        <w:ind w:left="1134" w:right="0" w:hanging="425"/>
      </w:pPr>
      <w:r>
        <w:t>‘FCA Regulation’ means the Commission Regulation (EU) 2016/1719 of 26 September 2016 establishing a guideline on forward capacity allocation;</w:t>
      </w:r>
    </w:p>
    <w:p w14:paraId="4EF63AD2" w14:textId="77777777" w:rsidR="00F430BE" w:rsidRDefault="00F430BE" w:rsidP="00973BD9">
      <w:pPr>
        <w:pStyle w:val="ListParagraph"/>
        <w:numPr>
          <w:ilvl w:val="0"/>
          <w:numId w:val="80"/>
        </w:numPr>
        <w:tabs>
          <w:tab w:val="left" w:pos="1561"/>
        </w:tabs>
        <w:spacing w:line="276" w:lineRule="auto"/>
        <w:ind w:left="1134" w:right="0" w:hanging="425"/>
      </w:pPr>
      <w:r>
        <w:t>‘GSK’ means the generation shift key as defined in Article 2(12) of the CACM Regulation;</w:t>
      </w:r>
    </w:p>
    <w:p w14:paraId="2D80C647" w14:textId="77777777" w:rsidR="00F430BE" w:rsidRDefault="00F430BE" w:rsidP="00973BD9">
      <w:pPr>
        <w:pStyle w:val="ListParagraph"/>
        <w:numPr>
          <w:ilvl w:val="0"/>
          <w:numId w:val="80"/>
        </w:numPr>
        <w:tabs>
          <w:tab w:val="left" w:pos="1561"/>
        </w:tabs>
        <w:spacing w:line="276" w:lineRule="auto"/>
        <w:ind w:left="1134" w:right="0" w:hanging="425"/>
      </w:pPr>
      <w:r>
        <w:lastRenderedPageBreak/>
        <w:t>‘HVDC’ means a high voltage direct current network element;</w:t>
      </w:r>
    </w:p>
    <w:p w14:paraId="654BB24F" w14:textId="77777777" w:rsidR="00F430BE" w:rsidRDefault="00F430BE" w:rsidP="00973BD9">
      <w:pPr>
        <w:pStyle w:val="ListParagraph"/>
        <w:numPr>
          <w:ilvl w:val="0"/>
          <w:numId w:val="80"/>
        </w:numPr>
        <w:tabs>
          <w:tab w:val="left" w:pos="1561"/>
        </w:tabs>
        <w:spacing w:line="276" w:lineRule="auto"/>
        <w:ind w:left="1134" w:right="0" w:hanging="425"/>
      </w:pPr>
      <w:r>
        <w:t>‘I</w:t>
      </w:r>
      <w:r w:rsidRPr="00CE43DA">
        <w:rPr>
          <w:vertAlign w:val="subscript"/>
        </w:rPr>
        <w:t>max</w:t>
      </w:r>
      <w:r w:rsidRPr="00D33A9A">
        <w:t>’ means the maximum admissible current</w:t>
      </w:r>
      <w:r>
        <w:t>;</w:t>
      </w:r>
    </w:p>
    <w:p w14:paraId="424103D6" w14:textId="1752FAFB" w:rsidR="00F430BE" w:rsidRDefault="00F430BE" w:rsidP="00973BD9">
      <w:pPr>
        <w:pStyle w:val="ListParagraph"/>
        <w:numPr>
          <w:ilvl w:val="0"/>
          <w:numId w:val="80"/>
        </w:numPr>
        <w:tabs>
          <w:tab w:val="left" w:pos="1561"/>
        </w:tabs>
        <w:spacing w:line="276" w:lineRule="auto"/>
        <w:ind w:left="1134" w:right="0" w:hanging="425"/>
      </w:pPr>
      <w:r>
        <w:t>‘LTA’ means the long-term allocated capacity</w:t>
      </w:r>
      <w:r w:rsidR="0041599B">
        <w:t xml:space="preserve">, which is </w:t>
      </w:r>
      <w:r w:rsidR="003857E1">
        <w:t xml:space="preserve">capacity </w:t>
      </w:r>
      <w:r w:rsidR="003857E1" w:rsidRPr="003D58B5">
        <w:t xml:space="preserve">allocated as an outcome of the </w:t>
      </w:r>
      <w:r w:rsidR="003857E1">
        <w:t>long-term</w:t>
      </w:r>
      <w:r w:rsidR="003857E1" w:rsidRPr="003D58B5">
        <w:t xml:space="preserve"> capacity calculation in the </w:t>
      </w:r>
      <w:r w:rsidR="003857E1">
        <w:t>SEE</w:t>
      </w:r>
      <w:r w:rsidR="003857E1" w:rsidRPr="003D58B5">
        <w:t xml:space="preserve"> CCR</w:t>
      </w:r>
      <w:r>
        <w:t>;</w:t>
      </w:r>
    </w:p>
    <w:p w14:paraId="0C564048" w14:textId="50DDD96F" w:rsidR="009671DF" w:rsidRDefault="00F430BE" w:rsidP="00973BD9">
      <w:pPr>
        <w:pStyle w:val="ListParagraph"/>
        <w:numPr>
          <w:ilvl w:val="0"/>
          <w:numId w:val="80"/>
        </w:numPr>
        <w:spacing w:line="276" w:lineRule="auto"/>
        <w:ind w:left="1134" w:right="0" w:hanging="425"/>
      </w:pPr>
      <w:r w:rsidRPr="00F430BE">
        <w:t>‘LTN’ means the long term nominated capacities</w:t>
      </w:r>
      <w:r w:rsidR="0041599B">
        <w:t>, which is</w:t>
      </w:r>
      <w:r w:rsidR="00036EAF">
        <w:t xml:space="preserve"> the long-term nomination of the long-term allocated capacity</w:t>
      </w:r>
      <w:r w:rsidRPr="00F430BE">
        <w:t>;</w:t>
      </w:r>
    </w:p>
    <w:p w14:paraId="11272334" w14:textId="77777777" w:rsidR="00F430BE" w:rsidRDefault="00F430BE" w:rsidP="00973BD9">
      <w:pPr>
        <w:pStyle w:val="ListParagraph"/>
        <w:numPr>
          <w:ilvl w:val="0"/>
          <w:numId w:val="80"/>
        </w:numPr>
        <w:tabs>
          <w:tab w:val="left" w:pos="1561"/>
        </w:tabs>
        <w:spacing w:line="276" w:lineRule="auto"/>
        <w:ind w:left="1134" w:right="0" w:hanging="425"/>
      </w:pPr>
      <w:r>
        <w:t>‘MTU’ means a market time unit; the definition for ‘market time’ is provided at Article 2(15) of the CACM Regulation;</w:t>
      </w:r>
    </w:p>
    <w:p w14:paraId="6ECD6071" w14:textId="77777777" w:rsidR="005B75F1" w:rsidRPr="00C41843" w:rsidRDefault="005B75F1" w:rsidP="00973BD9">
      <w:pPr>
        <w:pStyle w:val="ListParagraph"/>
        <w:numPr>
          <w:ilvl w:val="0"/>
          <w:numId w:val="80"/>
        </w:numPr>
        <w:tabs>
          <w:tab w:val="left" w:pos="1561"/>
        </w:tabs>
        <w:spacing w:line="276" w:lineRule="auto"/>
        <w:ind w:left="1134" w:right="0" w:hanging="425"/>
      </w:pPr>
      <w:r w:rsidRPr="00C41843">
        <w:t>‘NTC’</w:t>
      </w:r>
      <w:r w:rsidRPr="00C41843">
        <w:rPr>
          <w:spacing w:val="-8"/>
        </w:rPr>
        <w:t xml:space="preserve"> </w:t>
      </w:r>
      <w:r w:rsidRPr="00C41843">
        <w:t>means</w:t>
      </w:r>
      <w:r w:rsidRPr="00C41843">
        <w:rPr>
          <w:spacing w:val="-8"/>
        </w:rPr>
        <w:t xml:space="preserve"> </w:t>
      </w:r>
      <w:r w:rsidRPr="00C41843">
        <w:t>the</w:t>
      </w:r>
      <w:r w:rsidRPr="00C41843">
        <w:rPr>
          <w:spacing w:val="-8"/>
        </w:rPr>
        <w:t xml:space="preserve"> </w:t>
      </w:r>
      <w:r>
        <w:t>N</w:t>
      </w:r>
      <w:r w:rsidRPr="00C41843">
        <w:t>et</w:t>
      </w:r>
      <w:r w:rsidRPr="00C41843">
        <w:rPr>
          <w:spacing w:val="-10"/>
        </w:rPr>
        <w:t xml:space="preserve"> </w:t>
      </w:r>
      <w:r>
        <w:t>Transmission</w:t>
      </w:r>
      <w:r w:rsidRPr="00C41843">
        <w:rPr>
          <w:spacing w:val="-8"/>
        </w:rPr>
        <w:t xml:space="preserve"> </w:t>
      </w:r>
      <w:r>
        <w:t>C</w:t>
      </w:r>
      <w:r w:rsidRPr="00C41843">
        <w:t>apacity</w:t>
      </w:r>
      <w:r w:rsidRPr="00C41843">
        <w:rPr>
          <w:spacing w:val="-11"/>
        </w:rPr>
        <w:t xml:space="preserve"> </w:t>
      </w:r>
      <w:r>
        <w:t xml:space="preserve">which is the </w:t>
      </w:r>
      <w:r w:rsidRPr="00C41843">
        <w:t>maximum</w:t>
      </w:r>
      <w:r w:rsidRPr="00C41843">
        <w:rPr>
          <w:spacing w:val="-12"/>
        </w:rPr>
        <w:t xml:space="preserve"> </w:t>
      </w:r>
      <w:r>
        <w:t>energy</w:t>
      </w:r>
      <w:r w:rsidRPr="00C41843">
        <w:rPr>
          <w:spacing w:val="-10"/>
        </w:rPr>
        <w:t xml:space="preserve"> </w:t>
      </w:r>
      <w:r w:rsidRPr="00C41843">
        <w:t>exchange</w:t>
      </w:r>
      <w:r w:rsidRPr="00C41843">
        <w:rPr>
          <w:spacing w:val="-8"/>
        </w:rPr>
        <w:t xml:space="preserve"> </w:t>
      </w:r>
      <w:r w:rsidRPr="00C41843">
        <w:t>for</w:t>
      </w:r>
      <w:r w:rsidRPr="00C41843">
        <w:rPr>
          <w:spacing w:val="-9"/>
        </w:rPr>
        <w:t xml:space="preserve"> </w:t>
      </w:r>
      <w:r w:rsidRPr="00C41843">
        <w:t>commercial</w:t>
      </w:r>
      <w:r w:rsidRPr="00C41843">
        <w:rPr>
          <w:spacing w:val="-8"/>
        </w:rPr>
        <w:t xml:space="preserve"> </w:t>
      </w:r>
      <w:r w:rsidRPr="00C41843">
        <w:t>purposes</w:t>
      </w:r>
      <w:r w:rsidRPr="00C41843">
        <w:rPr>
          <w:spacing w:val="-9"/>
        </w:rPr>
        <w:t xml:space="preserve"> </w:t>
      </w:r>
      <w:r w:rsidRPr="00C41843">
        <w:t>between</w:t>
      </w:r>
      <w:r w:rsidRPr="00C41843">
        <w:rPr>
          <w:spacing w:val="-9"/>
        </w:rPr>
        <w:t xml:space="preserve"> </w:t>
      </w:r>
      <w:r w:rsidRPr="00C41843">
        <w:t>adjacent</w:t>
      </w:r>
      <w:r w:rsidRPr="00C41843">
        <w:rPr>
          <w:spacing w:val="-8"/>
        </w:rPr>
        <w:t xml:space="preserve"> </w:t>
      </w:r>
      <w:r w:rsidRPr="00C41843">
        <w:t>bidding</w:t>
      </w:r>
      <w:r w:rsidRPr="00C41843">
        <w:rPr>
          <w:spacing w:val="-9"/>
        </w:rPr>
        <w:t xml:space="preserve"> </w:t>
      </w:r>
      <w:r w:rsidRPr="00C41843">
        <w:t>zones</w:t>
      </w:r>
      <w:r w:rsidRPr="00C41843">
        <w:rPr>
          <w:spacing w:val="-6"/>
        </w:rPr>
        <w:t xml:space="preserve"> </w:t>
      </w:r>
      <w:r w:rsidRPr="00C41843">
        <w:t>for</w:t>
      </w:r>
      <w:r w:rsidRPr="00C41843">
        <w:rPr>
          <w:spacing w:val="-9"/>
        </w:rPr>
        <w:t xml:space="preserve"> </w:t>
      </w:r>
      <w:r w:rsidRPr="00C41843">
        <w:t>each</w:t>
      </w:r>
      <w:r w:rsidRPr="00C41843">
        <w:rPr>
          <w:spacing w:val="-7"/>
        </w:rPr>
        <w:t xml:space="preserve"> </w:t>
      </w:r>
      <w:r w:rsidRPr="00C41843">
        <w:t>market</w:t>
      </w:r>
      <w:r w:rsidRPr="00C41843">
        <w:rPr>
          <w:spacing w:val="-8"/>
        </w:rPr>
        <w:t xml:space="preserve"> </w:t>
      </w:r>
      <w:r w:rsidRPr="00C41843">
        <w:t>time</w:t>
      </w:r>
      <w:r w:rsidRPr="00C41843">
        <w:rPr>
          <w:spacing w:val="-7"/>
        </w:rPr>
        <w:t xml:space="preserve"> </w:t>
      </w:r>
      <w:r w:rsidRPr="00C41843">
        <w:t>unit</w:t>
      </w:r>
      <w:r w:rsidRPr="00C41843">
        <w:rPr>
          <w:spacing w:val="-8"/>
        </w:rPr>
        <w:t xml:space="preserve"> </w:t>
      </w:r>
      <w:r w:rsidRPr="00C41843">
        <w:t>in a specific direction;</w:t>
      </w:r>
    </w:p>
    <w:p w14:paraId="28688FB6" w14:textId="10D6EAAB" w:rsidR="005B75F1" w:rsidRDefault="005B75F1" w:rsidP="00973BD9">
      <w:pPr>
        <w:pStyle w:val="ListParagraph"/>
        <w:numPr>
          <w:ilvl w:val="0"/>
          <w:numId w:val="80"/>
        </w:numPr>
        <w:tabs>
          <w:tab w:val="left" w:pos="1561"/>
        </w:tabs>
        <w:spacing w:line="276" w:lineRule="auto"/>
        <w:ind w:left="1134" w:right="0" w:hanging="425"/>
      </w:pPr>
      <w:r>
        <w:t>‘PST’ means a phase-shifting transformer;</w:t>
      </w:r>
    </w:p>
    <w:p w14:paraId="1FF56808" w14:textId="72AEB571" w:rsidR="00082084" w:rsidRDefault="00C20453" w:rsidP="00973BD9">
      <w:pPr>
        <w:pStyle w:val="ListParagraph"/>
        <w:numPr>
          <w:ilvl w:val="0"/>
          <w:numId w:val="80"/>
        </w:numPr>
        <w:tabs>
          <w:tab w:val="left" w:pos="1561"/>
        </w:tabs>
        <w:spacing w:line="276" w:lineRule="auto"/>
        <w:ind w:left="1134" w:right="0" w:hanging="425"/>
      </w:pPr>
      <w:r>
        <w:t>‘</w:t>
      </w:r>
      <w:r w:rsidR="00082084">
        <w:t>PTDF</w:t>
      </w:r>
      <w:r>
        <w:t>’</w:t>
      </w:r>
      <w:r w:rsidR="00082084">
        <w:t xml:space="preserve"> means power transfer distribution factor</w:t>
      </w:r>
    </w:p>
    <w:p w14:paraId="422B24CB" w14:textId="77777777" w:rsidR="005B75F1" w:rsidRDefault="005B75F1" w:rsidP="00973BD9">
      <w:pPr>
        <w:pStyle w:val="ListParagraph"/>
        <w:numPr>
          <w:ilvl w:val="0"/>
          <w:numId w:val="80"/>
        </w:numPr>
        <w:tabs>
          <w:tab w:val="left" w:pos="1561"/>
        </w:tabs>
        <w:spacing w:line="276" w:lineRule="auto"/>
        <w:ind w:left="1134" w:right="0" w:hanging="425"/>
      </w:pPr>
      <w:r>
        <w:t>‘RA’ means a remedial action as defined in Article 2(13) of the CACM Regulation;</w:t>
      </w:r>
    </w:p>
    <w:p w14:paraId="2A9A3708" w14:textId="3C4D50C3" w:rsidR="005B75F1" w:rsidRDefault="005B75F1" w:rsidP="00973BD9">
      <w:pPr>
        <w:pStyle w:val="ListParagraph"/>
        <w:numPr>
          <w:ilvl w:val="0"/>
          <w:numId w:val="80"/>
        </w:numPr>
        <w:tabs>
          <w:tab w:val="left" w:pos="1561"/>
        </w:tabs>
        <w:spacing w:line="276" w:lineRule="auto"/>
        <w:ind w:left="1134" w:right="0" w:hanging="425"/>
      </w:pPr>
      <w:r>
        <w:t xml:space="preserve">‘RAC’ means the </w:t>
      </w:r>
      <w:r w:rsidRPr="00920E17">
        <w:t>RAs coordination</w:t>
      </w:r>
      <w:r w:rsidR="00EC3DEF">
        <w:t>;</w:t>
      </w:r>
    </w:p>
    <w:p w14:paraId="290DCABB" w14:textId="780D3324" w:rsidR="00F430BE" w:rsidRDefault="005B75F1" w:rsidP="00973BD9">
      <w:pPr>
        <w:pStyle w:val="ListParagraph"/>
        <w:numPr>
          <w:ilvl w:val="0"/>
          <w:numId w:val="80"/>
        </w:numPr>
        <w:spacing w:line="276" w:lineRule="auto"/>
        <w:ind w:left="1134" w:right="0" w:hanging="425"/>
      </w:pPr>
      <w:r>
        <w:t>‘RM’ means the reliability margin as defined in Article 2(14) of the CACM Regulation;</w:t>
      </w:r>
    </w:p>
    <w:p w14:paraId="5FF3D4B4" w14:textId="77777777" w:rsidR="005B75F1" w:rsidRDefault="005B75F1" w:rsidP="00973BD9">
      <w:pPr>
        <w:pStyle w:val="ListParagraph"/>
        <w:numPr>
          <w:ilvl w:val="0"/>
          <w:numId w:val="80"/>
        </w:numPr>
        <w:tabs>
          <w:tab w:val="left" w:pos="1561"/>
        </w:tabs>
        <w:spacing w:line="276" w:lineRule="auto"/>
        <w:ind w:left="1134" w:right="0" w:hanging="425"/>
      </w:pPr>
      <w:r>
        <w:t>‘SEE CCR’ means the SEE capacity calculation region as established by the definition of capacity calculation regions pursuant to Article 15 of the CACM Regulation;</w:t>
      </w:r>
    </w:p>
    <w:p w14:paraId="67462584" w14:textId="6911A4DE" w:rsidR="005B75F1" w:rsidRDefault="005B75F1" w:rsidP="00973BD9">
      <w:pPr>
        <w:pStyle w:val="ListParagraph"/>
        <w:numPr>
          <w:ilvl w:val="0"/>
          <w:numId w:val="80"/>
        </w:numPr>
        <w:spacing w:line="276" w:lineRule="auto"/>
        <w:ind w:left="1134" w:right="0" w:hanging="425"/>
      </w:pPr>
      <w:r>
        <w:t xml:space="preserve">SEE TSOs are </w:t>
      </w:r>
      <w:r w:rsidR="002D5183">
        <w:t>Independent Power Transmission Operator (‘ADMIE’), Electricity System Operator EAD (‘ESO EAD</w:t>
      </w:r>
      <w:r w:rsidR="002D5183" w:rsidRPr="00417AD9">
        <w:t>’</w:t>
      </w:r>
      <w:r w:rsidR="002D5183">
        <w:t xml:space="preserve">) and </w:t>
      </w:r>
      <w:r w:rsidR="00036EAF">
        <w:t>National Power Grid Company Transelectrica S.A.</w:t>
      </w:r>
      <w:r>
        <w:t xml:space="preserve"> (‘</w:t>
      </w:r>
      <w:r w:rsidR="0058037B">
        <w:t>Transelectrica</w:t>
      </w:r>
      <w:r>
        <w:t>’)</w:t>
      </w:r>
      <w:r w:rsidR="0058037B">
        <w:t>;</w:t>
      </w:r>
    </w:p>
    <w:p w14:paraId="6DDF9AC6" w14:textId="77777777" w:rsidR="0058037B" w:rsidRDefault="0058037B" w:rsidP="00973BD9">
      <w:pPr>
        <w:pStyle w:val="ListParagraph"/>
        <w:numPr>
          <w:ilvl w:val="0"/>
          <w:numId w:val="80"/>
        </w:numPr>
        <w:tabs>
          <w:tab w:val="left" w:pos="1561"/>
        </w:tabs>
        <w:spacing w:line="276" w:lineRule="auto"/>
        <w:ind w:left="1134" w:right="0" w:hanging="425"/>
      </w:pPr>
      <w:r>
        <w:t>‘SO GL’ means the System Operation Guideline (Commission Regulation (EU) 2017/1485 of 2 August 2017 establishing a guideline on electricity transmission system operation);</w:t>
      </w:r>
    </w:p>
    <w:p w14:paraId="1F3370FE" w14:textId="77777777" w:rsidR="00973BD9" w:rsidRDefault="00973BD9" w:rsidP="00973BD9">
      <w:pPr>
        <w:pStyle w:val="ListParagraph"/>
        <w:numPr>
          <w:ilvl w:val="0"/>
          <w:numId w:val="80"/>
        </w:numPr>
        <w:tabs>
          <w:tab w:val="left" w:pos="1561"/>
        </w:tabs>
        <w:spacing w:line="276" w:lineRule="auto"/>
        <w:ind w:left="1134" w:right="0" w:hanging="425"/>
      </w:pPr>
      <w:r w:rsidRPr="00417AD9">
        <w:t xml:space="preserve">‘TTC’ means the </w:t>
      </w:r>
      <w:r>
        <w:t>T</w:t>
      </w:r>
      <w:r w:rsidRPr="00417AD9">
        <w:t xml:space="preserve">otal </w:t>
      </w:r>
      <w:r>
        <w:t>Transmission Capacity</w:t>
      </w:r>
      <w:r w:rsidRPr="00417AD9">
        <w:t xml:space="preserve"> </w:t>
      </w:r>
      <w:r>
        <w:t>which is</w:t>
      </w:r>
      <w:r w:rsidRPr="00417AD9">
        <w:t xml:space="preserve"> the maximum exchange) complying with the operational security limits between adjacent bidding zones for each market time unit in a specific</w:t>
      </w:r>
      <w:r w:rsidRPr="00417AD9">
        <w:rPr>
          <w:spacing w:val="-15"/>
        </w:rPr>
        <w:t xml:space="preserve"> </w:t>
      </w:r>
      <w:r w:rsidRPr="00417AD9">
        <w:t>direction</w:t>
      </w:r>
      <w:r>
        <w:t>.</w:t>
      </w:r>
    </w:p>
    <w:p w14:paraId="242025C7" w14:textId="64FA59E5" w:rsidR="0058037B" w:rsidRDefault="00973BD9" w:rsidP="00973BD9">
      <w:pPr>
        <w:pStyle w:val="ListParagraph"/>
        <w:numPr>
          <w:ilvl w:val="0"/>
          <w:numId w:val="80"/>
        </w:numPr>
        <w:spacing w:line="276" w:lineRule="auto"/>
        <w:ind w:left="1134" w:right="0" w:hanging="425"/>
      </w:pPr>
      <w:r>
        <w:t xml:space="preserve">‘UD’ means the </w:t>
      </w:r>
      <w:r w:rsidRPr="00F72977">
        <w:t>unintended deviation</w:t>
      </w:r>
      <w:r>
        <w:t>;</w:t>
      </w:r>
    </w:p>
    <w:p w14:paraId="42E0CDD2" w14:textId="7F1BB84D" w:rsidR="00973BD9" w:rsidRDefault="00973BD9" w:rsidP="009C093F">
      <w:pPr>
        <w:pStyle w:val="ListParagraph"/>
        <w:numPr>
          <w:ilvl w:val="0"/>
          <w:numId w:val="80"/>
        </w:numPr>
        <w:tabs>
          <w:tab w:val="left" w:pos="1561"/>
        </w:tabs>
        <w:spacing w:line="276" w:lineRule="auto"/>
        <w:ind w:left="1134" w:right="0" w:hanging="425"/>
      </w:pPr>
      <w:r>
        <w:t xml:space="preserve">‘UN’ means the </w:t>
      </w:r>
      <w:r w:rsidRPr="00715869">
        <w:t>uncertainties</w:t>
      </w:r>
      <w:r w:rsidR="00EC3DEF">
        <w:t>.</w:t>
      </w:r>
    </w:p>
    <w:p w14:paraId="6D0AE33A" w14:textId="37BC1378" w:rsidR="002A72C5" w:rsidRPr="00417AD9" w:rsidRDefault="007F2107" w:rsidP="004416B3">
      <w:pPr>
        <w:pStyle w:val="ListParagraph"/>
        <w:numPr>
          <w:ilvl w:val="0"/>
          <w:numId w:val="13"/>
        </w:numPr>
        <w:tabs>
          <w:tab w:val="left" w:pos="426"/>
        </w:tabs>
        <w:spacing w:line="276" w:lineRule="auto"/>
        <w:ind w:left="839" w:right="0"/>
      </w:pPr>
      <w:r w:rsidRPr="00417AD9">
        <w:t xml:space="preserve">In this </w:t>
      </w:r>
      <w:r w:rsidR="000C251B">
        <w:t xml:space="preserve">day-ahead and intraday capacity calculation </w:t>
      </w:r>
      <w:r w:rsidRPr="00417AD9">
        <w:t>methodology, unless the context requires</w:t>
      </w:r>
      <w:r w:rsidRPr="00417AD9">
        <w:rPr>
          <w:spacing w:val="-17"/>
        </w:rPr>
        <w:t xml:space="preserve"> </w:t>
      </w:r>
      <w:r w:rsidRPr="00417AD9">
        <w:t>otherwise:</w:t>
      </w:r>
    </w:p>
    <w:p w14:paraId="55BC16E3" w14:textId="77777777" w:rsidR="002A72C5" w:rsidRPr="00417AD9" w:rsidRDefault="007F2107" w:rsidP="000C251B">
      <w:pPr>
        <w:pStyle w:val="ListParagraph"/>
        <w:numPr>
          <w:ilvl w:val="1"/>
          <w:numId w:val="71"/>
        </w:numPr>
        <w:tabs>
          <w:tab w:val="left" w:pos="-4678"/>
        </w:tabs>
        <w:spacing w:line="276" w:lineRule="auto"/>
        <w:ind w:left="993" w:right="0"/>
      </w:pPr>
      <w:r w:rsidRPr="00417AD9">
        <w:t>the singular indicates the plural and vice</w:t>
      </w:r>
      <w:r w:rsidRPr="00417AD9">
        <w:rPr>
          <w:spacing w:val="-13"/>
        </w:rPr>
        <w:t xml:space="preserve"> </w:t>
      </w:r>
      <w:r w:rsidRPr="00417AD9">
        <w:t>versa;</w:t>
      </w:r>
    </w:p>
    <w:p w14:paraId="2BC6F52E" w14:textId="5455EE73" w:rsidR="002A72C5" w:rsidRPr="00417AD9" w:rsidRDefault="007F2107" w:rsidP="000C251B">
      <w:pPr>
        <w:pStyle w:val="ListParagraph"/>
        <w:numPr>
          <w:ilvl w:val="1"/>
          <w:numId w:val="71"/>
        </w:numPr>
        <w:tabs>
          <w:tab w:val="left" w:pos="-4678"/>
        </w:tabs>
        <w:spacing w:before="13" w:line="276" w:lineRule="auto"/>
        <w:ind w:left="993" w:right="0"/>
      </w:pPr>
      <w:r w:rsidRPr="00417AD9">
        <w:t xml:space="preserve">headings are inserted for convenience only and do not affect the interpretation of this </w:t>
      </w:r>
      <w:r w:rsidR="00887518">
        <w:t>methodology</w:t>
      </w:r>
      <w:r w:rsidRPr="00417AD9">
        <w:t>;</w:t>
      </w:r>
      <w:r w:rsidRPr="00417AD9">
        <w:rPr>
          <w:spacing w:val="-31"/>
        </w:rPr>
        <w:t xml:space="preserve"> </w:t>
      </w:r>
      <w:r w:rsidRPr="00417AD9">
        <w:t>and</w:t>
      </w:r>
    </w:p>
    <w:p w14:paraId="0AB8C313" w14:textId="77777777" w:rsidR="002A72C5" w:rsidRPr="00417AD9" w:rsidRDefault="007F2107" w:rsidP="000C251B">
      <w:pPr>
        <w:pStyle w:val="ListParagraph"/>
        <w:numPr>
          <w:ilvl w:val="1"/>
          <w:numId w:val="71"/>
        </w:numPr>
        <w:tabs>
          <w:tab w:val="left" w:pos="-4678"/>
        </w:tabs>
        <w:spacing w:before="11" w:line="276" w:lineRule="auto"/>
        <w:ind w:left="993" w:right="0"/>
      </w:pPr>
      <w:r w:rsidRPr="00417AD9">
        <w:t>any</w:t>
      </w:r>
      <w:r w:rsidRPr="00417AD9">
        <w:rPr>
          <w:spacing w:val="-13"/>
        </w:rPr>
        <w:t xml:space="preserve"> </w:t>
      </w:r>
      <w:r w:rsidRPr="00417AD9">
        <w:t>reference</w:t>
      </w:r>
      <w:r w:rsidRPr="00417AD9">
        <w:rPr>
          <w:spacing w:val="-10"/>
        </w:rPr>
        <w:t xml:space="preserve"> </w:t>
      </w:r>
      <w:r w:rsidRPr="00417AD9">
        <w:t>to</w:t>
      </w:r>
      <w:r w:rsidRPr="00417AD9">
        <w:rPr>
          <w:spacing w:val="-13"/>
        </w:rPr>
        <w:t xml:space="preserve"> </w:t>
      </w:r>
      <w:r w:rsidRPr="00417AD9">
        <w:t>legislation,</w:t>
      </w:r>
      <w:r w:rsidRPr="00417AD9">
        <w:rPr>
          <w:spacing w:val="-13"/>
        </w:rPr>
        <w:t xml:space="preserve"> </w:t>
      </w:r>
      <w:r w:rsidRPr="00417AD9">
        <w:t>regulations,</w:t>
      </w:r>
      <w:r w:rsidRPr="00417AD9">
        <w:rPr>
          <w:spacing w:val="-11"/>
        </w:rPr>
        <w:t xml:space="preserve"> </w:t>
      </w:r>
      <w:r w:rsidRPr="00417AD9">
        <w:t>directives,</w:t>
      </w:r>
      <w:r w:rsidRPr="00417AD9">
        <w:rPr>
          <w:spacing w:val="-11"/>
        </w:rPr>
        <w:t xml:space="preserve"> </w:t>
      </w:r>
      <w:r w:rsidRPr="00417AD9">
        <w:t>orders,</w:t>
      </w:r>
      <w:r w:rsidRPr="00417AD9">
        <w:rPr>
          <w:spacing w:val="-13"/>
        </w:rPr>
        <w:t xml:space="preserve"> </w:t>
      </w:r>
      <w:r w:rsidRPr="00417AD9">
        <w:t>instruments,</w:t>
      </w:r>
      <w:r w:rsidRPr="00417AD9">
        <w:rPr>
          <w:spacing w:val="-13"/>
        </w:rPr>
        <w:t xml:space="preserve"> </w:t>
      </w:r>
      <w:r w:rsidRPr="00417AD9">
        <w:t>codes</w:t>
      </w:r>
      <w:r w:rsidRPr="00417AD9">
        <w:rPr>
          <w:spacing w:val="-13"/>
        </w:rPr>
        <w:t xml:space="preserve"> </w:t>
      </w:r>
      <w:r w:rsidRPr="00417AD9">
        <w:t>or</w:t>
      </w:r>
      <w:r w:rsidRPr="00417AD9">
        <w:rPr>
          <w:spacing w:val="-10"/>
        </w:rPr>
        <w:t xml:space="preserve"> </w:t>
      </w:r>
      <w:r w:rsidRPr="00417AD9">
        <w:t>any</w:t>
      </w:r>
      <w:r w:rsidRPr="00417AD9">
        <w:rPr>
          <w:spacing w:val="-13"/>
        </w:rPr>
        <w:t xml:space="preserve"> </w:t>
      </w:r>
      <w:r w:rsidRPr="00417AD9">
        <w:t>other</w:t>
      </w:r>
      <w:r w:rsidRPr="00417AD9">
        <w:rPr>
          <w:spacing w:val="-10"/>
        </w:rPr>
        <w:t xml:space="preserve"> </w:t>
      </w:r>
      <w:r w:rsidRPr="00417AD9">
        <w:t>enactment shall include any modification, extension or re-enactment of it when in</w:t>
      </w:r>
      <w:r w:rsidRPr="00417AD9">
        <w:rPr>
          <w:spacing w:val="-18"/>
        </w:rPr>
        <w:t xml:space="preserve"> </w:t>
      </w:r>
      <w:r w:rsidRPr="00417AD9">
        <w:t>force.</w:t>
      </w:r>
    </w:p>
    <w:p w14:paraId="6D206FD0" w14:textId="77777777" w:rsidR="002A72C5" w:rsidRPr="008B7509" w:rsidRDefault="002A72C5" w:rsidP="00CE4D6D">
      <w:pPr>
        <w:pStyle w:val="BodyText"/>
        <w:spacing w:before="6"/>
      </w:pPr>
    </w:p>
    <w:p w14:paraId="07CA0E26" w14:textId="77777777" w:rsidR="00457547" w:rsidRDefault="007F2107" w:rsidP="00CE4D6D">
      <w:pPr>
        <w:pStyle w:val="Title1"/>
        <w:ind w:right="0"/>
      </w:pPr>
      <w:bookmarkStart w:id="2" w:name="_TOC_250002"/>
      <w:bookmarkEnd w:id="2"/>
      <w:r>
        <w:t>Article 3</w:t>
      </w:r>
    </w:p>
    <w:p w14:paraId="106E7C72" w14:textId="7FA99C8C" w:rsidR="002A72C5" w:rsidRDefault="007F2107" w:rsidP="00CE4D6D">
      <w:pPr>
        <w:pStyle w:val="Title1"/>
        <w:ind w:right="0"/>
      </w:pPr>
      <w:r>
        <w:t xml:space="preserve">Application of this </w:t>
      </w:r>
      <w:r w:rsidR="00C82EB6">
        <w:t>methodology</w:t>
      </w:r>
    </w:p>
    <w:p w14:paraId="40AD1F4B" w14:textId="77777777" w:rsidR="002A72C5" w:rsidRDefault="002A72C5" w:rsidP="00CE4D6D">
      <w:pPr>
        <w:pStyle w:val="BodyText"/>
        <w:spacing w:before="9"/>
        <w:rPr>
          <w:b/>
          <w:sz w:val="17"/>
        </w:rPr>
      </w:pPr>
    </w:p>
    <w:p w14:paraId="73BDC7B2" w14:textId="77C6EC9E" w:rsidR="009C093F" w:rsidRDefault="007F2107" w:rsidP="009C093F">
      <w:pPr>
        <w:pStyle w:val="BodyText"/>
        <w:numPr>
          <w:ilvl w:val="0"/>
          <w:numId w:val="104"/>
        </w:numPr>
        <w:spacing w:before="1" w:after="200"/>
        <w:ind w:left="425" w:hanging="357"/>
        <w:jc w:val="both"/>
      </w:pPr>
      <w:r>
        <w:t xml:space="preserve">This </w:t>
      </w:r>
      <w:r w:rsidR="00BF1CF6">
        <w:t xml:space="preserve">common capacity calculation </w:t>
      </w:r>
      <w:r w:rsidR="00483FE0">
        <w:t>methodology</w:t>
      </w:r>
      <w:r>
        <w:t xml:space="preserve"> </w:t>
      </w:r>
      <w:r w:rsidR="00483FE0">
        <w:t xml:space="preserve">solely </w:t>
      </w:r>
      <w:r>
        <w:t xml:space="preserve">applies to the </w:t>
      </w:r>
      <w:r w:rsidR="00483FE0">
        <w:t xml:space="preserve">day-ahead and intraday </w:t>
      </w:r>
      <w:r>
        <w:t xml:space="preserve">common capacity calculation within the </w:t>
      </w:r>
      <w:r w:rsidR="00C36C52">
        <w:t xml:space="preserve">SEE </w:t>
      </w:r>
      <w:r w:rsidR="00483FE0">
        <w:t>CCR</w:t>
      </w:r>
      <w:r>
        <w:t xml:space="preserve">. Common capacity calculation methodologies within others </w:t>
      </w:r>
      <w:r w:rsidR="00483FE0">
        <w:t xml:space="preserve">capacity calculation regions </w:t>
      </w:r>
      <w:r>
        <w:t xml:space="preserve">or </w:t>
      </w:r>
      <w:r w:rsidR="00494C6B">
        <w:t xml:space="preserve">for </w:t>
      </w:r>
      <w:r>
        <w:t>others time</w:t>
      </w:r>
      <w:r w:rsidR="00483FE0">
        <w:t>-</w:t>
      </w:r>
      <w:r>
        <w:t xml:space="preserve">frames are </w:t>
      </w:r>
      <w:r w:rsidR="008A5B66">
        <w:t>not in</w:t>
      </w:r>
      <w:r>
        <w:t xml:space="preserve"> scope of this </w:t>
      </w:r>
      <w:r w:rsidR="00483FE0">
        <w:t>methodology</w:t>
      </w:r>
      <w:r>
        <w:t>.</w:t>
      </w:r>
    </w:p>
    <w:p w14:paraId="4C965404" w14:textId="1C4AA08C" w:rsidR="002A72C5" w:rsidRDefault="00B74A0A" w:rsidP="009C093F">
      <w:pPr>
        <w:pStyle w:val="BodyText"/>
        <w:numPr>
          <w:ilvl w:val="0"/>
          <w:numId w:val="104"/>
        </w:numPr>
        <w:spacing w:before="1"/>
        <w:ind w:left="426"/>
        <w:jc w:val="both"/>
      </w:pPr>
      <w:r>
        <w:t xml:space="preserve">This methodology </w:t>
      </w:r>
      <w:r w:rsidRPr="00B74A0A">
        <w:t>shall also apply to third country TSO(s), if such TSO(s) have signed an agreement with all</w:t>
      </w:r>
      <w:r>
        <w:t xml:space="preserve"> </w:t>
      </w:r>
      <w:r w:rsidRPr="00B74A0A">
        <w:t xml:space="preserve">SEE TSOs that they shall comply with this methodology and accept all the rights and obligations stemming from </w:t>
      </w:r>
      <w:r w:rsidR="009C093F">
        <w:t>it</w:t>
      </w:r>
      <w:r w:rsidRPr="00B74A0A">
        <w:t>. In such case the reference to SEE TSO(s) and SEE CCR in this methodology shall also include such third country</w:t>
      </w:r>
      <w:r>
        <w:t xml:space="preserve"> TSO(s)</w:t>
      </w:r>
    </w:p>
    <w:p w14:paraId="72783294" w14:textId="77777777" w:rsidR="00B74A0A" w:rsidRDefault="00B74A0A" w:rsidP="002141FC">
      <w:pPr>
        <w:pStyle w:val="BodyText"/>
        <w:spacing w:before="1"/>
        <w:jc w:val="both"/>
      </w:pPr>
    </w:p>
    <w:p w14:paraId="535C528A" w14:textId="294DF8A0" w:rsidR="007D1404" w:rsidRDefault="007D1404" w:rsidP="007D1404">
      <w:pPr>
        <w:pStyle w:val="BodyText"/>
        <w:jc w:val="both"/>
      </w:pPr>
    </w:p>
    <w:p w14:paraId="2F47D0EB" w14:textId="02E835A7" w:rsidR="00C628F3" w:rsidRDefault="00C628F3" w:rsidP="007D1404">
      <w:pPr>
        <w:pStyle w:val="BodyText"/>
        <w:jc w:val="both"/>
      </w:pPr>
    </w:p>
    <w:p w14:paraId="215EF873" w14:textId="06B5F146" w:rsidR="00C628F3" w:rsidRDefault="00C628F3" w:rsidP="007D1404">
      <w:pPr>
        <w:pStyle w:val="BodyText"/>
        <w:jc w:val="both"/>
      </w:pPr>
    </w:p>
    <w:p w14:paraId="0CF5ADCD" w14:textId="02BC75B2" w:rsidR="00C628F3" w:rsidRDefault="00C628F3" w:rsidP="007D1404">
      <w:pPr>
        <w:pStyle w:val="BodyText"/>
        <w:jc w:val="both"/>
      </w:pPr>
    </w:p>
    <w:p w14:paraId="12FBDD3F" w14:textId="167A5D3D" w:rsidR="00C628F3" w:rsidRDefault="00C628F3" w:rsidP="007D1404">
      <w:pPr>
        <w:pStyle w:val="BodyText"/>
        <w:jc w:val="both"/>
      </w:pPr>
    </w:p>
    <w:p w14:paraId="6F57BD1B" w14:textId="77777777" w:rsidR="00C628F3" w:rsidRDefault="00C628F3" w:rsidP="007D1404">
      <w:pPr>
        <w:pStyle w:val="BodyText"/>
        <w:jc w:val="both"/>
      </w:pPr>
    </w:p>
    <w:p w14:paraId="38860501" w14:textId="77777777" w:rsidR="002A72C5" w:rsidRDefault="007F2107" w:rsidP="008A255B">
      <w:pPr>
        <w:pStyle w:val="Title1"/>
        <w:spacing w:line="276" w:lineRule="auto"/>
      </w:pPr>
      <w:r>
        <w:lastRenderedPageBreak/>
        <w:t>Article 4</w:t>
      </w:r>
    </w:p>
    <w:p w14:paraId="087ACD9C" w14:textId="77777777" w:rsidR="002A72C5" w:rsidRDefault="007F2107" w:rsidP="008A255B">
      <w:pPr>
        <w:pStyle w:val="Title1"/>
        <w:spacing w:line="276" w:lineRule="auto"/>
      </w:pPr>
      <w:r>
        <w:t>Cross-zonal capacities for the day-ahead market</w:t>
      </w:r>
    </w:p>
    <w:p w14:paraId="6A2E8FC5" w14:textId="757EA4F8" w:rsidR="002A72C5" w:rsidRDefault="002A72C5" w:rsidP="008A255B">
      <w:pPr>
        <w:pStyle w:val="BodyText"/>
        <w:spacing w:line="276" w:lineRule="auto"/>
        <w:ind w:right="512"/>
        <w:jc w:val="both"/>
      </w:pPr>
    </w:p>
    <w:p w14:paraId="2B9FA994" w14:textId="783C875B" w:rsidR="00427500" w:rsidRPr="00BE774F" w:rsidRDefault="00EE64E4" w:rsidP="008A255B">
      <w:pPr>
        <w:pStyle w:val="ListParagraph"/>
        <w:widowControl/>
        <w:numPr>
          <w:ilvl w:val="0"/>
          <w:numId w:val="24"/>
        </w:numPr>
        <w:tabs>
          <w:tab w:val="left" w:pos="-4678"/>
        </w:tabs>
        <w:spacing w:after="200" w:line="276" w:lineRule="auto"/>
        <w:ind w:left="357" w:right="-45" w:hanging="357"/>
      </w:pPr>
      <w:r>
        <w:rPr>
          <w:rFonts w:cs="Arial"/>
        </w:rPr>
        <w:t>A</w:t>
      </w:r>
      <w:r w:rsidRPr="00EE64E4">
        <w:rPr>
          <w:rFonts w:cs="Arial"/>
          <w:lang w:val="en-GB"/>
        </w:rPr>
        <w:t xml:space="preserve">rticle 20 (4) of CACM </w:t>
      </w:r>
      <w:r w:rsidR="00DD48DA">
        <w:rPr>
          <w:rFonts w:cs="Arial"/>
          <w:lang w:val="en-GB"/>
        </w:rPr>
        <w:t xml:space="preserve">Regulation </w:t>
      </w:r>
      <w:r>
        <w:rPr>
          <w:rFonts w:cs="Arial"/>
          <w:lang w:val="en-GB"/>
        </w:rPr>
        <w:t xml:space="preserve">states that </w:t>
      </w:r>
      <w:r w:rsidRPr="00EE64E4">
        <w:rPr>
          <w:rFonts w:cs="Arial"/>
          <w:lang w:val="en-GB"/>
        </w:rPr>
        <w:t>“</w:t>
      </w:r>
      <w:r w:rsidRPr="00EE64E4">
        <w:rPr>
          <w:rFonts w:cs="Arial"/>
          <w:i/>
          <w:lang w:val="en-GB"/>
        </w:rPr>
        <w:t>No later than six months after at least all South East Europe Energy Community Contracting Parties participate in the single day-ahead coupling, the TSOs from at least Croatia, Romania, Bulgaria and Greece shall jointly submit a proposal to introduce a common capacity calculation methodology using the flow-based approach for the day-ahead and intraday market time-frame</w:t>
      </w:r>
      <w:r w:rsidR="00871271">
        <w:rPr>
          <w:rFonts w:cs="Arial"/>
          <w:i/>
        </w:rPr>
        <w:t>”</w:t>
      </w:r>
      <w:r>
        <w:rPr>
          <w:rFonts w:cs="Arial"/>
          <w:i/>
          <w:lang w:val="en-GB"/>
        </w:rPr>
        <w:t xml:space="preserve">. </w:t>
      </w:r>
      <w:r w:rsidRPr="00871271">
        <w:rPr>
          <w:rFonts w:cs="Arial"/>
          <w:lang w:val="en-GB"/>
        </w:rPr>
        <w:t xml:space="preserve">Based on the above, </w:t>
      </w:r>
      <w:r w:rsidRPr="00871271">
        <w:rPr>
          <w:rFonts w:cs="Arial"/>
        </w:rPr>
        <w:t>f</w:t>
      </w:r>
      <w:r w:rsidR="00E12556" w:rsidRPr="00871271">
        <w:rPr>
          <w:rFonts w:cs="Arial"/>
        </w:rPr>
        <w:t>or</w:t>
      </w:r>
      <w:r w:rsidR="00E12556" w:rsidRPr="00427500">
        <w:rPr>
          <w:rFonts w:cs="Arial"/>
        </w:rPr>
        <w:t xml:space="preserve"> the day-ahead market time-frame, individual values for cross-zonal capacity for each day-ahead market time unit shall be calculated using the </w:t>
      </w:r>
      <w:r w:rsidR="00E12556" w:rsidRPr="00E0650E">
        <w:rPr>
          <w:rFonts w:cs="Arial"/>
          <w:i/>
        </w:rPr>
        <w:t>CNTC</w:t>
      </w:r>
      <w:r w:rsidR="00E12556" w:rsidRPr="00427500">
        <w:rPr>
          <w:rFonts w:cs="Arial"/>
        </w:rPr>
        <w:t xml:space="preserve"> approach</w:t>
      </w:r>
      <w:r>
        <w:rPr>
          <w:rFonts w:cs="Arial"/>
        </w:rPr>
        <w:t>.</w:t>
      </w:r>
      <w:r w:rsidR="00852EA1" w:rsidRPr="00852EA1">
        <w:t xml:space="preserve"> </w:t>
      </w:r>
    </w:p>
    <w:p w14:paraId="3C47D50B" w14:textId="75FDE0FD" w:rsidR="00E12556" w:rsidRPr="000A604D" w:rsidRDefault="00EC3DEF" w:rsidP="008A255B">
      <w:pPr>
        <w:pStyle w:val="ListParagraph"/>
        <w:widowControl/>
        <w:numPr>
          <w:ilvl w:val="0"/>
          <w:numId w:val="24"/>
        </w:numPr>
        <w:spacing w:line="276" w:lineRule="auto"/>
        <w:ind w:right="0"/>
        <w:contextualSpacing/>
      </w:pPr>
      <w:r>
        <w:t xml:space="preserve">Each </w:t>
      </w:r>
      <w:r w:rsidR="00E12556" w:rsidRPr="000A604D">
        <w:t xml:space="preserve">TSO of the </w:t>
      </w:r>
      <w:r w:rsidR="00E12556">
        <w:t>SEE</w:t>
      </w:r>
      <w:r w:rsidR="00E12556" w:rsidRPr="000A604D">
        <w:t xml:space="preserve"> CCR shall provide the </w:t>
      </w:r>
      <w:r w:rsidR="00E12556" w:rsidRPr="00E0650E">
        <w:rPr>
          <w:i/>
        </w:rPr>
        <w:t>CCC</w:t>
      </w:r>
      <w:r w:rsidR="00747337">
        <w:t xml:space="preserve"> </w:t>
      </w:r>
      <w:r w:rsidR="00747337">
        <w:rPr>
          <w:rFonts w:cs="Arial"/>
        </w:rPr>
        <w:t>without undue delay</w:t>
      </w:r>
      <w:r w:rsidR="00E12556">
        <w:t xml:space="preserve"> </w:t>
      </w:r>
      <w:r w:rsidR="00E12556" w:rsidRPr="000A604D">
        <w:t xml:space="preserve">the following </w:t>
      </w:r>
      <w:r w:rsidR="00E12556">
        <w:t xml:space="preserve">initial </w:t>
      </w:r>
      <w:r w:rsidR="00E12556" w:rsidRPr="000A604D">
        <w:t>inputs:</w:t>
      </w:r>
    </w:p>
    <w:p w14:paraId="5C7F7418" w14:textId="57E60199" w:rsidR="00E12556" w:rsidRPr="000A604D" w:rsidRDefault="00E12556" w:rsidP="008A255B">
      <w:pPr>
        <w:pStyle w:val="ListParagraph"/>
        <w:widowControl/>
        <w:numPr>
          <w:ilvl w:val="1"/>
          <w:numId w:val="24"/>
        </w:numPr>
        <w:spacing w:line="276" w:lineRule="auto"/>
        <w:ind w:right="0"/>
        <w:contextualSpacing/>
        <w:rPr>
          <w:rFonts w:cs="Arial"/>
        </w:rPr>
      </w:pPr>
      <w:r>
        <w:rPr>
          <w:rFonts w:cs="Arial"/>
        </w:rPr>
        <w:t>o</w:t>
      </w:r>
      <w:r w:rsidRPr="000A604D">
        <w:rPr>
          <w:rFonts w:cs="Arial"/>
        </w:rPr>
        <w:t>perational security limits</w:t>
      </w:r>
      <w:r w:rsidR="001357D6">
        <w:rPr>
          <w:rFonts w:cs="Arial"/>
        </w:rPr>
        <w:t xml:space="preserve"> and </w:t>
      </w:r>
      <w:r>
        <w:rPr>
          <w:rFonts w:cs="Arial"/>
        </w:rPr>
        <w:t xml:space="preserve">contingencies </w:t>
      </w:r>
      <w:r w:rsidRPr="000A604D">
        <w:rPr>
          <w:rFonts w:cs="Arial"/>
        </w:rPr>
        <w:t xml:space="preserve">in accordance </w:t>
      </w:r>
      <w:r w:rsidRPr="00FA00D8">
        <w:rPr>
          <w:rFonts w:cs="Arial"/>
        </w:rPr>
        <w:t xml:space="preserve">with </w:t>
      </w:r>
      <w:r>
        <w:rPr>
          <w:rFonts w:cs="Arial"/>
        </w:rPr>
        <w:t>Article</w:t>
      </w:r>
      <w:r w:rsidRPr="00FA00D8">
        <w:rPr>
          <w:rFonts w:cs="Arial"/>
        </w:rPr>
        <w:t xml:space="preserve"> </w:t>
      </w:r>
      <w:r>
        <w:rPr>
          <w:rFonts w:cs="Arial"/>
        </w:rPr>
        <w:t>7</w:t>
      </w:r>
      <w:r w:rsidRPr="00FA00D8">
        <w:rPr>
          <w:rFonts w:cs="Arial"/>
        </w:rPr>
        <w:t>;</w:t>
      </w:r>
    </w:p>
    <w:p w14:paraId="2095B701" w14:textId="76EDC911" w:rsidR="00E12556" w:rsidRPr="000A604D" w:rsidRDefault="00E12556" w:rsidP="008A255B">
      <w:pPr>
        <w:pStyle w:val="ListParagraph"/>
        <w:widowControl/>
        <w:numPr>
          <w:ilvl w:val="1"/>
          <w:numId w:val="24"/>
        </w:numPr>
        <w:spacing w:line="276" w:lineRule="auto"/>
        <w:ind w:right="0"/>
        <w:contextualSpacing/>
        <w:rPr>
          <w:rFonts w:cs="Arial"/>
        </w:rPr>
      </w:pPr>
      <m:oMath>
        <m:r>
          <w:rPr>
            <w:rFonts w:ascii="Cambria Math" w:hAnsi="Cambria Math" w:cs="Arial"/>
          </w:rPr>
          <m:t>RMs</m:t>
        </m:r>
      </m:oMath>
      <w:r w:rsidRPr="000A604D">
        <w:rPr>
          <w:rFonts w:cs="Arial"/>
        </w:rPr>
        <w:t xml:space="preserve"> in accordance </w:t>
      </w:r>
      <w:r w:rsidRPr="00FA00D8">
        <w:rPr>
          <w:rFonts w:cs="Arial"/>
        </w:rPr>
        <w:t xml:space="preserve">with </w:t>
      </w:r>
      <w:r>
        <w:rPr>
          <w:rFonts w:cs="Arial"/>
        </w:rPr>
        <w:t>Article</w:t>
      </w:r>
      <w:r w:rsidRPr="00FA00D8">
        <w:rPr>
          <w:rFonts w:cs="Arial"/>
        </w:rPr>
        <w:t xml:space="preserve"> </w:t>
      </w:r>
      <w:r>
        <w:rPr>
          <w:rFonts w:cs="Arial"/>
        </w:rPr>
        <w:t>6</w:t>
      </w:r>
      <w:r w:rsidRPr="00FA00D8">
        <w:rPr>
          <w:rFonts w:cs="Arial"/>
        </w:rPr>
        <w:t>;</w:t>
      </w:r>
    </w:p>
    <w:p w14:paraId="2A9A65A0" w14:textId="20775DC8" w:rsidR="00E12556" w:rsidRPr="000A604D" w:rsidRDefault="00E12556" w:rsidP="008A255B">
      <w:pPr>
        <w:pStyle w:val="ListParagraph"/>
        <w:widowControl/>
        <w:numPr>
          <w:ilvl w:val="1"/>
          <w:numId w:val="24"/>
        </w:numPr>
        <w:spacing w:line="276" w:lineRule="auto"/>
        <w:ind w:right="0"/>
        <w:contextualSpacing/>
        <w:rPr>
          <w:rFonts w:cs="Arial"/>
        </w:rPr>
      </w:pPr>
      <w:r w:rsidRPr="00226584">
        <w:rPr>
          <w:rFonts w:cs="Arial"/>
          <w:i/>
        </w:rPr>
        <w:t>GSK</w:t>
      </w:r>
      <w:r w:rsidR="00E0650E">
        <w:rPr>
          <w:rFonts w:cs="Arial"/>
          <w:i/>
        </w:rPr>
        <w:t>s</w:t>
      </w:r>
      <w:r w:rsidRPr="000A604D">
        <w:rPr>
          <w:rFonts w:cs="Arial"/>
        </w:rPr>
        <w:t xml:space="preserve"> in accordance with </w:t>
      </w:r>
      <w:r>
        <w:rPr>
          <w:rFonts w:cs="Arial"/>
        </w:rPr>
        <w:t>Article</w:t>
      </w:r>
      <w:r w:rsidRPr="00FA00D8">
        <w:rPr>
          <w:rFonts w:cs="Arial"/>
        </w:rPr>
        <w:t xml:space="preserve"> </w:t>
      </w:r>
      <w:r>
        <w:rPr>
          <w:rFonts w:cs="Arial"/>
        </w:rPr>
        <w:t>8</w:t>
      </w:r>
      <w:r w:rsidRPr="000A604D">
        <w:rPr>
          <w:rFonts w:cs="Arial"/>
        </w:rPr>
        <w:t>; and</w:t>
      </w:r>
    </w:p>
    <w:p w14:paraId="003970D0" w14:textId="7FAE2582" w:rsidR="00E12556" w:rsidRPr="00BB2952" w:rsidRDefault="00E12556" w:rsidP="008A255B">
      <w:pPr>
        <w:pStyle w:val="ListParagraph"/>
        <w:widowControl/>
        <w:numPr>
          <w:ilvl w:val="1"/>
          <w:numId w:val="24"/>
        </w:numPr>
        <w:spacing w:after="200" w:line="276" w:lineRule="auto"/>
        <w:ind w:left="1077" w:right="0" w:hanging="357"/>
        <w:rPr>
          <w:rFonts w:cs="Arial"/>
        </w:rPr>
      </w:pPr>
      <w:r>
        <w:rPr>
          <w:rFonts w:cs="Arial"/>
          <w:i/>
        </w:rPr>
        <w:t>RAs</w:t>
      </w:r>
      <w:r>
        <w:rPr>
          <w:rFonts w:cs="Arial"/>
        </w:rPr>
        <w:t xml:space="preserve"> </w:t>
      </w:r>
      <w:r w:rsidRPr="000A604D">
        <w:rPr>
          <w:rFonts w:cs="Arial"/>
        </w:rPr>
        <w:t xml:space="preserve">in </w:t>
      </w:r>
      <w:r w:rsidRPr="00FA00D8">
        <w:rPr>
          <w:rFonts w:cs="Arial"/>
        </w:rPr>
        <w:t xml:space="preserve">accordance with </w:t>
      </w:r>
      <w:r>
        <w:rPr>
          <w:rFonts w:cs="Arial"/>
        </w:rPr>
        <w:t>Article</w:t>
      </w:r>
      <w:r w:rsidRPr="00FA00D8">
        <w:rPr>
          <w:rFonts w:cs="Arial"/>
        </w:rPr>
        <w:t xml:space="preserve"> </w:t>
      </w:r>
      <w:r>
        <w:rPr>
          <w:rFonts w:cs="Arial"/>
        </w:rPr>
        <w:t>9</w:t>
      </w:r>
      <w:r w:rsidRPr="00FA00D8">
        <w:rPr>
          <w:rFonts w:cs="Arial"/>
        </w:rPr>
        <w:t>.</w:t>
      </w:r>
    </w:p>
    <w:p w14:paraId="36A98C31" w14:textId="3E180B3F" w:rsidR="00E12556" w:rsidRPr="00AF385C" w:rsidRDefault="00E12556" w:rsidP="008A255B">
      <w:pPr>
        <w:pStyle w:val="ListParagraph"/>
        <w:widowControl/>
        <w:numPr>
          <w:ilvl w:val="0"/>
          <w:numId w:val="21"/>
        </w:numPr>
        <w:spacing w:after="200" w:line="276" w:lineRule="auto"/>
        <w:ind w:left="357" w:right="0" w:hanging="357"/>
        <w:rPr>
          <w:rFonts w:cs="Arial"/>
        </w:rPr>
      </w:pPr>
      <w:r w:rsidRPr="00362FD7">
        <w:rPr>
          <w:rFonts w:cs="Arial"/>
        </w:rPr>
        <w:t xml:space="preserve">SEE TSOs, or an entity </w:t>
      </w:r>
      <w:r w:rsidR="00494AEF">
        <w:rPr>
          <w:rFonts w:cs="Arial"/>
        </w:rPr>
        <w:t>delegated by the</w:t>
      </w:r>
      <w:r w:rsidRPr="00362FD7">
        <w:rPr>
          <w:rFonts w:cs="Arial"/>
        </w:rPr>
        <w:t xml:space="preserve"> SEE TSOs, shall send for each </w:t>
      </w:r>
      <w:r w:rsidR="00D02747">
        <w:rPr>
          <w:rFonts w:cs="Arial"/>
        </w:rPr>
        <w:t>MTU</w:t>
      </w:r>
      <w:r w:rsidRPr="00362FD7">
        <w:rPr>
          <w:rFonts w:cs="Arial"/>
        </w:rPr>
        <w:t xml:space="preserve"> of the day the </w:t>
      </w:r>
      <w:r w:rsidRPr="00E0650E">
        <w:rPr>
          <w:rFonts w:cs="Arial"/>
          <w:i/>
        </w:rPr>
        <w:t>LTA</w:t>
      </w:r>
      <w:r w:rsidRPr="00362FD7">
        <w:rPr>
          <w:rFonts w:cs="Arial"/>
        </w:rPr>
        <w:t xml:space="preserve"> and </w:t>
      </w:r>
      <w:r w:rsidRPr="00E0650E">
        <w:rPr>
          <w:rFonts w:cs="Arial"/>
          <w:i/>
        </w:rPr>
        <w:t>LTN</w:t>
      </w:r>
      <w:r w:rsidRPr="00362FD7">
        <w:rPr>
          <w:rFonts w:cs="Arial"/>
        </w:rPr>
        <w:t xml:space="preserve"> to the </w:t>
      </w:r>
      <w:r w:rsidR="00254B6D">
        <w:rPr>
          <w:rFonts w:cs="Arial"/>
        </w:rPr>
        <w:t>CCC</w:t>
      </w:r>
      <w:r w:rsidRPr="00362FD7">
        <w:rPr>
          <w:rFonts w:cs="Arial"/>
        </w:rPr>
        <w:t xml:space="preserve">, without undue delay. </w:t>
      </w:r>
      <w:r w:rsidR="00AF385C">
        <w:rPr>
          <w:rFonts w:cs="Arial"/>
        </w:rPr>
        <w:t xml:space="preserve">In accordance with article 81 of CACM </w:t>
      </w:r>
      <w:r w:rsidR="00254B6D">
        <w:rPr>
          <w:rFonts w:cs="Arial"/>
        </w:rPr>
        <w:t>R</w:t>
      </w:r>
      <w:r w:rsidR="00AF385C">
        <w:rPr>
          <w:rFonts w:cs="Arial"/>
        </w:rPr>
        <w:t xml:space="preserve">egulation, </w:t>
      </w:r>
      <w:r w:rsidR="00AF385C">
        <w:t>t</w:t>
      </w:r>
      <w:r w:rsidR="00AF385C" w:rsidRPr="00C30A89">
        <w:t>he del</w:t>
      </w:r>
      <w:r w:rsidR="00AF385C" w:rsidRPr="00AF385C">
        <w:t xml:space="preserve">egating </w:t>
      </w:r>
      <w:r w:rsidR="00AF385C">
        <w:t xml:space="preserve">TSOs in such a case </w:t>
      </w:r>
      <w:r w:rsidR="00AF385C" w:rsidRPr="00C30A89">
        <w:t>shall remain responsible for ensuring compliance with the obligations under t</w:t>
      </w:r>
      <w:r w:rsidR="00AF385C">
        <w:t xml:space="preserve">he CACM </w:t>
      </w:r>
      <w:r w:rsidR="00254B6D">
        <w:t>R</w:t>
      </w:r>
      <w:r w:rsidR="00AF385C">
        <w:t xml:space="preserve">egulation. </w:t>
      </w:r>
    </w:p>
    <w:p w14:paraId="21740939" w14:textId="00128688" w:rsidR="00E12556" w:rsidRPr="00BB2952" w:rsidRDefault="00E12556" w:rsidP="008A255B">
      <w:pPr>
        <w:pStyle w:val="ListParagraph"/>
        <w:widowControl/>
        <w:numPr>
          <w:ilvl w:val="0"/>
          <w:numId w:val="21"/>
        </w:numPr>
        <w:spacing w:after="200" w:line="276" w:lineRule="auto"/>
        <w:ind w:left="357" w:right="0" w:hanging="357"/>
        <w:rPr>
          <w:rFonts w:cs="Arial"/>
        </w:rPr>
      </w:pPr>
      <w:r w:rsidRPr="000A604D">
        <w:rPr>
          <w:rFonts w:cs="Arial"/>
        </w:rPr>
        <w:t xml:space="preserve">When providing the inputs, the TSOs of the </w:t>
      </w:r>
      <w:r>
        <w:rPr>
          <w:rFonts w:cs="Arial"/>
        </w:rPr>
        <w:t>SEE</w:t>
      </w:r>
      <w:r w:rsidRPr="000A604D">
        <w:rPr>
          <w:rFonts w:cs="Arial"/>
        </w:rPr>
        <w:t xml:space="preserve"> CCR shall respect the formats commonly agreed between the TSOs and the </w:t>
      </w:r>
      <w:r w:rsidR="00E74B3D">
        <w:rPr>
          <w:rFonts w:cs="Arial"/>
        </w:rPr>
        <w:t>CCC</w:t>
      </w:r>
      <w:r w:rsidRPr="000A604D">
        <w:rPr>
          <w:rFonts w:cs="Arial"/>
        </w:rPr>
        <w:t xml:space="preserve"> of the </w:t>
      </w:r>
      <w:r>
        <w:rPr>
          <w:rFonts w:cs="Arial"/>
        </w:rPr>
        <w:t>SEE</w:t>
      </w:r>
      <w:r w:rsidRPr="000A604D">
        <w:rPr>
          <w:rFonts w:cs="Arial"/>
        </w:rPr>
        <w:t xml:space="preserve"> CCR, while respecting the requirements and guidance defined in the CGMM.</w:t>
      </w:r>
    </w:p>
    <w:p w14:paraId="7B929443" w14:textId="321408FB" w:rsidR="00E12556" w:rsidRPr="00BB2952" w:rsidRDefault="00867A5D" w:rsidP="008A255B">
      <w:pPr>
        <w:pStyle w:val="ListParagraph"/>
        <w:widowControl/>
        <w:numPr>
          <w:ilvl w:val="0"/>
          <w:numId w:val="21"/>
        </w:numPr>
        <w:spacing w:after="200" w:line="276" w:lineRule="auto"/>
        <w:ind w:left="357" w:right="0" w:hanging="357"/>
        <w:rPr>
          <w:rFonts w:cs="Arial"/>
        </w:rPr>
      </w:pPr>
      <w:r>
        <w:rPr>
          <w:rFonts w:cs="Arial"/>
          <w:lang w:val="en-GB"/>
        </w:rPr>
        <w:t>T</w:t>
      </w:r>
      <w:r w:rsidRPr="00867A5D">
        <w:rPr>
          <w:rFonts w:cs="Arial"/>
          <w:lang w:val="en-GB"/>
        </w:rPr>
        <w:t>he</w:t>
      </w:r>
      <w:r w:rsidR="009B305E">
        <w:rPr>
          <w:rFonts w:cs="Arial"/>
          <w:lang w:val="en-GB"/>
        </w:rPr>
        <w:t xml:space="preserve"> day-ahead</w:t>
      </w:r>
      <w:r w:rsidRPr="00867A5D">
        <w:rPr>
          <w:rFonts w:cs="Arial"/>
          <w:lang w:val="en-GB"/>
        </w:rPr>
        <w:t xml:space="preserve"> capacity calculation is based on the unique </w:t>
      </w:r>
      <w:r w:rsidR="009B305E">
        <w:rPr>
          <w:rFonts w:cs="Arial"/>
          <w:lang w:val="en-GB"/>
        </w:rPr>
        <w:t>D-2 CGM</w:t>
      </w:r>
      <w:r w:rsidRPr="00867A5D">
        <w:rPr>
          <w:rFonts w:cs="Arial"/>
          <w:lang w:val="en-GB"/>
        </w:rPr>
        <w:t xml:space="preserve"> built in accordance with Articles 17 and 28 of CACM</w:t>
      </w:r>
      <w:r w:rsidR="00254B6D">
        <w:rPr>
          <w:rFonts w:cs="Arial"/>
          <w:lang w:val="en-GB"/>
        </w:rPr>
        <w:t xml:space="preserve"> Regulation</w:t>
      </w:r>
      <w:r w:rsidR="009B305E">
        <w:rPr>
          <w:rFonts w:cs="Arial"/>
          <w:lang w:val="en-GB"/>
        </w:rPr>
        <w:t>.</w:t>
      </w:r>
    </w:p>
    <w:p w14:paraId="414ED643" w14:textId="427F7647" w:rsidR="00E12556" w:rsidRPr="000A604D" w:rsidRDefault="00E12556" w:rsidP="008A255B">
      <w:pPr>
        <w:pStyle w:val="ListParagraph"/>
        <w:widowControl/>
        <w:numPr>
          <w:ilvl w:val="0"/>
          <w:numId w:val="21"/>
        </w:numPr>
        <w:spacing w:line="276" w:lineRule="auto"/>
        <w:ind w:right="0" w:hanging="357"/>
        <w:rPr>
          <w:rFonts w:cs="Arial"/>
        </w:rPr>
      </w:pPr>
      <w:r w:rsidRPr="000A604D">
        <w:rPr>
          <w:rFonts w:cs="Arial"/>
        </w:rPr>
        <w:t xml:space="preserve">For the day-ahead common capacity calculation in the </w:t>
      </w:r>
      <w:r>
        <w:rPr>
          <w:rFonts w:cs="Arial"/>
        </w:rPr>
        <w:t>SEE</w:t>
      </w:r>
      <w:r w:rsidRPr="000A604D">
        <w:rPr>
          <w:rFonts w:cs="Arial"/>
        </w:rPr>
        <w:t xml:space="preserve"> CCR,</w:t>
      </w:r>
      <w:r>
        <w:rPr>
          <w:rFonts w:cs="Arial"/>
        </w:rPr>
        <w:t xml:space="preserve"> performed by the </w:t>
      </w:r>
      <w:r w:rsidRPr="00E0650E">
        <w:rPr>
          <w:i/>
        </w:rPr>
        <w:t>CCC</w:t>
      </w:r>
      <w:r>
        <w:t xml:space="preserve">, </w:t>
      </w:r>
      <w:r w:rsidRPr="000A604D">
        <w:rPr>
          <w:rFonts w:cs="Arial"/>
        </w:rPr>
        <w:t>the high</w:t>
      </w:r>
      <w:r>
        <w:rPr>
          <w:rFonts w:cs="Arial"/>
        </w:rPr>
        <w:t>-</w:t>
      </w:r>
      <w:r w:rsidRPr="000A604D">
        <w:rPr>
          <w:rFonts w:cs="Arial"/>
        </w:rPr>
        <w:t xml:space="preserve">level process flow includes </w:t>
      </w:r>
      <w:r w:rsidR="00F262CA">
        <w:rPr>
          <w:rFonts w:cs="Arial"/>
        </w:rPr>
        <w:t xml:space="preserve">six </w:t>
      </w:r>
      <w:r w:rsidRPr="000A604D">
        <w:rPr>
          <w:rFonts w:cs="Arial"/>
        </w:rPr>
        <w:t xml:space="preserve">steps until the final </w:t>
      </w:r>
      <w:r w:rsidRPr="00E0650E">
        <w:rPr>
          <w:rFonts w:cs="Arial"/>
          <w:i/>
        </w:rPr>
        <w:t>CNTC</w:t>
      </w:r>
      <w:r w:rsidRPr="000A604D">
        <w:rPr>
          <w:rFonts w:cs="Arial"/>
        </w:rPr>
        <w:t xml:space="preserve"> domain for the day-ahead </w:t>
      </w:r>
      <w:r>
        <w:rPr>
          <w:rFonts w:cs="Arial"/>
        </w:rPr>
        <w:t xml:space="preserve">market time-frame </w:t>
      </w:r>
      <w:r w:rsidRPr="000A604D">
        <w:rPr>
          <w:rFonts w:cs="Arial"/>
        </w:rPr>
        <w:t>is set:</w:t>
      </w:r>
    </w:p>
    <w:p w14:paraId="087E8F00" w14:textId="07282FF8" w:rsidR="00E12556" w:rsidRDefault="00EE7FA7" w:rsidP="008A255B">
      <w:pPr>
        <w:pStyle w:val="ListParagraph"/>
        <w:widowControl/>
        <w:numPr>
          <w:ilvl w:val="1"/>
          <w:numId w:val="21"/>
        </w:numPr>
        <w:spacing w:line="276" w:lineRule="auto"/>
        <w:ind w:right="0" w:hanging="357"/>
        <w:rPr>
          <w:rFonts w:cs="Arial"/>
        </w:rPr>
      </w:pPr>
      <w:r>
        <w:rPr>
          <w:rFonts w:cs="Arial"/>
        </w:rPr>
        <w:t>f</w:t>
      </w:r>
      <w:r w:rsidR="00E12556">
        <w:rPr>
          <w:rFonts w:cs="Arial"/>
        </w:rPr>
        <w:t xml:space="preserve">irst, for </w:t>
      </w:r>
      <w:r w:rsidR="00E12556" w:rsidRPr="000A604D">
        <w:rPr>
          <w:rFonts w:cs="Arial"/>
        </w:rPr>
        <w:t>the</w:t>
      </w:r>
      <w:r w:rsidR="00E12556">
        <w:rPr>
          <w:rFonts w:cs="Arial"/>
        </w:rPr>
        <w:t xml:space="preserve"> capacity calculation</w:t>
      </w:r>
      <w:r w:rsidR="00E12556" w:rsidRPr="00221E05">
        <w:rPr>
          <w:rFonts w:cs="Arial"/>
        </w:rPr>
        <w:t xml:space="preserve"> inputs as defined in </w:t>
      </w:r>
      <w:r w:rsidR="00E12556">
        <w:rPr>
          <w:rFonts w:cs="Arial"/>
        </w:rPr>
        <w:t>Article</w:t>
      </w:r>
      <w:r w:rsidR="00E12556" w:rsidRPr="00221E05">
        <w:rPr>
          <w:rFonts w:cs="Arial"/>
        </w:rPr>
        <w:t xml:space="preserve"> 4(2) </w:t>
      </w:r>
      <w:r w:rsidR="00E12556">
        <w:rPr>
          <w:rFonts w:cs="Arial"/>
        </w:rPr>
        <w:t>and Article 4(4</w:t>
      </w:r>
      <w:r w:rsidR="00E12556" w:rsidRPr="00221E05">
        <w:rPr>
          <w:rFonts w:cs="Arial"/>
        </w:rPr>
        <w:t xml:space="preserve">) </w:t>
      </w:r>
      <w:r w:rsidR="00E12556">
        <w:rPr>
          <w:rFonts w:cs="Arial"/>
        </w:rPr>
        <w:t xml:space="preserve">a quality check process shall be performed by the </w:t>
      </w:r>
      <w:r w:rsidR="00E12556" w:rsidRPr="00E0650E">
        <w:rPr>
          <w:rFonts w:cs="Arial"/>
          <w:i/>
        </w:rPr>
        <w:t>CCC</w:t>
      </w:r>
      <w:r w:rsidR="00E12556" w:rsidRPr="00221E05">
        <w:rPr>
          <w:rFonts w:cs="Arial"/>
        </w:rPr>
        <w:t>;</w:t>
      </w:r>
    </w:p>
    <w:p w14:paraId="7B545720" w14:textId="3CCD104A" w:rsidR="008038A6" w:rsidRPr="0064291A" w:rsidRDefault="008038A6" w:rsidP="008A255B">
      <w:pPr>
        <w:pStyle w:val="ListParagraph"/>
        <w:widowControl/>
        <w:numPr>
          <w:ilvl w:val="1"/>
          <w:numId w:val="21"/>
        </w:numPr>
        <w:spacing w:line="276" w:lineRule="auto"/>
        <w:ind w:right="0" w:hanging="357"/>
        <w:rPr>
          <w:rFonts w:cs="Arial"/>
        </w:rPr>
      </w:pPr>
      <w:r>
        <w:rPr>
          <w:rFonts w:cs="Arial"/>
        </w:rPr>
        <w:t>the</w:t>
      </w:r>
      <w:r w:rsidRPr="008038A6">
        <w:rPr>
          <w:rFonts w:cs="Arial"/>
        </w:rPr>
        <w:t xml:space="preserve"> second process step is to determine the relevant </w:t>
      </w:r>
      <w:r w:rsidRPr="00E0650E">
        <w:rPr>
          <w:rFonts w:cs="Arial"/>
          <w:i/>
        </w:rPr>
        <w:t>CNECs</w:t>
      </w:r>
      <w:r w:rsidRPr="008038A6">
        <w:rPr>
          <w:rFonts w:cs="Arial"/>
        </w:rPr>
        <w:t xml:space="preserve"> </w:t>
      </w:r>
      <w:r w:rsidRPr="0064291A">
        <w:rPr>
          <w:rFonts w:cs="Arial"/>
        </w:rPr>
        <w:t>in accordance with Article 7</w:t>
      </w:r>
      <w:r w:rsidR="00A31827">
        <w:rPr>
          <w:rFonts w:cs="Arial"/>
        </w:rPr>
        <w:t>a</w:t>
      </w:r>
      <w:r w:rsidRPr="0064291A">
        <w:rPr>
          <w:rFonts w:cs="Arial"/>
        </w:rPr>
        <w:t xml:space="preserve"> used during common capacity calculation;</w:t>
      </w:r>
    </w:p>
    <w:p w14:paraId="1EE5F4FC" w14:textId="61BFCC79" w:rsidR="00E12556" w:rsidRDefault="00E12556" w:rsidP="008A255B">
      <w:pPr>
        <w:pStyle w:val="ListParagraph"/>
        <w:widowControl/>
        <w:numPr>
          <w:ilvl w:val="1"/>
          <w:numId w:val="21"/>
        </w:numPr>
        <w:spacing w:line="276" w:lineRule="auto"/>
        <w:ind w:right="0" w:hanging="357"/>
        <w:rPr>
          <w:rFonts w:cs="Arial"/>
        </w:rPr>
      </w:pPr>
      <w:r>
        <w:rPr>
          <w:rFonts w:cs="Arial"/>
        </w:rPr>
        <w:t xml:space="preserve">the </w:t>
      </w:r>
      <w:r w:rsidR="0064291A">
        <w:rPr>
          <w:rFonts w:cs="Arial"/>
        </w:rPr>
        <w:t xml:space="preserve">third  </w:t>
      </w:r>
      <w:r>
        <w:rPr>
          <w:rFonts w:cs="Arial"/>
        </w:rPr>
        <w:t xml:space="preserve">step is to determine the </w:t>
      </w:r>
      <w:r w:rsidRPr="00E775D9">
        <w:rPr>
          <w:rFonts w:cs="Arial"/>
          <w:i/>
        </w:rPr>
        <w:t>NTC</w:t>
      </w:r>
      <w:r>
        <w:rPr>
          <w:rFonts w:cs="Arial"/>
        </w:rPr>
        <w:t xml:space="preserve"> values for each direction and border of SEE CCR in accordance with Article 11;</w:t>
      </w:r>
    </w:p>
    <w:p w14:paraId="72788989" w14:textId="18415B23" w:rsidR="0064291A" w:rsidRDefault="0064291A" w:rsidP="008A255B">
      <w:pPr>
        <w:pStyle w:val="ListParagraph"/>
        <w:widowControl/>
        <w:numPr>
          <w:ilvl w:val="1"/>
          <w:numId w:val="21"/>
        </w:numPr>
        <w:spacing w:line="276" w:lineRule="auto"/>
        <w:ind w:right="0" w:hanging="357"/>
        <w:rPr>
          <w:rFonts w:cs="Arial"/>
        </w:rPr>
      </w:pPr>
      <w:r>
        <w:rPr>
          <w:rFonts w:cs="Arial"/>
        </w:rPr>
        <w:t xml:space="preserve">the fourth step is to check if the previously-allocated cross-zonal capacities are fully covered by the </w:t>
      </w:r>
      <w:r w:rsidRPr="00E0650E">
        <w:rPr>
          <w:rFonts w:cs="Arial"/>
          <w:i/>
        </w:rPr>
        <w:t>NTC</w:t>
      </w:r>
      <w:r>
        <w:rPr>
          <w:rFonts w:cs="Arial"/>
        </w:rPr>
        <w:t xml:space="preserve"> values in accordance with Article </w:t>
      </w:r>
      <w:r w:rsidR="00EA6D3F">
        <w:rPr>
          <w:rFonts w:cs="Arial"/>
        </w:rPr>
        <w:t>11</w:t>
      </w:r>
      <w:r>
        <w:rPr>
          <w:rFonts w:cs="Arial"/>
        </w:rPr>
        <w:t>;</w:t>
      </w:r>
    </w:p>
    <w:p w14:paraId="0EE2B9AA" w14:textId="16141939" w:rsidR="00E12556" w:rsidRDefault="00E12556" w:rsidP="008A255B">
      <w:pPr>
        <w:pStyle w:val="ListParagraph"/>
        <w:widowControl/>
        <w:numPr>
          <w:ilvl w:val="1"/>
          <w:numId w:val="21"/>
        </w:numPr>
        <w:spacing w:line="276" w:lineRule="auto"/>
        <w:ind w:right="0" w:hanging="357"/>
        <w:rPr>
          <w:rFonts w:cs="Arial"/>
        </w:rPr>
      </w:pPr>
      <w:r>
        <w:rPr>
          <w:rFonts w:cs="Arial"/>
        </w:rPr>
        <w:t xml:space="preserve">after </w:t>
      </w:r>
      <w:r>
        <w:rPr>
          <w:rFonts w:cs="Arial"/>
          <w:i/>
        </w:rPr>
        <w:t>LTA</w:t>
      </w:r>
      <w:r w:rsidR="0064291A">
        <w:rPr>
          <w:rFonts w:cs="Arial"/>
          <w:i/>
        </w:rPr>
        <w:t xml:space="preserve"> </w:t>
      </w:r>
      <w:r w:rsidR="0064291A" w:rsidRPr="00CA4DBB">
        <w:rPr>
          <w:rFonts w:cs="Arial"/>
        </w:rPr>
        <w:t>assessment</w:t>
      </w:r>
      <w:r>
        <w:rPr>
          <w:rFonts w:cs="Arial"/>
        </w:rPr>
        <w:t>, the resulting cross-zonal capacities are validated by the TSOs of the SEE CCR</w:t>
      </w:r>
      <w:r w:rsidR="0064291A">
        <w:rPr>
          <w:rFonts w:cs="Arial"/>
        </w:rPr>
        <w:t>;</w:t>
      </w:r>
    </w:p>
    <w:p w14:paraId="165D20D1" w14:textId="44D92F1E" w:rsidR="0064291A" w:rsidRDefault="0064291A" w:rsidP="008A255B">
      <w:pPr>
        <w:pStyle w:val="ListParagraph"/>
        <w:widowControl/>
        <w:numPr>
          <w:ilvl w:val="1"/>
          <w:numId w:val="21"/>
        </w:numPr>
        <w:spacing w:after="200" w:line="276" w:lineRule="auto"/>
        <w:ind w:left="1083" w:right="0" w:hanging="357"/>
        <w:rPr>
          <w:rFonts w:cs="Arial"/>
        </w:rPr>
      </w:pPr>
      <w:r w:rsidRPr="001F578B">
        <w:rPr>
          <w:rFonts w:cs="Arial"/>
        </w:rPr>
        <w:t xml:space="preserve">finally, the </w:t>
      </w:r>
      <w:r w:rsidRPr="001F578B">
        <w:rPr>
          <w:rFonts w:cs="Arial"/>
          <w:i/>
        </w:rPr>
        <w:t>ATC</w:t>
      </w:r>
      <w:r w:rsidRPr="0007441C">
        <w:rPr>
          <w:rFonts w:cs="Arial"/>
        </w:rPr>
        <w:t xml:space="preserve"> values are calculated for day-ahead market </w:t>
      </w:r>
      <w:r w:rsidRPr="001F578B">
        <w:rPr>
          <w:rFonts w:cs="Arial"/>
        </w:rPr>
        <w:t xml:space="preserve">time-frame taking into account the </w:t>
      </w:r>
      <w:r w:rsidRPr="00E0650E">
        <w:rPr>
          <w:rFonts w:cs="Arial"/>
          <w:i/>
        </w:rPr>
        <w:t>LTN</w:t>
      </w:r>
      <w:r>
        <w:rPr>
          <w:rFonts w:cs="Arial"/>
        </w:rPr>
        <w:t xml:space="preserve"> values.</w:t>
      </w:r>
    </w:p>
    <w:p w14:paraId="1D4CEC14" w14:textId="6FA5DC6E" w:rsidR="000C1BC1" w:rsidRDefault="000C1BC1" w:rsidP="008A255B">
      <w:pPr>
        <w:pStyle w:val="BodyText"/>
        <w:numPr>
          <w:ilvl w:val="0"/>
          <w:numId w:val="21"/>
        </w:numPr>
        <w:spacing w:after="200" w:line="276" w:lineRule="auto"/>
        <w:ind w:left="357" w:right="-45" w:hanging="357"/>
        <w:jc w:val="both"/>
      </w:pPr>
      <w:r>
        <w:t>As described before, f</w:t>
      </w:r>
      <w:r w:rsidRPr="00A118BF">
        <w:t xml:space="preserve">or each </w:t>
      </w:r>
      <w:r w:rsidR="005B5540">
        <w:t xml:space="preserve">SEE CCR </w:t>
      </w:r>
      <w:r w:rsidRPr="00A118BF">
        <w:t xml:space="preserve">border, direction and </w:t>
      </w:r>
      <w:r w:rsidR="005B5540">
        <w:t xml:space="preserve">market </w:t>
      </w:r>
      <w:r w:rsidRPr="00A118BF">
        <w:t xml:space="preserve">time unit, the final available </w:t>
      </w:r>
      <w:r w:rsidR="005B5540">
        <w:t xml:space="preserve">transmission </w:t>
      </w:r>
      <w:r w:rsidRPr="00A118BF">
        <w:t xml:space="preserve">capacity for the </w:t>
      </w:r>
      <w:r w:rsidR="005B5540">
        <w:t>day-ahead</w:t>
      </w:r>
      <w:r w:rsidR="005B5540" w:rsidRPr="00A118BF">
        <w:t xml:space="preserve"> </w:t>
      </w:r>
      <w:r w:rsidRPr="00A118BF">
        <w:t>market</w:t>
      </w:r>
      <w:r w:rsidR="005B5540">
        <w:t xml:space="preserve"> time-frame</w:t>
      </w:r>
      <w:r w:rsidRPr="00A118BF">
        <w:t xml:space="preserve"> </w:t>
      </w:r>
      <w:r w:rsidR="005B5540">
        <w:t>shall</w:t>
      </w:r>
      <w:r w:rsidR="005B5540" w:rsidRPr="00A118BF">
        <w:t xml:space="preserve"> </w:t>
      </w:r>
      <w:r w:rsidRPr="00A118BF">
        <w:t xml:space="preserve">be defined as the difference between the computed </w:t>
      </w:r>
      <w:r w:rsidRPr="00E0650E">
        <w:rPr>
          <w:i/>
        </w:rPr>
        <w:t>NTC</w:t>
      </w:r>
      <w:r w:rsidRPr="00A118BF">
        <w:t xml:space="preserve"> value</w:t>
      </w:r>
      <w:r w:rsidR="005B5540">
        <w:t>s</w:t>
      </w:r>
      <w:r w:rsidRPr="00A118BF">
        <w:t xml:space="preserve"> and the already </w:t>
      </w:r>
      <w:r w:rsidR="005B5540">
        <w:t xml:space="preserve">nominated capacities </w:t>
      </w:r>
      <w:r w:rsidRPr="00A118BF">
        <w:t>in the previous market time</w:t>
      </w:r>
      <w:r w:rsidR="005B5540">
        <w:t>-</w:t>
      </w:r>
      <w:r w:rsidRPr="00A118BF">
        <w:t>frames.</w:t>
      </w:r>
    </w:p>
    <w:p w14:paraId="3C686766" w14:textId="77777777" w:rsidR="00E12556" w:rsidRPr="00221E05" w:rsidRDefault="00E12556" w:rsidP="008A255B">
      <w:pPr>
        <w:pStyle w:val="ListParagraph"/>
        <w:widowControl/>
        <w:numPr>
          <w:ilvl w:val="0"/>
          <w:numId w:val="21"/>
        </w:numPr>
        <w:spacing w:line="276" w:lineRule="auto"/>
        <w:ind w:left="357" w:right="0" w:hanging="357"/>
        <w:contextualSpacing/>
        <w:rPr>
          <w:rFonts w:cs="Arial"/>
        </w:rPr>
      </w:pPr>
      <w:r w:rsidRPr="00221E05">
        <w:rPr>
          <w:rFonts w:cs="Arial"/>
        </w:rPr>
        <w:t xml:space="preserve">In accordance with </w:t>
      </w:r>
      <w:r>
        <w:rPr>
          <w:rFonts w:cs="Arial"/>
        </w:rPr>
        <w:t>Article</w:t>
      </w:r>
      <w:r w:rsidRPr="00221E05">
        <w:rPr>
          <w:rFonts w:cs="Arial"/>
        </w:rPr>
        <w:t xml:space="preserve"> 46 of CACM Regulation, the CCC and TSOs of the </w:t>
      </w:r>
      <w:r>
        <w:rPr>
          <w:rFonts w:cs="Arial"/>
        </w:rPr>
        <w:t>SEE</w:t>
      </w:r>
      <w:r w:rsidRPr="00221E05">
        <w:rPr>
          <w:rFonts w:cs="Arial"/>
        </w:rPr>
        <w:t xml:space="preserve"> CCR shall ensure that cross-zonal capacity shall be provided to relevant </w:t>
      </w:r>
      <w:r>
        <w:rPr>
          <w:rFonts w:cs="Arial"/>
        </w:rPr>
        <w:t>entities</w:t>
      </w:r>
      <w:r w:rsidRPr="00221E05">
        <w:rPr>
          <w:rFonts w:cs="Arial"/>
        </w:rPr>
        <w:t xml:space="preserve"> before the day-ahead firmness deadline as defined in accordance with </w:t>
      </w:r>
      <w:r>
        <w:rPr>
          <w:rFonts w:cs="Arial"/>
        </w:rPr>
        <w:t>Article</w:t>
      </w:r>
      <w:r w:rsidRPr="00221E05">
        <w:rPr>
          <w:rFonts w:cs="Arial"/>
        </w:rPr>
        <w:t xml:space="preserve"> 69 of CACM Regulation.</w:t>
      </w:r>
    </w:p>
    <w:p w14:paraId="26E6470F" w14:textId="77777777" w:rsidR="0015068F" w:rsidRDefault="0015068F" w:rsidP="008A255B">
      <w:pPr>
        <w:pStyle w:val="BodyText"/>
        <w:spacing w:line="276" w:lineRule="auto"/>
        <w:ind w:left="119" w:right="510"/>
        <w:jc w:val="both"/>
      </w:pPr>
    </w:p>
    <w:p w14:paraId="3B1BD92F" w14:textId="77777777" w:rsidR="00C628F3" w:rsidRDefault="00C628F3" w:rsidP="008A255B">
      <w:pPr>
        <w:pStyle w:val="Title1"/>
        <w:spacing w:line="276" w:lineRule="auto"/>
      </w:pPr>
    </w:p>
    <w:p w14:paraId="3390E7E2" w14:textId="4225B19E" w:rsidR="002A72C5" w:rsidRDefault="007F2107" w:rsidP="008A255B">
      <w:pPr>
        <w:pStyle w:val="Title1"/>
        <w:spacing w:line="276" w:lineRule="auto"/>
      </w:pPr>
      <w:r>
        <w:lastRenderedPageBreak/>
        <w:t>Article 5</w:t>
      </w:r>
    </w:p>
    <w:p w14:paraId="591CA470" w14:textId="77777777" w:rsidR="002A72C5" w:rsidRDefault="007F2107" w:rsidP="008A255B">
      <w:pPr>
        <w:pStyle w:val="Title1"/>
        <w:spacing w:line="276" w:lineRule="auto"/>
      </w:pPr>
      <w:r>
        <w:t>Cross-zonal capacities for the intraday market</w:t>
      </w:r>
    </w:p>
    <w:p w14:paraId="327E1DD1" w14:textId="77777777" w:rsidR="00E12556" w:rsidRDefault="00E12556" w:rsidP="008A255B">
      <w:pPr>
        <w:pStyle w:val="BodyText"/>
        <w:spacing w:line="276" w:lineRule="auto"/>
        <w:ind w:left="119" w:right="510"/>
        <w:jc w:val="both"/>
      </w:pPr>
    </w:p>
    <w:p w14:paraId="1EBF3776" w14:textId="77777777" w:rsidR="009A1642" w:rsidRPr="009A1642" w:rsidRDefault="00EE64E4" w:rsidP="008A255B">
      <w:pPr>
        <w:pStyle w:val="ListParagraph"/>
        <w:widowControl/>
        <w:numPr>
          <w:ilvl w:val="0"/>
          <w:numId w:val="37"/>
        </w:numPr>
        <w:spacing w:line="276" w:lineRule="auto"/>
        <w:ind w:right="0"/>
        <w:contextualSpacing/>
      </w:pPr>
      <w:r w:rsidRPr="009A1642">
        <w:rPr>
          <w:rFonts w:cs="Arial"/>
        </w:rPr>
        <w:t xml:space="preserve">Article 20 (4) of CACM </w:t>
      </w:r>
      <w:r w:rsidR="00DD48DA" w:rsidRPr="009A1642">
        <w:rPr>
          <w:rFonts w:cs="Arial"/>
        </w:rPr>
        <w:t xml:space="preserve">Regulation </w:t>
      </w:r>
      <w:r w:rsidRPr="009A1642">
        <w:rPr>
          <w:rFonts w:cs="Arial"/>
        </w:rPr>
        <w:t xml:space="preserve">states that </w:t>
      </w:r>
      <w:r w:rsidRPr="009A1642">
        <w:rPr>
          <w:rFonts w:cs="Arial"/>
          <w:i/>
        </w:rPr>
        <w:t>“No later than six months after at least all South East Europe Energy Community Contracting Parties participate in the single day-ahead coupling, the TSOs from at least Croatia, Romania, Bulgaria and Greece shall jointly submit a proposal to introduce a common capacity calculation methodology using the flow-based approach for the day-ahead and intraday market time-frame</w:t>
      </w:r>
      <w:r w:rsidR="00871271" w:rsidRPr="009A1642">
        <w:rPr>
          <w:rFonts w:cs="Arial"/>
          <w:i/>
        </w:rPr>
        <w:t>”</w:t>
      </w:r>
      <w:r w:rsidRPr="009A1642">
        <w:rPr>
          <w:rFonts w:cs="Arial"/>
          <w:i/>
        </w:rPr>
        <w:t>.</w:t>
      </w:r>
      <w:r w:rsidRPr="009A1642">
        <w:rPr>
          <w:rFonts w:cs="Arial"/>
        </w:rPr>
        <w:t xml:space="preserve"> Based on the above, f</w:t>
      </w:r>
      <w:r w:rsidR="00E12556" w:rsidRPr="009A1642">
        <w:rPr>
          <w:rFonts w:cs="Arial"/>
        </w:rPr>
        <w:t xml:space="preserve">or the intraday market time-frame, individual values for cross-zonal capacity for each remaining intraday </w:t>
      </w:r>
      <w:r w:rsidR="00E12556" w:rsidRPr="009A1642">
        <w:rPr>
          <w:rFonts w:cs="Arial"/>
          <w:i/>
        </w:rPr>
        <w:t>MTU</w:t>
      </w:r>
      <w:r w:rsidR="00E12556" w:rsidRPr="009A1642">
        <w:rPr>
          <w:rFonts w:cs="Arial"/>
        </w:rPr>
        <w:t xml:space="preserve"> shall be calculated using the </w:t>
      </w:r>
      <w:r w:rsidR="00E12556" w:rsidRPr="009A1642">
        <w:rPr>
          <w:rFonts w:cs="Arial"/>
          <w:i/>
        </w:rPr>
        <w:t>CNTC</w:t>
      </w:r>
      <w:r w:rsidR="00E12556" w:rsidRPr="009A1642">
        <w:rPr>
          <w:rFonts w:cs="Arial"/>
        </w:rPr>
        <w:t xml:space="preserve"> approach</w:t>
      </w:r>
      <w:r w:rsidRPr="009A1642">
        <w:rPr>
          <w:rFonts w:cs="Arial"/>
        </w:rPr>
        <w:t>.</w:t>
      </w:r>
      <w:r w:rsidR="00E12556" w:rsidRPr="009A1642">
        <w:rPr>
          <w:rFonts w:cs="Arial"/>
        </w:rPr>
        <w:t xml:space="preserve"> </w:t>
      </w:r>
    </w:p>
    <w:p w14:paraId="0D7E0FDE" w14:textId="49064E8A" w:rsidR="00E12556" w:rsidRPr="000A604D" w:rsidRDefault="009A1642" w:rsidP="008A255B">
      <w:pPr>
        <w:pStyle w:val="ListParagraph"/>
        <w:widowControl/>
        <w:numPr>
          <w:ilvl w:val="0"/>
          <w:numId w:val="37"/>
        </w:numPr>
        <w:spacing w:line="276" w:lineRule="auto"/>
        <w:ind w:right="0"/>
        <w:contextualSpacing/>
      </w:pPr>
      <w:r>
        <w:t>Each</w:t>
      </w:r>
      <w:r w:rsidRPr="000A604D">
        <w:t xml:space="preserve"> </w:t>
      </w:r>
      <w:r w:rsidR="00E12556" w:rsidRPr="000A604D">
        <w:t xml:space="preserve">TSO of the </w:t>
      </w:r>
      <w:r w:rsidR="00E12556">
        <w:t>SEE</w:t>
      </w:r>
      <w:r w:rsidR="00E12556" w:rsidRPr="000A604D">
        <w:t xml:space="preserve"> CCR shall provide the </w:t>
      </w:r>
      <w:r w:rsidR="00E12556" w:rsidRPr="00E0650E">
        <w:rPr>
          <w:i/>
        </w:rPr>
        <w:t>CCC</w:t>
      </w:r>
      <w:r w:rsidR="00E12556">
        <w:t xml:space="preserve"> </w:t>
      </w:r>
      <w:r w:rsidR="00E12556">
        <w:rPr>
          <w:rFonts w:cs="Arial"/>
        </w:rPr>
        <w:t xml:space="preserve">without undue delay </w:t>
      </w:r>
      <w:r w:rsidR="00E12556" w:rsidRPr="000A604D">
        <w:t xml:space="preserve">the following </w:t>
      </w:r>
      <w:r w:rsidR="00E12556">
        <w:t xml:space="preserve">initial </w:t>
      </w:r>
      <w:r w:rsidR="00E12556" w:rsidRPr="000A604D">
        <w:t>inputs</w:t>
      </w:r>
      <w:r w:rsidR="00E12556">
        <w:t xml:space="preserve"> for the first intraday capacity calculation and subsequent re-calculations of intraday cross-zonal capacity</w:t>
      </w:r>
      <w:r w:rsidR="00E12556" w:rsidRPr="000A604D">
        <w:t>:</w:t>
      </w:r>
    </w:p>
    <w:p w14:paraId="27F6487C" w14:textId="5FFA7797" w:rsidR="00E12556" w:rsidRPr="000A604D" w:rsidRDefault="00E12556" w:rsidP="008A255B">
      <w:pPr>
        <w:pStyle w:val="ListParagraph"/>
        <w:widowControl/>
        <w:numPr>
          <w:ilvl w:val="1"/>
          <w:numId w:val="37"/>
        </w:numPr>
        <w:spacing w:line="276" w:lineRule="auto"/>
        <w:ind w:right="0"/>
        <w:contextualSpacing/>
        <w:rPr>
          <w:rFonts w:cs="Arial"/>
        </w:rPr>
      </w:pPr>
      <w:r>
        <w:rPr>
          <w:rFonts w:cs="Arial"/>
        </w:rPr>
        <w:t>o</w:t>
      </w:r>
      <w:r w:rsidRPr="000A604D">
        <w:rPr>
          <w:rFonts w:cs="Arial"/>
        </w:rPr>
        <w:t>perational security limits</w:t>
      </w:r>
      <w:r w:rsidR="000C2C42">
        <w:rPr>
          <w:rFonts w:cs="Arial"/>
        </w:rPr>
        <w:t xml:space="preserve"> and </w:t>
      </w:r>
      <w:r>
        <w:rPr>
          <w:rFonts w:cs="Arial"/>
        </w:rPr>
        <w:t xml:space="preserve">contingencies </w:t>
      </w:r>
      <w:r w:rsidRPr="000A604D">
        <w:rPr>
          <w:rFonts w:cs="Arial"/>
        </w:rPr>
        <w:t xml:space="preserve">in accordance </w:t>
      </w:r>
      <w:r w:rsidRPr="00FA00D8">
        <w:rPr>
          <w:rFonts w:cs="Arial"/>
        </w:rPr>
        <w:t xml:space="preserve">with </w:t>
      </w:r>
      <w:r>
        <w:rPr>
          <w:rFonts w:cs="Arial"/>
        </w:rPr>
        <w:t>Article</w:t>
      </w:r>
      <w:r w:rsidRPr="00FA00D8">
        <w:rPr>
          <w:rFonts w:cs="Arial"/>
        </w:rPr>
        <w:t xml:space="preserve"> </w:t>
      </w:r>
      <w:r>
        <w:rPr>
          <w:rFonts w:cs="Arial"/>
        </w:rPr>
        <w:t>7</w:t>
      </w:r>
      <w:r w:rsidRPr="00FA00D8">
        <w:rPr>
          <w:rFonts w:cs="Arial"/>
        </w:rPr>
        <w:t>;</w:t>
      </w:r>
    </w:p>
    <w:p w14:paraId="2E477CBD" w14:textId="46EF0696" w:rsidR="00E12556" w:rsidRPr="000A604D" w:rsidRDefault="00E12556" w:rsidP="008A255B">
      <w:pPr>
        <w:pStyle w:val="ListParagraph"/>
        <w:widowControl/>
        <w:numPr>
          <w:ilvl w:val="1"/>
          <w:numId w:val="37"/>
        </w:numPr>
        <w:spacing w:line="276" w:lineRule="auto"/>
        <w:ind w:right="0"/>
        <w:contextualSpacing/>
        <w:rPr>
          <w:rFonts w:cs="Arial"/>
        </w:rPr>
      </w:pPr>
      <m:oMath>
        <m:r>
          <w:rPr>
            <w:rFonts w:ascii="Cambria Math" w:hAnsi="Cambria Math" w:cs="Arial"/>
          </w:rPr>
          <m:t>RMs</m:t>
        </m:r>
      </m:oMath>
      <w:r w:rsidRPr="000A604D">
        <w:rPr>
          <w:rFonts w:cs="Arial"/>
        </w:rPr>
        <w:t xml:space="preserve"> in accordance </w:t>
      </w:r>
      <w:r w:rsidRPr="00FA00D8">
        <w:rPr>
          <w:rFonts w:cs="Arial"/>
        </w:rPr>
        <w:t xml:space="preserve">with </w:t>
      </w:r>
      <w:r>
        <w:rPr>
          <w:rFonts w:cs="Arial"/>
        </w:rPr>
        <w:t>Article</w:t>
      </w:r>
      <w:r w:rsidRPr="00FA00D8">
        <w:rPr>
          <w:rFonts w:cs="Arial"/>
        </w:rPr>
        <w:t xml:space="preserve"> </w:t>
      </w:r>
      <w:r>
        <w:rPr>
          <w:rFonts w:cs="Arial"/>
        </w:rPr>
        <w:t>6</w:t>
      </w:r>
      <w:r w:rsidRPr="00FA00D8">
        <w:rPr>
          <w:rFonts w:cs="Arial"/>
        </w:rPr>
        <w:t>;</w:t>
      </w:r>
    </w:p>
    <w:p w14:paraId="07892146" w14:textId="68A2FB6A" w:rsidR="00E12556" w:rsidRPr="000A604D" w:rsidRDefault="00E12556" w:rsidP="008A255B">
      <w:pPr>
        <w:pStyle w:val="ListParagraph"/>
        <w:widowControl/>
        <w:numPr>
          <w:ilvl w:val="1"/>
          <w:numId w:val="37"/>
        </w:numPr>
        <w:spacing w:line="276" w:lineRule="auto"/>
        <w:ind w:right="0"/>
        <w:contextualSpacing/>
        <w:rPr>
          <w:rFonts w:cs="Arial"/>
        </w:rPr>
      </w:pPr>
      <w:r w:rsidRPr="00226584">
        <w:rPr>
          <w:rFonts w:cs="Arial"/>
          <w:i/>
        </w:rPr>
        <w:t>GSK</w:t>
      </w:r>
      <w:r w:rsidR="00E0650E">
        <w:rPr>
          <w:rFonts w:cs="Arial"/>
          <w:i/>
        </w:rPr>
        <w:t>s</w:t>
      </w:r>
      <w:r w:rsidRPr="000A604D">
        <w:rPr>
          <w:rFonts w:cs="Arial"/>
        </w:rPr>
        <w:t xml:space="preserve"> in accordance with </w:t>
      </w:r>
      <w:r>
        <w:rPr>
          <w:rFonts w:cs="Arial"/>
        </w:rPr>
        <w:t>Article</w:t>
      </w:r>
      <w:r w:rsidRPr="00FA00D8">
        <w:rPr>
          <w:rFonts w:cs="Arial"/>
        </w:rPr>
        <w:t xml:space="preserve"> </w:t>
      </w:r>
      <w:r>
        <w:rPr>
          <w:rFonts w:cs="Arial"/>
        </w:rPr>
        <w:t>8</w:t>
      </w:r>
      <w:r w:rsidRPr="000A604D">
        <w:rPr>
          <w:rFonts w:cs="Arial"/>
        </w:rPr>
        <w:t>; and</w:t>
      </w:r>
    </w:p>
    <w:p w14:paraId="32CE4044" w14:textId="59A39653" w:rsidR="00E12556" w:rsidRPr="00BB2952" w:rsidRDefault="00E12556" w:rsidP="008A255B">
      <w:pPr>
        <w:pStyle w:val="ListParagraph"/>
        <w:widowControl/>
        <w:numPr>
          <w:ilvl w:val="1"/>
          <w:numId w:val="37"/>
        </w:numPr>
        <w:spacing w:after="200" w:line="276" w:lineRule="auto"/>
        <w:ind w:left="1418" w:right="0" w:hanging="357"/>
        <w:rPr>
          <w:rFonts w:cs="Arial"/>
        </w:rPr>
      </w:pPr>
      <w:r>
        <w:rPr>
          <w:rFonts w:cs="Arial"/>
          <w:i/>
        </w:rPr>
        <w:t>RAs</w:t>
      </w:r>
      <w:r>
        <w:rPr>
          <w:rFonts w:cs="Arial"/>
        </w:rPr>
        <w:t xml:space="preserve"> </w:t>
      </w:r>
      <w:r w:rsidRPr="000A604D">
        <w:rPr>
          <w:rFonts w:cs="Arial"/>
        </w:rPr>
        <w:t xml:space="preserve">in </w:t>
      </w:r>
      <w:r w:rsidRPr="00FA00D8">
        <w:rPr>
          <w:rFonts w:cs="Arial"/>
        </w:rPr>
        <w:t xml:space="preserve">accordance with </w:t>
      </w:r>
      <w:r>
        <w:rPr>
          <w:rFonts w:cs="Arial"/>
        </w:rPr>
        <w:t>Article</w:t>
      </w:r>
      <w:r w:rsidRPr="00FA00D8">
        <w:rPr>
          <w:rFonts w:cs="Arial"/>
        </w:rPr>
        <w:t xml:space="preserve"> </w:t>
      </w:r>
      <w:r>
        <w:rPr>
          <w:rFonts w:cs="Arial"/>
        </w:rPr>
        <w:t>9</w:t>
      </w:r>
      <w:r w:rsidRPr="00FA00D8">
        <w:rPr>
          <w:rFonts w:cs="Arial"/>
        </w:rPr>
        <w:t>.</w:t>
      </w:r>
    </w:p>
    <w:p w14:paraId="2D842F45" w14:textId="77777777" w:rsidR="00E12556" w:rsidRPr="00362FD7" w:rsidRDefault="00E12556" w:rsidP="008A255B">
      <w:pPr>
        <w:pStyle w:val="ListParagraph"/>
        <w:widowControl/>
        <w:numPr>
          <w:ilvl w:val="0"/>
          <w:numId w:val="37"/>
        </w:numPr>
        <w:spacing w:after="200" w:line="276" w:lineRule="auto"/>
        <w:ind w:right="0"/>
        <w:rPr>
          <w:rFonts w:cs="Arial"/>
        </w:rPr>
      </w:pPr>
      <w:r w:rsidRPr="00362FD7">
        <w:rPr>
          <w:rFonts w:cs="Arial"/>
        </w:rPr>
        <w:t xml:space="preserve">A first intraday common capacity calculation is performed in the end of D-1 for all </w:t>
      </w:r>
      <w:r w:rsidRPr="00E0650E">
        <w:rPr>
          <w:rFonts w:cs="Arial"/>
          <w:i/>
        </w:rPr>
        <w:t>MTUs</w:t>
      </w:r>
      <w:r w:rsidRPr="00362FD7">
        <w:rPr>
          <w:rFonts w:cs="Arial"/>
        </w:rPr>
        <w:t xml:space="preserve"> of day D, and a second intraday capacity calculation is performed during intraday (i.e. day D), for the remaining </w:t>
      </w:r>
      <w:r w:rsidRPr="00E0650E">
        <w:rPr>
          <w:rFonts w:cs="Arial"/>
          <w:i/>
        </w:rPr>
        <w:t>MTUs</w:t>
      </w:r>
      <w:r w:rsidRPr="00362FD7">
        <w:rPr>
          <w:rFonts w:cs="Arial"/>
        </w:rPr>
        <w:t xml:space="preserve"> of day D. </w:t>
      </w:r>
    </w:p>
    <w:p w14:paraId="4316373E" w14:textId="11FFD13D" w:rsidR="00E12556" w:rsidRPr="00362FD7" w:rsidRDefault="00E12556" w:rsidP="00D0161F">
      <w:pPr>
        <w:pStyle w:val="ListParagraph"/>
        <w:widowControl/>
        <w:numPr>
          <w:ilvl w:val="0"/>
          <w:numId w:val="37"/>
        </w:numPr>
        <w:spacing w:after="200" w:line="276" w:lineRule="auto"/>
        <w:ind w:right="0"/>
        <w:rPr>
          <w:rFonts w:cs="Arial"/>
        </w:rPr>
      </w:pPr>
      <w:r w:rsidRPr="00362FD7">
        <w:rPr>
          <w:rFonts w:cs="Arial"/>
        </w:rPr>
        <w:t xml:space="preserve">SEE TSOs, or an entity </w:t>
      </w:r>
      <w:r w:rsidR="00747337">
        <w:rPr>
          <w:rFonts w:cs="Arial"/>
        </w:rPr>
        <w:t>delegated by the</w:t>
      </w:r>
      <w:r w:rsidR="00747337" w:rsidRPr="00362FD7">
        <w:rPr>
          <w:rFonts w:cs="Arial"/>
        </w:rPr>
        <w:t xml:space="preserve"> </w:t>
      </w:r>
      <w:r w:rsidRPr="00362FD7">
        <w:rPr>
          <w:rFonts w:cs="Arial"/>
        </w:rPr>
        <w:t xml:space="preserve">SEE TSOs, shall send for each market time unit the </w:t>
      </w:r>
      <w:r w:rsidRPr="00E0650E">
        <w:rPr>
          <w:rFonts w:cs="Arial"/>
          <w:i/>
        </w:rPr>
        <w:t>AAC</w:t>
      </w:r>
      <w:r w:rsidRPr="00362FD7">
        <w:rPr>
          <w:rFonts w:cs="Arial"/>
        </w:rPr>
        <w:t xml:space="preserve"> </w:t>
      </w:r>
      <w:r w:rsidR="00CA4DBB">
        <w:rPr>
          <w:rFonts w:cs="Arial"/>
        </w:rPr>
        <w:t xml:space="preserve">and </w:t>
      </w:r>
      <w:r w:rsidR="00CA4DBB" w:rsidRPr="00E0650E">
        <w:rPr>
          <w:rFonts w:cs="Arial"/>
          <w:i/>
        </w:rPr>
        <w:t>ANC</w:t>
      </w:r>
      <w:r w:rsidR="00CA4DBB">
        <w:rPr>
          <w:rFonts w:cs="Arial"/>
        </w:rPr>
        <w:t xml:space="preserve"> </w:t>
      </w:r>
      <w:r w:rsidRPr="00362FD7">
        <w:rPr>
          <w:rFonts w:cs="Arial"/>
        </w:rPr>
        <w:t xml:space="preserve">to the coordinated capacity calculator, without undue delay. </w:t>
      </w:r>
      <w:r w:rsidR="009D3574" w:rsidRPr="009D3574">
        <w:rPr>
          <w:rFonts w:cs="Arial"/>
        </w:rPr>
        <w:t>In accordance with article 81 of CACM Regulation, the delegating TSOs in such a case shall remain responsible for ensuring compliance with the obligations under the CACM Regulation.</w:t>
      </w:r>
    </w:p>
    <w:p w14:paraId="465222CF" w14:textId="1E0AC11E" w:rsidR="00E12556" w:rsidRPr="00BB2952" w:rsidRDefault="00E12556" w:rsidP="00D0161F">
      <w:pPr>
        <w:pStyle w:val="ListParagraph"/>
        <w:widowControl/>
        <w:numPr>
          <w:ilvl w:val="0"/>
          <w:numId w:val="37"/>
        </w:numPr>
        <w:spacing w:after="200" w:line="276" w:lineRule="auto"/>
        <w:ind w:right="0"/>
        <w:rPr>
          <w:rFonts w:cs="Arial"/>
        </w:rPr>
      </w:pPr>
      <w:r w:rsidRPr="000A604D">
        <w:rPr>
          <w:rFonts w:cs="Arial"/>
        </w:rPr>
        <w:t xml:space="preserve">When providing the inputs, the TSOs of the </w:t>
      </w:r>
      <w:r>
        <w:rPr>
          <w:rFonts w:cs="Arial"/>
        </w:rPr>
        <w:t>SEE</w:t>
      </w:r>
      <w:r w:rsidRPr="000A604D">
        <w:rPr>
          <w:rFonts w:cs="Arial"/>
        </w:rPr>
        <w:t xml:space="preserve"> CCR shall respect the formats commonly agreed between the TSOs and the coordinated capacity calculators of the </w:t>
      </w:r>
      <w:r>
        <w:rPr>
          <w:rFonts w:cs="Arial"/>
        </w:rPr>
        <w:t>SEE</w:t>
      </w:r>
      <w:r w:rsidRPr="000A604D">
        <w:rPr>
          <w:rFonts w:cs="Arial"/>
        </w:rPr>
        <w:t xml:space="preserve"> CCR, while respecting the requirements and guidance defined in the </w:t>
      </w:r>
      <w:r w:rsidRPr="00E0650E">
        <w:rPr>
          <w:rFonts w:cs="Arial"/>
          <w:i/>
        </w:rPr>
        <w:t>CGMM</w:t>
      </w:r>
      <w:r w:rsidRPr="000A604D">
        <w:rPr>
          <w:rFonts w:cs="Arial"/>
        </w:rPr>
        <w:t>.</w:t>
      </w:r>
    </w:p>
    <w:p w14:paraId="580E3E82" w14:textId="0D401686" w:rsidR="00E12556" w:rsidRPr="00BB2952" w:rsidRDefault="00867A5D" w:rsidP="00D0161F">
      <w:pPr>
        <w:pStyle w:val="ListParagraph"/>
        <w:widowControl/>
        <w:numPr>
          <w:ilvl w:val="0"/>
          <w:numId w:val="37"/>
        </w:numPr>
        <w:spacing w:after="200" w:line="276" w:lineRule="auto"/>
        <w:ind w:right="0"/>
        <w:rPr>
          <w:rFonts w:cs="Arial"/>
        </w:rPr>
      </w:pPr>
      <w:r>
        <w:rPr>
          <w:rFonts w:cs="Arial"/>
          <w:lang w:val="en-GB"/>
        </w:rPr>
        <w:t>T</w:t>
      </w:r>
      <w:r w:rsidRPr="00867A5D">
        <w:rPr>
          <w:rFonts w:cs="Arial"/>
          <w:lang w:val="en-GB"/>
        </w:rPr>
        <w:t xml:space="preserve">he capacity calculation is based on the unique </w:t>
      </w:r>
      <w:r w:rsidR="00747337">
        <w:rPr>
          <w:rFonts w:cs="Arial"/>
          <w:lang w:val="en-GB"/>
        </w:rPr>
        <w:t>D-1 and Intraday CGM</w:t>
      </w:r>
      <w:r w:rsidRPr="00867A5D">
        <w:rPr>
          <w:rFonts w:cs="Arial"/>
          <w:lang w:val="en-GB"/>
        </w:rPr>
        <w:t xml:space="preserve"> built in accordance with Articles 17 and 28 of CACM</w:t>
      </w:r>
      <w:r w:rsidR="006A4009">
        <w:rPr>
          <w:rFonts w:cs="Arial"/>
          <w:lang w:val="en-GB"/>
        </w:rPr>
        <w:t xml:space="preserve"> Regulation.</w:t>
      </w:r>
    </w:p>
    <w:p w14:paraId="3580DCDD" w14:textId="02ACD970" w:rsidR="00E12556" w:rsidRPr="000A604D" w:rsidRDefault="00E12556" w:rsidP="00D0161F">
      <w:pPr>
        <w:pStyle w:val="ListParagraph"/>
        <w:widowControl/>
        <w:numPr>
          <w:ilvl w:val="0"/>
          <w:numId w:val="37"/>
        </w:numPr>
        <w:spacing w:line="276" w:lineRule="auto"/>
        <w:ind w:right="0"/>
        <w:rPr>
          <w:rFonts w:cs="Arial"/>
        </w:rPr>
      </w:pPr>
      <w:r w:rsidRPr="000A604D">
        <w:rPr>
          <w:rFonts w:cs="Arial"/>
        </w:rPr>
        <w:t xml:space="preserve">For the </w:t>
      </w:r>
      <w:r>
        <w:rPr>
          <w:rFonts w:cs="Arial"/>
        </w:rPr>
        <w:t>intraday</w:t>
      </w:r>
      <w:r w:rsidRPr="000A604D">
        <w:rPr>
          <w:rFonts w:cs="Arial"/>
        </w:rPr>
        <w:t xml:space="preserve"> common capacity calculation in the </w:t>
      </w:r>
      <w:r>
        <w:rPr>
          <w:rFonts w:cs="Arial"/>
        </w:rPr>
        <w:t>SEE</w:t>
      </w:r>
      <w:r w:rsidRPr="000A604D">
        <w:rPr>
          <w:rFonts w:cs="Arial"/>
        </w:rPr>
        <w:t xml:space="preserve"> CCR,</w:t>
      </w:r>
      <w:r>
        <w:rPr>
          <w:rFonts w:cs="Arial"/>
        </w:rPr>
        <w:t xml:space="preserve"> performed by the </w:t>
      </w:r>
      <w:r w:rsidRPr="008A255B">
        <w:rPr>
          <w:i/>
        </w:rPr>
        <w:t>CCC</w:t>
      </w:r>
      <w:r>
        <w:t xml:space="preserve">, </w:t>
      </w:r>
      <w:r w:rsidRPr="000A604D">
        <w:rPr>
          <w:rFonts w:cs="Arial"/>
        </w:rPr>
        <w:t>the high</w:t>
      </w:r>
      <w:r>
        <w:rPr>
          <w:rFonts w:cs="Arial"/>
        </w:rPr>
        <w:t>-</w:t>
      </w:r>
      <w:r w:rsidRPr="000A604D">
        <w:rPr>
          <w:rFonts w:cs="Arial"/>
        </w:rPr>
        <w:t xml:space="preserve">level process flow includes </w:t>
      </w:r>
      <w:r w:rsidR="001D2365">
        <w:rPr>
          <w:rFonts w:cs="Arial"/>
        </w:rPr>
        <w:t>five</w:t>
      </w:r>
      <w:r w:rsidRPr="000A604D">
        <w:rPr>
          <w:rFonts w:cs="Arial"/>
        </w:rPr>
        <w:t xml:space="preserve"> steps until the final </w:t>
      </w:r>
      <w:r w:rsidRPr="008A255B">
        <w:rPr>
          <w:rFonts w:cs="Arial"/>
          <w:i/>
        </w:rPr>
        <w:t>CNTC</w:t>
      </w:r>
      <w:r w:rsidRPr="000A604D">
        <w:rPr>
          <w:rFonts w:cs="Arial"/>
        </w:rPr>
        <w:t xml:space="preserve"> domain for the </w:t>
      </w:r>
      <w:r>
        <w:rPr>
          <w:rFonts w:cs="Arial"/>
        </w:rPr>
        <w:t>intraday</w:t>
      </w:r>
      <w:r w:rsidRPr="000A604D">
        <w:rPr>
          <w:rFonts w:cs="Arial"/>
        </w:rPr>
        <w:t xml:space="preserve"> </w:t>
      </w:r>
      <w:r>
        <w:rPr>
          <w:rFonts w:cs="Arial"/>
        </w:rPr>
        <w:t xml:space="preserve">market time-frame </w:t>
      </w:r>
      <w:r w:rsidRPr="000A604D">
        <w:rPr>
          <w:rFonts w:cs="Arial"/>
        </w:rPr>
        <w:t>is set:</w:t>
      </w:r>
    </w:p>
    <w:p w14:paraId="2BA5E9BF" w14:textId="14E36269" w:rsidR="00E12556" w:rsidRDefault="009D3574" w:rsidP="008A255B">
      <w:pPr>
        <w:pStyle w:val="ListParagraph"/>
        <w:widowControl/>
        <w:numPr>
          <w:ilvl w:val="1"/>
          <w:numId w:val="38"/>
        </w:numPr>
        <w:spacing w:line="276" w:lineRule="auto"/>
        <w:ind w:right="0" w:hanging="357"/>
        <w:rPr>
          <w:rFonts w:cs="Arial"/>
        </w:rPr>
      </w:pPr>
      <w:r>
        <w:rPr>
          <w:rFonts w:cs="Arial"/>
        </w:rPr>
        <w:t>f</w:t>
      </w:r>
      <w:r w:rsidR="00E12556">
        <w:rPr>
          <w:rFonts w:cs="Arial"/>
        </w:rPr>
        <w:t xml:space="preserve">irst, for </w:t>
      </w:r>
      <w:r w:rsidR="00E12556" w:rsidRPr="000A604D">
        <w:rPr>
          <w:rFonts w:cs="Arial"/>
        </w:rPr>
        <w:t>the</w:t>
      </w:r>
      <w:r w:rsidR="00E12556">
        <w:rPr>
          <w:rFonts w:cs="Arial"/>
        </w:rPr>
        <w:t xml:space="preserve"> capacity calculation</w:t>
      </w:r>
      <w:r w:rsidR="00E12556" w:rsidRPr="00221E05">
        <w:rPr>
          <w:rFonts w:cs="Arial"/>
        </w:rPr>
        <w:t xml:space="preserve"> inputs as defined in </w:t>
      </w:r>
      <w:r w:rsidR="00E12556">
        <w:rPr>
          <w:rFonts w:cs="Arial"/>
        </w:rPr>
        <w:t>Article</w:t>
      </w:r>
      <w:r w:rsidR="00E12556" w:rsidRPr="00221E05">
        <w:rPr>
          <w:rFonts w:cs="Arial"/>
        </w:rPr>
        <w:t xml:space="preserve"> 4(2) </w:t>
      </w:r>
      <w:r w:rsidR="00E12556">
        <w:rPr>
          <w:rFonts w:cs="Arial"/>
        </w:rPr>
        <w:t>and Article 4(4</w:t>
      </w:r>
      <w:r w:rsidR="00E12556" w:rsidRPr="00221E05">
        <w:rPr>
          <w:rFonts w:cs="Arial"/>
        </w:rPr>
        <w:t xml:space="preserve">) </w:t>
      </w:r>
      <w:r w:rsidR="00E12556">
        <w:rPr>
          <w:rFonts w:cs="Arial"/>
        </w:rPr>
        <w:t xml:space="preserve">a quality check process shall be performed by the </w:t>
      </w:r>
      <w:r w:rsidR="00E12556" w:rsidRPr="008A255B">
        <w:rPr>
          <w:rFonts w:cs="Arial"/>
          <w:i/>
        </w:rPr>
        <w:t>CCC</w:t>
      </w:r>
      <w:r w:rsidR="00E12556" w:rsidRPr="00221E05">
        <w:rPr>
          <w:rFonts w:cs="Arial"/>
        </w:rPr>
        <w:t>;</w:t>
      </w:r>
    </w:p>
    <w:p w14:paraId="2D88F1D7" w14:textId="108EBEED" w:rsidR="001D2365" w:rsidRPr="0064291A" w:rsidRDefault="001D2365" w:rsidP="008A255B">
      <w:pPr>
        <w:pStyle w:val="ListParagraph"/>
        <w:widowControl/>
        <w:numPr>
          <w:ilvl w:val="1"/>
          <w:numId w:val="38"/>
        </w:numPr>
        <w:spacing w:line="276" w:lineRule="auto"/>
        <w:ind w:right="0"/>
        <w:rPr>
          <w:rFonts w:cs="Arial"/>
        </w:rPr>
      </w:pPr>
      <w:r>
        <w:rPr>
          <w:rFonts w:cs="Arial"/>
        </w:rPr>
        <w:t>the</w:t>
      </w:r>
      <w:r w:rsidRPr="008038A6">
        <w:rPr>
          <w:rFonts w:cs="Arial"/>
        </w:rPr>
        <w:t xml:space="preserve"> second process step is to determine the relevant </w:t>
      </w:r>
      <w:r w:rsidRPr="008A255B">
        <w:rPr>
          <w:rFonts w:cs="Arial"/>
          <w:i/>
        </w:rPr>
        <w:t>CNECs</w:t>
      </w:r>
      <w:r w:rsidRPr="008038A6">
        <w:rPr>
          <w:rFonts w:cs="Arial"/>
        </w:rPr>
        <w:t xml:space="preserve"> </w:t>
      </w:r>
      <w:r w:rsidRPr="0064291A">
        <w:rPr>
          <w:rFonts w:cs="Arial"/>
        </w:rPr>
        <w:t>in accordance with Article 7</w:t>
      </w:r>
      <w:r w:rsidR="00A31827">
        <w:rPr>
          <w:rFonts w:cs="Arial"/>
        </w:rPr>
        <w:t>a</w:t>
      </w:r>
      <w:r w:rsidRPr="0064291A">
        <w:rPr>
          <w:rFonts w:cs="Arial"/>
        </w:rPr>
        <w:t xml:space="preserve"> used during common capacity calculation;</w:t>
      </w:r>
    </w:p>
    <w:p w14:paraId="37014FCD" w14:textId="1D9F58F8" w:rsidR="00E12556" w:rsidRPr="00AB2578" w:rsidRDefault="00E12556" w:rsidP="008A255B">
      <w:pPr>
        <w:pStyle w:val="ListParagraph"/>
        <w:widowControl/>
        <w:numPr>
          <w:ilvl w:val="1"/>
          <w:numId w:val="38"/>
        </w:numPr>
        <w:spacing w:line="276" w:lineRule="auto"/>
        <w:ind w:right="0" w:hanging="357"/>
        <w:rPr>
          <w:rFonts w:cs="Arial"/>
        </w:rPr>
      </w:pPr>
      <w:r>
        <w:rPr>
          <w:rFonts w:cs="Arial"/>
        </w:rPr>
        <w:t xml:space="preserve">the </w:t>
      </w:r>
      <w:r w:rsidR="001D2365">
        <w:rPr>
          <w:rFonts w:cs="Arial"/>
        </w:rPr>
        <w:t xml:space="preserve">third </w:t>
      </w:r>
      <w:r>
        <w:rPr>
          <w:rFonts w:cs="Arial"/>
        </w:rPr>
        <w:t xml:space="preserve">step is to determine the </w:t>
      </w:r>
      <w:r w:rsidRPr="00E775D9">
        <w:rPr>
          <w:rFonts w:cs="Arial"/>
          <w:i/>
        </w:rPr>
        <w:t>NTC</w:t>
      </w:r>
      <w:r>
        <w:rPr>
          <w:rFonts w:cs="Arial"/>
        </w:rPr>
        <w:t xml:space="preserve"> values for each direction </w:t>
      </w:r>
      <w:r w:rsidRPr="00AB2578">
        <w:rPr>
          <w:rFonts w:cs="Arial"/>
        </w:rPr>
        <w:t>and border of SEE CCR in accordance with Article 11;</w:t>
      </w:r>
    </w:p>
    <w:p w14:paraId="485F2F6F" w14:textId="0524D6FF" w:rsidR="00E12556" w:rsidRDefault="00E12556" w:rsidP="008A255B">
      <w:pPr>
        <w:pStyle w:val="ListParagraph"/>
        <w:widowControl/>
        <w:numPr>
          <w:ilvl w:val="1"/>
          <w:numId w:val="38"/>
        </w:numPr>
        <w:spacing w:line="276" w:lineRule="auto"/>
        <w:ind w:right="0" w:hanging="357"/>
        <w:rPr>
          <w:rFonts w:cs="Arial"/>
        </w:rPr>
      </w:pPr>
      <w:r w:rsidRPr="00CA4DBB">
        <w:rPr>
          <w:rFonts w:cs="Arial"/>
        </w:rPr>
        <w:t xml:space="preserve">after </w:t>
      </w:r>
      <w:r w:rsidRPr="00CA4DBB">
        <w:rPr>
          <w:rFonts w:cs="Arial"/>
          <w:i/>
        </w:rPr>
        <w:t>NTC</w:t>
      </w:r>
      <w:r w:rsidRPr="00CA4DBB">
        <w:rPr>
          <w:rFonts w:cs="Arial"/>
        </w:rPr>
        <w:t xml:space="preserve"> values computation, the resulting cross-zonal capacities are validated by the TSOs of the SEE CCR</w:t>
      </w:r>
      <w:r w:rsidR="001D2365">
        <w:rPr>
          <w:rFonts w:cs="Arial"/>
        </w:rPr>
        <w:t>;</w:t>
      </w:r>
    </w:p>
    <w:p w14:paraId="76FA8D51" w14:textId="618675A6" w:rsidR="001D2365" w:rsidRPr="001D2365" w:rsidRDefault="001D2365" w:rsidP="008A255B">
      <w:pPr>
        <w:pStyle w:val="ListParagraph"/>
        <w:widowControl/>
        <w:numPr>
          <w:ilvl w:val="1"/>
          <w:numId w:val="38"/>
        </w:numPr>
        <w:spacing w:after="200" w:line="276" w:lineRule="auto"/>
        <w:ind w:right="0" w:hanging="357"/>
        <w:rPr>
          <w:rFonts w:cs="Arial"/>
        </w:rPr>
      </w:pPr>
      <w:r w:rsidRPr="001D2365">
        <w:rPr>
          <w:rFonts w:cs="Arial"/>
        </w:rPr>
        <w:t xml:space="preserve">finally, the </w:t>
      </w:r>
      <w:r w:rsidRPr="001D2365">
        <w:rPr>
          <w:rFonts w:cs="Arial"/>
          <w:i/>
        </w:rPr>
        <w:t>ATC</w:t>
      </w:r>
      <w:r w:rsidRPr="001D2365">
        <w:rPr>
          <w:rFonts w:cs="Arial"/>
        </w:rPr>
        <w:t xml:space="preserve"> values are calculated for </w:t>
      </w:r>
      <w:r>
        <w:rPr>
          <w:rFonts w:cs="Arial"/>
        </w:rPr>
        <w:t>intraday</w:t>
      </w:r>
      <w:r w:rsidRPr="001D2365">
        <w:rPr>
          <w:rFonts w:cs="Arial"/>
        </w:rPr>
        <w:t xml:space="preserve"> market time-frame taking into account the </w:t>
      </w:r>
      <w:r w:rsidRPr="008A255B">
        <w:rPr>
          <w:rFonts w:cs="Arial"/>
          <w:i/>
        </w:rPr>
        <w:t>ANC</w:t>
      </w:r>
      <w:r w:rsidRPr="001D2365">
        <w:rPr>
          <w:rFonts w:cs="Arial"/>
        </w:rPr>
        <w:t xml:space="preserve"> values.</w:t>
      </w:r>
    </w:p>
    <w:p w14:paraId="79A16061" w14:textId="7294E26D" w:rsidR="00C666F6" w:rsidRPr="00A118BF" w:rsidRDefault="00C666F6" w:rsidP="00D0161F">
      <w:pPr>
        <w:pStyle w:val="BodyText"/>
        <w:numPr>
          <w:ilvl w:val="0"/>
          <w:numId w:val="37"/>
        </w:numPr>
        <w:spacing w:after="200" w:line="276" w:lineRule="auto"/>
        <w:ind w:right="-46"/>
        <w:jc w:val="both"/>
      </w:pPr>
      <w:r>
        <w:t>As described before, f</w:t>
      </w:r>
      <w:r w:rsidRPr="00A118BF">
        <w:t xml:space="preserve">or each </w:t>
      </w:r>
      <w:r w:rsidR="003F4E43">
        <w:t xml:space="preserve">SEE CCR </w:t>
      </w:r>
      <w:r w:rsidRPr="00A118BF">
        <w:t xml:space="preserve">border, direction and </w:t>
      </w:r>
      <w:r w:rsidR="003F4E43">
        <w:t xml:space="preserve">market </w:t>
      </w:r>
      <w:r w:rsidRPr="00A118BF">
        <w:t xml:space="preserve">time unit, the final available </w:t>
      </w:r>
      <w:r w:rsidR="003F4E43">
        <w:t xml:space="preserve">transmission </w:t>
      </w:r>
      <w:r w:rsidRPr="00A118BF">
        <w:t xml:space="preserve">capacity for the </w:t>
      </w:r>
      <w:r w:rsidR="003F4E43">
        <w:t>intraday</w:t>
      </w:r>
      <w:r w:rsidR="003F4E43" w:rsidRPr="00A118BF">
        <w:t xml:space="preserve"> </w:t>
      </w:r>
      <w:r w:rsidRPr="00A118BF">
        <w:t>market</w:t>
      </w:r>
      <w:r w:rsidR="003F4E43">
        <w:t xml:space="preserve"> time</w:t>
      </w:r>
      <w:r w:rsidR="008A255B">
        <w:t>-frame</w:t>
      </w:r>
      <w:r w:rsidRPr="00A118BF">
        <w:t xml:space="preserve"> </w:t>
      </w:r>
      <w:r w:rsidR="003F4E43">
        <w:t>shall</w:t>
      </w:r>
      <w:r w:rsidR="003F4E43" w:rsidRPr="00A118BF">
        <w:t xml:space="preserve"> </w:t>
      </w:r>
      <w:r w:rsidRPr="00A118BF">
        <w:t>be defined as the difference between the computed NTC value</w:t>
      </w:r>
      <w:r w:rsidR="003F4E43">
        <w:t>s</w:t>
      </w:r>
      <w:r w:rsidRPr="00A118BF">
        <w:t xml:space="preserve"> and the already </w:t>
      </w:r>
      <w:r w:rsidR="003F4E43">
        <w:t xml:space="preserve">nominated capacities </w:t>
      </w:r>
      <w:r w:rsidRPr="00A118BF">
        <w:t>in the previous market time</w:t>
      </w:r>
      <w:r w:rsidR="003F4E43">
        <w:t>-</w:t>
      </w:r>
      <w:r w:rsidRPr="00A118BF">
        <w:t xml:space="preserve">frames. </w:t>
      </w:r>
    </w:p>
    <w:p w14:paraId="1AAD64D1" w14:textId="7862D739" w:rsidR="009A1642" w:rsidRPr="009A1642" w:rsidRDefault="009A1642" w:rsidP="00A0523F">
      <w:pPr>
        <w:pStyle w:val="ListParagraph"/>
        <w:widowControl/>
        <w:numPr>
          <w:ilvl w:val="0"/>
          <w:numId w:val="21"/>
        </w:numPr>
        <w:tabs>
          <w:tab w:val="left" w:pos="-6663"/>
        </w:tabs>
        <w:autoSpaceDE w:val="0"/>
        <w:autoSpaceDN w:val="0"/>
        <w:adjustRightInd w:val="0"/>
        <w:ind w:left="357" w:right="-46" w:hanging="357"/>
      </w:pPr>
      <w:r w:rsidRPr="009A1642">
        <w:lastRenderedPageBreak/>
        <w:t>Intraday cross-zonal capacity calculation shall be performed in the following sequence</w:t>
      </w:r>
      <w:r w:rsidR="006D6101">
        <w:t xml:space="preserve">, by the time </w:t>
      </w:r>
      <w:r w:rsidR="00A0523F">
        <w:t>e</w:t>
      </w:r>
      <w:r w:rsidR="006D6101">
        <w:t xml:space="preserve">stablish in Article </w:t>
      </w:r>
      <w:r w:rsidR="00CB3D3A">
        <w:t>14(5)</w:t>
      </w:r>
      <w:r w:rsidRPr="009A1642">
        <w:t>:</w:t>
      </w:r>
    </w:p>
    <w:p w14:paraId="4ECCBA82" w14:textId="77777777" w:rsidR="009A1642" w:rsidRDefault="009A1642" w:rsidP="00DF05D6">
      <w:pPr>
        <w:pStyle w:val="ListParagraph"/>
        <w:widowControl/>
        <w:numPr>
          <w:ilvl w:val="2"/>
          <w:numId w:val="38"/>
        </w:numPr>
        <w:autoSpaceDE w:val="0"/>
        <w:autoSpaceDN w:val="0"/>
        <w:adjustRightInd w:val="0"/>
        <w:spacing w:line="276" w:lineRule="auto"/>
        <w:ind w:left="1418" w:right="-46" w:hanging="284"/>
        <w:rPr>
          <w:rFonts w:cs="Arial"/>
        </w:rPr>
      </w:pPr>
      <w:r w:rsidRPr="009A1642">
        <w:rPr>
          <w:rFonts w:cs="Arial"/>
        </w:rPr>
        <w:t>Updating of cross-zonal capacities remaining after day-ahead CC for all intraday CC MTUs between 00:00 and 24:00 of day D and providing them as intraday cross-zonal capacities to relevant entity no later than 15 minutes before the intraday cross-zonal gate opening time;</w:t>
      </w:r>
    </w:p>
    <w:p w14:paraId="3E2465EC" w14:textId="77777777" w:rsidR="009A1642" w:rsidRDefault="009A1642" w:rsidP="00DF05D6">
      <w:pPr>
        <w:pStyle w:val="ListParagraph"/>
        <w:widowControl/>
        <w:numPr>
          <w:ilvl w:val="2"/>
          <w:numId w:val="38"/>
        </w:numPr>
        <w:autoSpaceDE w:val="0"/>
        <w:autoSpaceDN w:val="0"/>
        <w:adjustRightInd w:val="0"/>
        <w:spacing w:line="276" w:lineRule="auto"/>
        <w:ind w:left="1418" w:right="-46" w:hanging="284"/>
        <w:rPr>
          <w:rFonts w:cs="Arial"/>
        </w:rPr>
      </w:pPr>
      <w:r w:rsidRPr="009A1642">
        <w:rPr>
          <w:rFonts w:cs="Arial"/>
        </w:rPr>
        <w:t>Calculation of intraday cross-zonal capacities for all intraday CC MTUs between 00:00 and 24:00 of day D. The cross-zonal capacities resulting from this calculation shall be published and submitted to relevant entity no later than 15 minutes before the target start of allocation at 22:00 D-1;</w:t>
      </w:r>
    </w:p>
    <w:p w14:paraId="7A2B806B" w14:textId="1566F5B0" w:rsidR="009A1642" w:rsidRPr="009A1642" w:rsidRDefault="009A1642" w:rsidP="00DF05D6">
      <w:pPr>
        <w:pStyle w:val="ListParagraph"/>
        <w:widowControl/>
        <w:numPr>
          <w:ilvl w:val="2"/>
          <w:numId w:val="38"/>
        </w:numPr>
        <w:autoSpaceDE w:val="0"/>
        <w:autoSpaceDN w:val="0"/>
        <w:adjustRightInd w:val="0"/>
        <w:spacing w:after="200" w:line="276" w:lineRule="auto"/>
        <w:ind w:left="1418" w:right="-45" w:hanging="284"/>
        <w:rPr>
          <w:rFonts w:cs="Arial"/>
        </w:rPr>
      </w:pPr>
      <w:r w:rsidRPr="009A1642">
        <w:rPr>
          <w:rFonts w:cs="Arial"/>
        </w:rPr>
        <w:t>Re-calculation of intraday cross-zonal capacities for all intraday CC MTUs between 12:00 and 24:00 of day D. The cross-zonal capacities resulting from this re-calculation shall be published and submitted to NEMOs no later than 15 minutes before the target start of allocation at 10:00 D-1.</w:t>
      </w:r>
    </w:p>
    <w:p w14:paraId="4C149AF4" w14:textId="082FB7FB" w:rsidR="00E12556" w:rsidRDefault="00E12556" w:rsidP="00D0161F">
      <w:pPr>
        <w:pStyle w:val="ListParagraph"/>
        <w:widowControl/>
        <w:numPr>
          <w:ilvl w:val="0"/>
          <w:numId w:val="37"/>
        </w:numPr>
        <w:spacing w:line="276" w:lineRule="auto"/>
        <w:ind w:left="426" w:right="0" w:hanging="426"/>
        <w:contextualSpacing/>
        <w:rPr>
          <w:rFonts w:cs="Arial"/>
        </w:rPr>
      </w:pPr>
      <w:r w:rsidRPr="00295B89">
        <w:rPr>
          <w:rFonts w:cs="Arial"/>
        </w:rPr>
        <w:t xml:space="preserve">The </w:t>
      </w:r>
      <w:r>
        <w:rPr>
          <w:rFonts w:cs="Arial"/>
        </w:rPr>
        <w:t>SEE</w:t>
      </w:r>
      <w:r w:rsidRPr="00295B89">
        <w:rPr>
          <w:rFonts w:cs="Arial"/>
        </w:rPr>
        <w:t xml:space="preserve"> TSOs shall review the frequency of re</w:t>
      </w:r>
      <w:r>
        <w:rPr>
          <w:rFonts w:cs="Arial"/>
        </w:rPr>
        <w:t>-</w:t>
      </w:r>
      <w:r w:rsidRPr="00295B89">
        <w:rPr>
          <w:rFonts w:cs="Arial"/>
        </w:rPr>
        <w:t>calculation</w:t>
      </w:r>
      <w:r>
        <w:rPr>
          <w:rFonts w:cs="Arial"/>
        </w:rPr>
        <w:t>s</w:t>
      </w:r>
      <w:r w:rsidR="0057592A">
        <w:rPr>
          <w:rFonts w:cs="Arial"/>
        </w:rPr>
        <w:t xml:space="preserve"> no later than </w:t>
      </w:r>
      <w:r w:rsidR="00860D5A">
        <w:rPr>
          <w:rFonts w:cs="Arial"/>
        </w:rPr>
        <w:t xml:space="preserve">one </w:t>
      </w:r>
      <w:r w:rsidR="0057592A">
        <w:rPr>
          <w:rFonts w:cs="Arial"/>
        </w:rPr>
        <w:t>year</w:t>
      </w:r>
      <w:r w:rsidRPr="00295B89">
        <w:rPr>
          <w:rFonts w:cs="Arial"/>
        </w:rPr>
        <w:t xml:space="preserve"> after the implementation of the </w:t>
      </w:r>
      <w:r>
        <w:rPr>
          <w:rFonts w:cs="Arial"/>
        </w:rPr>
        <w:t xml:space="preserve">common </w:t>
      </w:r>
      <w:r w:rsidRPr="00295B89">
        <w:rPr>
          <w:rFonts w:cs="Arial"/>
        </w:rPr>
        <w:t xml:space="preserve">capacity calculation </w:t>
      </w:r>
      <w:r>
        <w:rPr>
          <w:rFonts w:cs="Arial"/>
        </w:rPr>
        <w:t xml:space="preserve">methodology </w:t>
      </w:r>
      <w:r w:rsidRPr="00295B89">
        <w:rPr>
          <w:rFonts w:cs="Arial"/>
        </w:rPr>
        <w:t>for the intraday market time</w:t>
      </w:r>
      <w:r>
        <w:rPr>
          <w:rFonts w:cs="Arial"/>
        </w:rPr>
        <w:t>-</w:t>
      </w:r>
      <w:r w:rsidRPr="00295B89">
        <w:rPr>
          <w:rFonts w:cs="Arial"/>
        </w:rPr>
        <w:t>frame.</w:t>
      </w:r>
    </w:p>
    <w:p w14:paraId="55EBAEE9" w14:textId="77777777" w:rsidR="002A72C5" w:rsidRDefault="002A72C5" w:rsidP="008A255B">
      <w:pPr>
        <w:pStyle w:val="BodyText"/>
      </w:pPr>
    </w:p>
    <w:p w14:paraId="4DA1F65D" w14:textId="77777777" w:rsidR="002A72C5" w:rsidRPr="002F2D2B" w:rsidRDefault="007F2107" w:rsidP="00457547">
      <w:pPr>
        <w:pStyle w:val="Title1"/>
      </w:pPr>
      <w:r w:rsidRPr="002F2D2B">
        <w:t>Article 6</w:t>
      </w:r>
    </w:p>
    <w:p w14:paraId="59751FD5" w14:textId="77777777" w:rsidR="002A72C5" w:rsidRPr="002F2D2B" w:rsidRDefault="007F2107" w:rsidP="00457547">
      <w:pPr>
        <w:pStyle w:val="Title1"/>
      </w:pPr>
      <w:r w:rsidRPr="002F2D2B">
        <w:t>Reliability margin methodology</w:t>
      </w:r>
    </w:p>
    <w:p w14:paraId="4E58A355" w14:textId="77777777" w:rsidR="004E5476" w:rsidRDefault="004E5476" w:rsidP="00CB7914">
      <w:pPr>
        <w:pStyle w:val="ListParagraph"/>
        <w:tabs>
          <w:tab w:val="left" w:pos="547"/>
          <w:tab w:val="left" w:pos="548"/>
        </w:tabs>
        <w:spacing w:before="1"/>
        <w:ind w:left="547" w:right="0" w:firstLine="0"/>
      </w:pPr>
    </w:p>
    <w:p w14:paraId="0B6D8630" w14:textId="77777777" w:rsidR="00B541A7" w:rsidRDefault="00B541A7" w:rsidP="00B541A7">
      <w:pPr>
        <w:pStyle w:val="ListParagraph"/>
        <w:widowControl/>
        <w:numPr>
          <w:ilvl w:val="0"/>
          <w:numId w:val="20"/>
        </w:numPr>
        <w:spacing w:after="200" w:line="276" w:lineRule="auto"/>
        <w:ind w:left="425" w:right="0" w:hanging="425"/>
        <w:rPr>
          <w:rFonts w:cs="Arial"/>
        </w:rPr>
      </w:pPr>
      <w:bookmarkStart w:id="3" w:name="_Ref488395165"/>
      <w:r w:rsidRPr="007D54C5">
        <w:rPr>
          <w:rFonts w:cs="Arial"/>
        </w:rPr>
        <w:t xml:space="preserve">The day-ahead </w:t>
      </w:r>
      <w:r>
        <w:rPr>
          <w:rFonts w:cs="Arial"/>
        </w:rPr>
        <w:t xml:space="preserve">and intraday </w:t>
      </w:r>
      <w:r w:rsidRPr="007D54C5">
        <w:rPr>
          <w:rFonts w:cs="Arial"/>
        </w:rPr>
        <w:t xml:space="preserve">common capacity </w:t>
      </w:r>
      <w:r>
        <w:rPr>
          <w:rFonts w:cs="Arial"/>
        </w:rPr>
        <w:t>calculation methodologies</w:t>
      </w:r>
      <w:r w:rsidRPr="007D54C5">
        <w:rPr>
          <w:rFonts w:cs="Arial"/>
        </w:rPr>
        <w:t xml:space="preserve"> </w:t>
      </w:r>
      <w:r>
        <w:rPr>
          <w:rFonts w:cs="Arial"/>
        </w:rPr>
        <w:t>are</w:t>
      </w:r>
      <w:r w:rsidRPr="007D54C5">
        <w:rPr>
          <w:rFonts w:cs="Arial"/>
        </w:rPr>
        <w:t xml:space="preserve"> based on forecast models of the transmission system. Therefore, the outcomes are subject to inaccuracies and uncertainties. The aim of the reliability margin is to cover a level of risk induced by these forecast errors.</w:t>
      </w:r>
    </w:p>
    <w:p w14:paraId="45E7D72F" w14:textId="52F60E1F" w:rsidR="00B541A7" w:rsidRPr="00D3054C" w:rsidRDefault="00B541A7" w:rsidP="00B541A7">
      <w:pPr>
        <w:pStyle w:val="ListParagraph"/>
        <w:widowControl/>
        <w:numPr>
          <w:ilvl w:val="0"/>
          <w:numId w:val="20"/>
        </w:numPr>
        <w:spacing w:line="276" w:lineRule="auto"/>
        <w:ind w:left="426" w:right="-45"/>
        <w:contextualSpacing/>
      </w:pPr>
      <w:r w:rsidRPr="00D3054C">
        <w:rPr>
          <w:rFonts w:cs="Arial"/>
        </w:rPr>
        <w:t>In accordance with Article 22(2) and (4) of the CACM Regulation, the</w:t>
      </w:r>
      <w:r w:rsidR="00BB1152">
        <w:rPr>
          <w:rFonts w:cs="Arial"/>
        </w:rPr>
        <w:t xml:space="preserve"> </w:t>
      </w:r>
      <m:oMath>
        <m:r>
          <w:rPr>
            <w:rFonts w:ascii="Cambria Math" w:hAnsi="Cambria Math" w:cs="Arial"/>
          </w:rPr>
          <m:t>RM</m:t>
        </m:r>
      </m:oMath>
      <w:r w:rsidRPr="00D3054C">
        <w:rPr>
          <w:rFonts w:cs="Arial"/>
        </w:rPr>
        <w:t>s cover the following forecast uncertainties:</w:t>
      </w:r>
    </w:p>
    <w:p w14:paraId="6A370010" w14:textId="54BF6B4E" w:rsidR="00B541A7" w:rsidRPr="000A604D" w:rsidRDefault="00E23618" w:rsidP="00D0161F">
      <w:pPr>
        <w:pStyle w:val="ListParagraph"/>
        <w:widowControl/>
        <w:numPr>
          <w:ilvl w:val="0"/>
          <w:numId w:val="81"/>
        </w:numPr>
        <w:spacing w:line="276" w:lineRule="auto"/>
        <w:ind w:right="0"/>
        <w:contextualSpacing/>
        <w:rPr>
          <w:rFonts w:cs="Arial"/>
        </w:rPr>
      </w:pPr>
      <w:r>
        <w:rPr>
          <w:rFonts w:cs="Arial"/>
        </w:rPr>
        <w:t>cross-zonal exchanges on bidding zone borders outside SEE CCR</w:t>
      </w:r>
      <w:r w:rsidR="00B541A7" w:rsidRPr="000A604D">
        <w:rPr>
          <w:rFonts w:cs="Arial"/>
        </w:rPr>
        <w:t>;</w:t>
      </w:r>
    </w:p>
    <w:p w14:paraId="5B0A5C6C" w14:textId="77777777" w:rsidR="00B541A7" w:rsidRPr="000A604D" w:rsidRDefault="00B541A7" w:rsidP="00D0161F">
      <w:pPr>
        <w:pStyle w:val="ListParagraph"/>
        <w:widowControl/>
        <w:numPr>
          <w:ilvl w:val="0"/>
          <w:numId w:val="81"/>
        </w:numPr>
        <w:spacing w:line="276" w:lineRule="auto"/>
        <w:ind w:right="0"/>
        <w:contextualSpacing/>
        <w:rPr>
          <w:rFonts w:cs="Arial"/>
        </w:rPr>
      </w:pPr>
      <w:r w:rsidRPr="000A604D">
        <w:rPr>
          <w:rFonts w:cs="Arial"/>
        </w:rPr>
        <w:t>generation pattern including specific wind and solar generation forecast;</w:t>
      </w:r>
    </w:p>
    <w:p w14:paraId="378889AE" w14:textId="6D48DFC9" w:rsidR="00B541A7" w:rsidRPr="000A604D" w:rsidRDefault="00B541A7" w:rsidP="00D0161F">
      <w:pPr>
        <w:pStyle w:val="ListParagraph"/>
        <w:widowControl/>
        <w:numPr>
          <w:ilvl w:val="0"/>
          <w:numId w:val="81"/>
        </w:numPr>
        <w:spacing w:line="276" w:lineRule="auto"/>
        <w:ind w:right="0"/>
        <w:contextualSpacing/>
        <w:rPr>
          <w:rFonts w:cs="Arial"/>
        </w:rPr>
      </w:pPr>
      <w:r w:rsidRPr="000A604D">
        <w:rPr>
          <w:rFonts w:cs="Arial"/>
        </w:rPr>
        <w:t xml:space="preserve">generation </w:t>
      </w:r>
      <w:r>
        <w:rPr>
          <w:rFonts w:cs="Arial"/>
        </w:rPr>
        <w:t>s</w:t>
      </w:r>
      <w:r w:rsidRPr="000A604D">
        <w:rPr>
          <w:rFonts w:cs="Arial"/>
        </w:rPr>
        <w:t xml:space="preserve">hift </w:t>
      </w:r>
      <w:r>
        <w:rPr>
          <w:rFonts w:cs="Arial"/>
        </w:rPr>
        <w:t>k</w:t>
      </w:r>
      <w:r w:rsidRPr="000A604D">
        <w:rPr>
          <w:rFonts w:cs="Arial"/>
        </w:rPr>
        <w:t>ey;</w:t>
      </w:r>
    </w:p>
    <w:p w14:paraId="0C16A803" w14:textId="77777777" w:rsidR="00B541A7" w:rsidRPr="000A604D" w:rsidRDefault="00B541A7" w:rsidP="00D0161F">
      <w:pPr>
        <w:pStyle w:val="ListParagraph"/>
        <w:widowControl/>
        <w:numPr>
          <w:ilvl w:val="0"/>
          <w:numId w:val="81"/>
        </w:numPr>
        <w:spacing w:line="276" w:lineRule="auto"/>
        <w:ind w:right="0"/>
        <w:contextualSpacing/>
        <w:rPr>
          <w:rFonts w:cs="Arial"/>
        </w:rPr>
      </w:pPr>
      <w:r w:rsidRPr="000A604D">
        <w:rPr>
          <w:rFonts w:cs="Arial"/>
        </w:rPr>
        <w:t>load forecast;</w:t>
      </w:r>
    </w:p>
    <w:p w14:paraId="5C383FB9" w14:textId="77777777" w:rsidR="00B541A7" w:rsidRPr="000A604D" w:rsidRDefault="00B541A7" w:rsidP="00D0161F">
      <w:pPr>
        <w:pStyle w:val="ListParagraph"/>
        <w:widowControl/>
        <w:numPr>
          <w:ilvl w:val="0"/>
          <w:numId w:val="81"/>
        </w:numPr>
        <w:spacing w:line="276" w:lineRule="auto"/>
        <w:ind w:right="0"/>
        <w:contextualSpacing/>
        <w:rPr>
          <w:rFonts w:cs="Arial"/>
        </w:rPr>
      </w:pPr>
      <w:r w:rsidRPr="000A604D">
        <w:rPr>
          <w:rFonts w:cs="Arial"/>
        </w:rPr>
        <w:t>topology forecast;</w:t>
      </w:r>
    </w:p>
    <w:p w14:paraId="10024DF9" w14:textId="6C91FEF9" w:rsidR="00B541A7" w:rsidRDefault="00B541A7" w:rsidP="00D0161F">
      <w:pPr>
        <w:pStyle w:val="ListParagraph"/>
        <w:widowControl/>
        <w:numPr>
          <w:ilvl w:val="0"/>
          <w:numId w:val="81"/>
        </w:numPr>
        <w:spacing w:after="200" w:line="276" w:lineRule="auto"/>
        <w:ind w:right="0"/>
        <w:rPr>
          <w:rFonts w:cs="Arial"/>
        </w:rPr>
      </w:pPr>
      <w:r w:rsidRPr="000A604D">
        <w:rPr>
          <w:rFonts w:cs="Arial"/>
        </w:rPr>
        <w:t xml:space="preserve">unintentional flow deviation due to the operation of </w:t>
      </w:r>
      <w:r w:rsidRPr="00AD3BBE">
        <w:rPr>
          <w:rFonts w:cs="Arial"/>
        </w:rPr>
        <w:t>frequency containment reserves</w:t>
      </w:r>
      <w:r>
        <w:rPr>
          <w:rFonts w:cs="Arial"/>
        </w:rPr>
        <w:t>.</w:t>
      </w:r>
    </w:p>
    <w:p w14:paraId="1FBE0E71" w14:textId="0E4E2D5E" w:rsidR="008F082F" w:rsidRDefault="008F082F" w:rsidP="00220D45">
      <w:pPr>
        <w:pStyle w:val="ListParagraph"/>
        <w:numPr>
          <w:ilvl w:val="0"/>
          <w:numId w:val="20"/>
        </w:numPr>
        <w:tabs>
          <w:tab w:val="left" w:pos="-4678"/>
        </w:tabs>
        <w:spacing w:after="200" w:line="276" w:lineRule="auto"/>
        <w:ind w:left="425" w:right="0" w:hanging="425"/>
      </w:pPr>
      <w:r>
        <w:t>SEE TSOs shall aim at reducing uncertainties by studying and tackling the drivers of uncertainty.</w:t>
      </w:r>
    </w:p>
    <w:p w14:paraId="74D6C4DE" w14:textId="7543B71D" w:rsidR="002A72C5" w:rsidRPr="00CB7914" w:rsidRDefault="00901C34" w:rsidP="00D0161F">
      <w:pPr>
        <w:pStyle w:val="ListParagraph"/>
        <w:numPr>
          <w:ilvl w:val="0"/>
          <w:numId w:val="20"/>
        </w:numPr>
        <w:tabs>
          <w:tab w:val="left" w:pos="-4678"/>
        </w:tabs>
        <w:spacing w:before="1" w:line="259" w:lineRule="auto"/>
        <w:ind w:left="426" w:right="0" w:hanging="426"/>
      </w:pPr>
      <w:r>
        <w:t>F</w:t>
      </w:r>
      <w:r w:rsidR="007F2107" w:rsidRPr="00CB7914">
        <w:t xml:space="preserve">or the capacity calculation performed </w:t>
      </w:r>
      <w:r w:rsidR="00BB1152">
        <w:t>for day-ahead market time-frame</w:t>
      </w:r>
      <w:r w:rsidR="007F2107" w:rsidRPr="00CB7914">
        <w:t xml:space="preserve">, the TSOs of </w:t>
      </w:r>
      <w:r w:rsidR="00097425">
        <w:t xml:space="preserve">the </w:t>
      </w:r>
      <w:r>
        <w:t xml:space="preserve">SEE </w:t>
      </w:r>
      <w:r w:rsidR="00BB1152">
        <w:t>CCR</w:t>
      </w:r>
      <w:r w:rsidR="007F2107" w:rsidRPr="00E045CF">
        <w:t xml:space="preserve"> </w:t>
      </w:r>
      <w:r w:rsidR="00BB1152">
        <w:t xml:space="preserve">shall </w:t>
      </w:r>
      <w:r w:rsidR="004E5476" w:rsidRPr="00417AD9">
        <w:t xml:space="preserve">compute </w:t>
      </w:r>
      <w:r w:rsidR="007F2107" w:rsidRPr="00417AD9">
        <w:t xml:space="preserve">the </w:t>
      </w:r>
      <w:r w:rsidR="00BB1152" w:rsidRPr="00BB1152">
        <w:rPr>
          <w:i/>
        </w:rPr>
        <w:t>RMs</w:t>
      </w:r>
      <w:r w:rsidR="007F2107" w:rsidRPr="00CB7914">
        <w:t xml:space="preserve"> </w:t>
      </w:r>
      <w:r w:rsidR="00312124">
        <w:t xml:space="preserve">for the </w:t>
      </w:r>
      <w:r w:rsidR="00767803">
        <w:t>SEE CCR</w:t>
      </w:r>
      <w:r w:rsidR="00312124">
        <w:t xml:space="preserve"> borders </w:t>
      </w:r>
      <w:r w:rsidR="007F2107" w:rsidRPr="00CB7914">
        <w:t>in</w:t>
      </w:r>
      <w:r w:rsidR="007F2107" w:rsidRPr="008B7509">
        <w:t xml:space="preserve"> </w:t>
      </w:r>
      <w:r w:rsidR="00BB1152">
        <w:t>accordance</w:t>
      </w:r>
      <w:r w:rsidR="00BB1152" w:rsidRPr="008B7509">
        <w:t xml:space="preserve"> </w:t>
      </w:r>
      <w:r w:rsidR="007F2107" w:rsidRPr="00CB7914">
        <w:t>with</w:t>
      </w:r>
      <w:r w:rsidR="007F2107" w:rsidRPr="008B7509">
        <w:t xml:space="preserve"> </w:t>
      </w:r>
      <w:r w:rsidR="007F2107" w:rsidRPr="00CB7914">
        <w:t>Article</w:t>
      </w:r>
      <w:r w:rsidR="007F2107" w:rsidRPr="008B7509">
        <w:t xml:space="preserve"> </w:t>
      </w:r>
      <w:r w:rsidR="007F2107" w:rsidRPr="00CB7914">
        <w:t>22</w:t>
      </w:r>
      <w:r w:rsidR="007F2107" w:rsidRPr="008B7509">
        <w:t xml:space="preserve"> </w:t>
      </w:r>
      <w:r w:rsidR="007F2107" w:rsidRPr="00CB7914">
        <w:t>of</w:t>
      </w:r>
      <w:r w:rsidR="007F2107" w:rsidRPr="008B7509">
        <w:t xml:space="preserve"> </w:t>
      </w:r>
      <w:r w:rsidR="007F2107" w:rsidRPr="00CB7914">
        <w:t>the</w:t>
      </w:r>
      <w:r w:rsidR="007F2107" w:rsidRPr="008B7509">
        <w:t xml:space="preserve"> </w:t>
      </w:r>
      <w:r w:rsidR="007F2107" w:rsidRPr="00CB7914">
        <w:t>CACM</w:t>
      </w:r>
      <w:r w:rsidR="007F2107" w:rsidRPr="008B7509">
        <w:t xml:space="preserve"> </w:t>
      </w:r>
      <w:r w:rsidR="007F2107" w:rsidRPr="00CB7914">
        <w:t>Regulation</w:t>
      </w:r>
      <w:r w:rsidR="007F2107" w:rsidRPr="008B7509">
        <w:t xml:space="preserve"> </w:t>
      </w:r>
      <w:r w:rsidR="007F2107" w:rsidRPr="00CB7914">
        <w:t>and</w:t>
      </w:r>
      <w:r w:rsidR="007F2107" w:rsidRPr="008B7509">
        <w:t xml:space="preserve"> </w:t>
      </w:r>
      <w:r w:rsidR="007F2107" w:rsidRPr="00CB7914">
        <w:t>based</w:t>
      </w:r>
      <w:r w:rsidR="007F2107" w:rsidRPr="008B7509">
        <w:t xml:space="preserve"> </w:t>
      </w:r>
      <w:r w:rsidR="007F2107" w:rsidRPr="00CB7914">
        <w:t>on</w:t>
      </w:r>
      <w:r w:rsidR="007F2107" w:rsidRPr="008B7509">
        <w:t xml:space="preserve"> </w:t>
      </w:r>
      <w:r w:rsidR="007F2107" w:rsidRPr="00CB7914">
        <w:t>the</w:t>
      </w:r>
      <w:r w:rsidR="007F2107" w:rsidRPr="008B7509">
        <w:t xml:space="preserve"> </w:t>
      </w:r>
      <w:r w:rsidR="007F2107" w:rsidRPr="00CB7914">
        <w:t>analysis</w:t>
      </w:r>
      <w:r w:rsidR="007F2107" w:rsidRPr="008B7509">
        <w:t xml:space="preserve"> </w:t>
      </w:r>
      <w:r w:rsidR="007F2107" w:rsidRPr="00CB7914">
        <w:t>of</w:t>
      </w:r>
      <w:r w:rsidR="007F2107" w:rsidRPr="008B7509">
        <w:t xml:space="preserve"> </w:t>
      </w:r>
      <w:r w:rsidR="007F2107" w:rsidRPr="00CB7914">
        <w:t>the</w:t>
      </w:r>
      <w:r w:rsidR="007F2107" w:rsidRPr="008B7509">
        <w:t xml:space="preserve"> </w:t>
      </w:r>
      <w:r w:rsidR="007F2107" w:rsidRPr="00CB7914">
        <w:t>following</w:t>
      </w:r>
      <w:r w:rsidR="007F2107" w:rsidRPr="008B7509">
        <w:t xml:space="preserve"> </w:t>
      </w:r>
      <w:r w:rsidR="007F2107" w:rsidRPr="00CB7914">
        <w:t>data:</w:t>
      </w:r>
      <w:bookmarkEnd w:id="3"/>
    </w:p>
    <w:p w14:paraId="6E4B6CB6" w14:textId="2BC89958" w:rsidR="002A72C5" w:rsidRPr="00417AD9" w:rsidRDefault="00097425" w:rsidP="00E90380">
      <w:pPr>
        <w:pStyle w:val="ListParagraph"/>
        <w:numPr>
          <w:ilvl w:val="0"/>
          <w:numId w:val="10"/>
        </w:numPr>
        <w:tabs>
          <w:tab w:val="left" w:pos="-4820"/>
        </w:tabs>
        <w:spacing w:line="259" w:lineRule="auto"/>
        <w:ind w:left="1276" w:right="0" w:hanging="283"/>
      </w:pPr>
      <w:r>
        <w:t>U</w:t>
      </w:r>
      <w:r w:rsidR="007F2107" w:rsidRPr="00CB7914">
        <w:t xml:space="preserve">nintended deviations of physical electricity flows within a </w:t>
      </w:r>
      <w:r>
        <w:t>MTU</w:t>
      </w:r>
      <w:r w:rsidR="007F2107" w:rsidRPr="00CB7914">
        <w:t xml:space="preserve"> caused by the adjustment of electricity flows within and between control areas, to maintain a constant</w:t>
      </w:r>
      <w:r w:rsidR="007F2107" w:rsidRPr="00417AD9">
        <w:rPr>
          <w:spacing w:val="-23"/>
        </w:rPr>
        <w:t xml:space="preserve"> </w:t>
      </w:r>
      <w:r w:rsidR="007F2107" w:rsidRPr="00417AD9">
        <w:t>frequency</w:t>
      </w:r>
      <w:r w:rsidR="00D92BAA">
        <w:t>;</w:t>
      </w:r>
    </w:p>
    <w:p w14:paraId="5E9669E4" w14:textId="6EF99910" w:rsidR="002A72C5" w:rsidRPr="00417AD9" w:rsidRDefault="00097425" w:rsidP="00E90380">
      <w:pPr>
        <w:pStyle w:val="ListParagraph"/>
        <w:numPr>
          <w:ilvl w:val="0"/>
          <w:numId w:val="10"/>
        </w:numPr>
        <w:spacing w:before="1" w:after="200" w:line="259" w:lineRule="auto"/>
        <w:ind w:left="1276" w:right="0" w:hanging="283"/>
      </w:pPr>
      <w:r>
        <w:t>U</w:t>
      </w:r>
      <w:r w:rsidR="007F2107" w:rsidRPr="00417AD9">
        <w:t>ncertainties</w:t>
      </w:r>
      <w:r w:rsidR="007F2107" w:rsidRPr="00417AD9">
        <w:rPr>
          <w:spacing w:val="-3"/>
        </w:rPr>
        <w:t xml:space="preserve"> </w:t>
      </w:r>
      <w:r w:rsidR="007F2107" w:rsidRPr="00417AD9">
        <w:t>which</w:t>
      </w:r>
      <w:r w:rsidR="007F2107" w:rsidRPr="00417AD9">
        <w:rPr>
          <w:spacing w:val="-4"/>
        </w:rPr>
        <w:t xml:space="preserve"> </w:t>
      </w:r>
      <w:r w:rsidR="007F2107" w:rsidRPr="00417AD9">
        <w:t>could</w:t>
      </w:r>
      <w:r w:rsidR="007F2107" w:rsidRPr="00417AD9">
        <w:rPr>
          <w:spacing w:val="-4"/>
        </w:rPr>
        <w:t xml:space="preserve"> </w:t>
      </w:r>
      <w:r w:rsidR="007F2107" w:rsidRPr="00417AD9">
        <w:t>affect</w:t>
      </w:r>
      <w:r w:rsidR="007F2107" w:rsidRPr="00417AD9">
        <w:rPr>
          <w:spacing w:val="-3"/>
        </w:rPr>
        <w:t xml:space="preserve"> </w:t>
      </w:r>
      <w:r w:rsidR="007F2107" w:rsidRPr="00417AD9">
        <w:t>capacity</w:t>
      </w:r>
      <w:r w:rsidR="007F2107" w:rsidRPr="00417AD9">
        <w:rPr>
          <w:spacing w:val="-6"/>
        </w:rPr>
        <w:t xml:space="preserve"> </w:t>
      </w:r>
      <w:r w:rsidR="007F2107" w:rsidRPr="00417AD9">
        <w:t>calculation</w:t>
      </w:r>
      <w:r w:rsidR="007F2107" w:rsidRPr="00417AD9">
        <w:rPr>
          <w:spacing w:val="-4"/>
        </w:rPr>
        <w:t xml:space="preserve"> </w:t>
      </w:r>
      <w:r w:rsidR="007F2107" w:rsidRPr="00417AD9">
        <w:t>and</w:t>
      </w:r>
      <w:r w:rsidR="007F2107" w:rsidRPr="00417AD9">
        <w:rPr>
          <w:spacing w:val="-4"/>
        </w:rPr>
        <w:t xml:space="preserve"> </w:t>
      </w:r>
      <w:r w:rsidR="007F2107" w:rsidRPr="00417AD9">
        <w:t>which</w:t>
      </w:r>
      <w:r w:rsidR="007F2107" w:rsidRPr="00417AD9">
        <w:rPr>
          <w:spacing w:val="-4"/>
        </w:rPr>
        <w:t xml:space="preserve"> </w:t>
      </w:r>
      <w:r w:rsidR="007F2107" w:rsidRPr="00417AD9">
        <w:t>could</w:t>
      </w:r>
      <w:r w:rsidR="007F2107" w:rsidRPr="00417AD9">
        <w:rPr>
          <w:spacing w:val="-4"/>
        </w:rPr>
        <w:t xml:space="preserve"> </w:t>
      </w:r>
      <w:r w:rsidR="007F2107" w:rsidRPr="00417AD9">
        <w:t>occur</w:t>
      </w:r>
      <w:r w:rsidR="007F2107" w:rsidRPr="00417AD9">
        <w:rPr>
          <w:spacing w:val="-3"/>
        </w:rPr>
        <w:t xml:space="preserve"> </w:t>
      </w:r>
      <w:r w:rsidR="007F2107" w:rsidRPr="00417AD9">
        <w:t>between</w:t>
      </w:r>
      <w:r w:rsidR="007F2107" w:rsidRPr="00417AD9">
        <w:rPr>
          <w:spacing w:val="-4"/>
        </w:rPr>
        <w:t xml:space="preserve"> </w:t>
      </w:r>
      <w:r w:rsidR="007F2107" w:rsidRPr="00417AD9">
        <w:t>D-2</w:t>
      </w:r>
      <w:r w:rsidR="007F2107" w:rsidRPr="00417AD9">
        <w:rPr>
          <w:spacing w:val="-4"/>
        </w:rPr>
        <w:t xml:space="preserve"> </w:t>
      </w:r>
      <w:r w:rsidR="007F2107" w:rsidRPr="00417AD9">
        <w:t>and</w:t>
      </w:r>
      <w:r w:rsidR="007F2107" w:rsidRPr="00417AD9">
        <w:rPr>
          <w:spacing w:val="-4"/>
        </w:rPr>
        <w:t xml:space="preserve"> </w:t>
      </w:r>
      <w:r w:rsidR="007F2107" w:rsidRPr="00417AD9">
        <w:t>real</w:t>
      </w:r>
      <w:r w:rsidR="007F2107" w:rsidRPr="00417AD9">
        <w:rPr>
          <w:spacing w:val="-3"/>
        </w:rPr>
        <w:t xml:space="preserve"> </w:t>
      </w:r>
      <w:r w:rsidR="007F2107" w:rsidRPr="00417AD9">
        <w:t xml:space="preserve">time, for the </w:t>
      </w:r>
      <w:r>
        <w:t>MTU</w:t>
      </w:r>
      <w:r w:rsidR="007F2107" w:rsidRPr="00417AD9">
        <w:t xml:space="preserve"> being</w:t>
      </w:r>
      <w:r w:rsidR="007F2107" w:rsidRPr="00417AD9">
        <w:rPr>
          <w:spacing w:val="-7"/>
        </w:rPr>
        <w:t xml:space="preserve"> </w:t>
      </w:r>
      <w:r w:rsidR="007F2107" w:rsidRPr="00417AD9">
        <w:t>considered.</w:t>
      </w:r>
    </w:p>
    <w:p w14:paraId="1FBD70C6" w14:textId="1A02C725" w:rsidR="002A72C5" w:rsidRPr="00417AD9" w:rsidRDefault="00901C34" w:rsidP="00D0161F">
      <w:pPr>
        <w:pStyle w:val="ListParagraph"/>
        <w:numPr>
          <w:ilvl w:val="0"/>
          <w:numId w:val="20"/>
        </w:numPr>
        <w:tabs>
          <w:tab w:val="left" w:pos="548"/>
        </w:tabs>
        <w:spacing w:before="1" w:line="259" w:lineRule="auto"/>
        <w:ind w:left="426" w:right="0" w:hanging="426"/>
      </w:pPr>
      <w:bookmarkStart w:id="4" w:name="_Ref488395179"/>
      <w:r>
        <w:t>F</w:t>
      </w:r>
      <w:r w:rsidR="007F2107" w:rsidRPr="00CB7914">
        <w:t xml:space="preserve">or the capacity calculation performed </w:t>
      </w:r>
      <w:r w:rsidR="00BB1152">
        <w:t>for intraday market time-frame</w:t>
      </w:r>
      <w:r w:rsidR="007F2107" w:rsidRPr="00417AD9">
        <w:t xml:space="preserve">, the TSOs of </w:t>
      </w:r>
      <w:r>
        <w:t>SEE</w:t>
      </w:r>
      <w:r w:rsidR="00CE7B7B">
        <w:t xml:space="preserve"> </w:t>
      </w:r>
      <w:r w:rsidR="00BB1152">
        <w:t>CCR</w:t>
      </w:r>
      <w:r w:rsidR="007F2107" w:rsidRPr="00417AD9">
        <w:t xml:space="preserve"> </w:t>
      </w:r>
      <w:r w:rsidR="00BB1152">
        <w:t xml:space="preserve">shall </w:t>
      </w:r>
      <w:r w:rsidR="003A4F9C" w:rsidRPr="00417AD9">
        <w:t xml:space="preserve">compute </w:t>
      </w:r>
      <w:r w:rsidR="007F2107" w:rsidRPr="00417AD9">
        <w:t xml:space="preserve">the </w:t>
      </w:r>
      <w:r w:rsidR="00BB1152" w:rsidRPr="00BB1152">
        <w:rPr>
          <w:i/>
        </w:rPr>
        <w:t>RMs</w:t>
      </w:r>
      <w:r w:rsidR="007F2107" w:rsidRPr="00417AD9">
        <w:t xml:space="preserve"> </w:t>
      </w:r>
      <w:r w:rsidR="002F08F3">
        <w:t xml:space="preserve">for the </w:t>
      </w:r>
      <w:r w:rsidR="00767803">
        <w:t>SEE CCR</w:t>
      </w:r>
      <w:r w:rsidR="002F08F3">
        <w:t xml:space="preserve"> borders </w:t>
      </w:r>
      <w:r w:rsidR="007F2107" w:rsidRPr="00417AD9">
        <w:t xml:space="preserve">in </w:t>
      </w:r>
      <w:r w:rsidR="00BB1152">
        <w:t>accordance</w:t>
      </w:r>
      <w:r w:rsidR="00BB1152" w:rsidRPr="00417AD9">
        <w:t xml:space="preserve"> </w:t>
      </w:r>
      <w:r w:rsidR="007F2107" w:rsidRPr="00417AD9">
        <w:t>with Article 22 of the CACM Regulation and based on the analysis of the following</w:t>
      </w:r>
      <w:r w:rsidR="007F2107" w:rsidRPr="00417AD9">
        <w:rPr>
          <w:spacing w:val="-1"/>
        </w:rPr>
        <w:t xml:space="preserve"> </w:t>
      </w:r>
      <w:r w:rsidR="007F2107" w:rsidRPr="00417AD9">
        <w:t>data:</w:t>
      </w:r>
      <w:bookmarkEnd w:id="4"/>
    </w:p>
    <w:p w14:paraId="419C1EFE" w14:textId="444DC184" w:rsidR="002A72C5" w:rsidRPr="00417AD9" w:rsidRDefault="002100A1" w:rsidP="00D0161F">
      <w:pPr>
        <w:pStyle w:val="ListParagraph"/>
        <w:numPr>
          <w:ilvl w:val="0"/>
          <w:numId w:val="10"/>
        </w:numPr>
        <w:tabs>
          <w:tab w:val="left" w:pos="-4820"/>
        </w:tabs>
        <w:spacing w:line="259" w:lineRule="auto"/>
        <w:ind w:left="1276" w:right="0" w:hanging="283"/>
      </w:pPr>
      <w:r>
        <w:t>U</w:t>
      </w:r>
      <w:r w:rsidR="007F2107" w:rsidRPr="00417AD9">
        <w:t xml:space="preserve">nintended deviations of physical electricity flows within a </w:t>
      </w:r>
      <w:r w:rsidR="00E90380">
        <w:t>MTU</w:t>
      </w:r>
      <w:r w:rsidR="007F2107" w:rsidRPr="00417AD9">
        <w:t xml:space="preserve"> caused by the adjustment of electricity flows within and between control areas, to maintain a constant</w:t>
      </w:r>
      <w:r w:rsidR="007F2107" w:rsidRPr="00D0161F">
        <w:t xml:space="preserve"> </w:t>
      </w:r>
      <w:r w:rsidR="007F2107" w:rsidRPr="00417AD9">
        <w:t>frequency;</w:t>
      </w:r>
    </w:p>
    <w:p w14:paraId="1D5DBF8E" w14:textId="54784ECC" w:rsidR="002A72C5" w:rsidRDefault="002100A1" w:rsidP="00D0161F">
      <w:pPr>
        <w:pStyle w:val="ListParagraph"/>
        <w:numPr>
          <w:ilvl w:val="0"/>
          <w:numId w:val="10"/>
        </w:numPr>
        <w:tabs>
          <w:tab w:val="left" w:pos="-4820"/>
        </w:tabs>
        <w:spacing w:after="240" w:line="259" w:lineRule="auto"/>
        <w:ind w:left="1276" w:right="0" w:hanging="283"/>
      </w:pPr>
      <w:r w:rsidRPr="00417AD9">
        <w:t>Uncertainties</w:t>
      </w:r>
      <w:r w:rsidR="007F2107" w:rsidRPr="00417AD9">
        <w:t xml:space="preserve"> which could affect capacity calculation and which could occur between the respective capacity calculation</w:t>
      </w:r>
      <w:r w:rsidR="00BB1152">
        <w:t xml:space="preserve"> time</w:t>
      </w:r>
      <w:r w:rsidR="007F2107" w:rsidRPr="00417AD9">
        <w:t xml:space="preserve"> and real time, for the </w:t>
      </w:r>
      <w:r>
        <w:t>MTU</w:t>
      </w:r>
      <w:r w:rsidR="007F2107" w:rsidRPr="00417AD9">
        <w:t xml:space="preserve"> being</w:t>
      </w:r>
      <w:r w:rsidR="007F2107" w:rsidRPr="00D0161F">
        <w:t xml:space="preserve"> </w:t>
      </w:r>
      <w:r w:rsidR="007F2107" w:rsidRPr="00417AD9">
        <w:t>considered.</w:t>
      </w:r>
    </w:p>
    <w:p w14:paraId="1D009D68" w14:textId="4473BB77" w:rsidR="00305D5F" w:rsidRDefault="000B4CE6" w:rsidP="00D0161F">
      <w:pPr>
        <w:pStyle w:val="BodyText"/>
        <w:numPr>
          <w:ilvl w:val="0"/>
          <w:numId w:val="20"/>
        </w:numPr>
        <w:spacing w:after="120" w:line="276" w:lineRule="auto"/>
        <w:ind w:left="426" w:right="95" w:hanging="426"/>
        <w:jc w:val="both"/>
      </w:pPr>
      <w:r w:rsidRPr="000B4CE6">
        <w:t xml:space="preserve">Regarding the </w:t>
      </w:r>
      <w:r w:rsidRPr="00DB46E7">
        <w:rPr>
          <w:i/>
        </w:rPr>
        <w:t>UD</w:t>
      </w:r>
      <w:r w:rsidRPr="000B4CE6">
        <w:t xml:space="preserve"> for control-related reasons, deviations occur between the scheduled values and the actual values during the exchange of energy between neighboring control areas. This implies that at any moment the </w:t>
      </w:r>
      <w:r w:rsidRPr="000B4CE6">
        <w:lastRenderedPageBreak/>
        <w:t xml:space="preserve">exchange between two control areas can be significantly higher than the scheduled exchanged, endangering the security of supply. </w:t>
      </w:r>
    </w:p>
    <w:p w14:paraId="5DB7193F" w14:textId="35364B94" w:rsidR="00305D5F" w:rsidRDefault="000B4CE6" w:rsidP="00D0161F">
      <w:pPr>
        <w:pStyle w:val="BodyText"/>
        <w:numPr>
          <w:ilvl w:val="0"/>
          <w:numId w:val="20"/>
        </w:numPr>
        <w:spacing w:after="120" w:line="276" w:lineRule="auto"/>
        <w:ind w:left="426" w:right="95" w:hanging="426"/>
        <w:jc w:val="both"/>
      </w:pPr>
      <w:r w:rsidRPr="000B4CE6">
        <w:t xml:space="preserve">Regarding the </w:t>
      </w:r>
      <w:r w:rsidRPr="000B4CE6">
        <w:rPr>
          <w:i/>
        </w:rPr>
        <w:t>UN</w:t>
      </w:r>
      <w:r w:rsidRPr="000B4CE6">
        <w:t xml:space="preserve"> the </w:t>
      </w:r>
      <w:r>
        <w:t>CNTC</w:t>
      </w:r>
      <w:r w:rsidRPr="000B4CE6">
        <w:t xml:space="preserve"> methodology is based on different inputs provided by TSOs, they are based on best available forecast at the time of the capacity calculation for </w:t>
      </w:r>
      <w:r>
        <w:t>renewable energy sources</w:t>
      </w:r>
      <w:r w:rsidRPr="000B4CE6">
        <w:t xml:space="preserve">, consumption, </w:t>
      </w:r>
      <w:r>
        <w:t>generation</w:t>
      </w:r>
      <w:r w:rsidRPr="000B4CE6">
        <w:t xml:space="preserve"> or available network elements and those could differ from the real-time situation. </w:t>
      </w:r>
    </w:p>
    <w:p w14:paraId="65DA53F8" w14:textId="180E5EAA" w:rsidR="00597179" w:rsidRDefault="00597179" w:rsidP="00D0161F">
      <w:pPr>
        <w:pStyle w:val="BodyText"/>
        <w:numPr>
          <w:ilvl w:val="0"/>
          <w:numId w:val="20"/>
        </w:numPr>
        <w:spacing w:after="120" w:line="276" w:lineRule="auto"/>
        <w:ind w:left="426" w:right="95" w:hanging="426"/>
        <w:jc w:val="both"/>
      </w:pPr>
      <w:r w:rsidRPr="00597179">
        <w:t xml:space="preserve">The </w:t>
      </w:r>
      <w:r w:rsidRPr="00597179">
        <w:rPr>
          <w:i/>
        </w:rPr>
        <w:t>RMs</w:t>
      </w:r>
      <w:r w:rsidRPr="00597179">
        <w:t xml:space="preserve"> can be considered as an indirect input to the capacity calculation process since it refers to the difference wh</w:t>
      </w:r>
      <w:r>
        <w:t>en</w:t>
      </w:r>
      <w:r w:rsidRPr="00597179">
        <w:t xml:space="preserve"> the TTC and the NTC limits are reached for the constraint under investigation. </w:t>
      </w:r>
    </w:p>
    <w:p w14:paraId="78B18F3B" w14:textId="6844DA49" w:rsidR="00597179" w:rsidRPr="00597179" w:rsidRDefault="00597179" w:rsidP="00D0161F">
      <w:pPr>
        <w:pStyle w:val="BodyText"/>
        <w:numPr>
          <w:ilvl w:val="0"/>
          <w:numId w:val="20"/>
        </w:numPr>
        <w:spacing w:after="120" w:line="276" w:lineRule="auto"/>
        <w:ind w:left="426" w:right="95" w:hanging="426"/>
        <w:jc w:val="both"/>
      </w:pPr>
      <w:r>
        <w:t>The RMs determination is based on a</w:t>
      </w:r>
      <w:r w:rsidRPr="00597179">
        <w:t xml:space="preserve"> probability distribution</w:t>
      </w:r>
      <w:r>
        <w:t xml:space="preserve"> function</w:t>
      </w:r>
      <w:r w:rsidRPr="00597179">
        <w:t xml:space="preserve"> of the deviations between the expected power flows at the time of the capacity calculation and realized power flows in real time. </w:t>
      </w:r>
    </w:p>
    <w:p w14:paraId="3919F23E" w14:textId="3E5C605B" w:rsidR="00597179" w:rsidRPr="00597179" w:rsidRDefault="00EC5F02" w:rsidP="00D0161F">
      <w:pPr>
        <w:pStyle w:val="BodyText"/>
        <w:numPr>
          <w:ilvl w:val="0"/>
          <w:numId w:val="20"/>
        </w:numPr>
        <w:spacing w:line="276" w:lineRule="auto"/>
        <w:ind w:left="426" w:right="96" w:hanging="426"/>
        <w:jc w:val="both"/>
      </w:pPr>
      <w:r>
        <w:t xml:space="preserve">The RMs on the </w:t>
      </w:r>
      <w:r w:rsidR="00444CB2">
        <w:t xml:space="preserve">north Greek </w:t>
      </w:r>
      <w:r>
        <w:t>border</w:t>
      </w:r>
      <w:r w:rsidR="00BB76F0">
        <w:t>s</w:t>
      </w:r>
      <w:r w:rsidR="00010FFF">
        <w:t xml:space="preserve"> </w:t>
      </w:r>
      <w:r w:rsidR="00444CB2">
        <w:t xml:space="preserve">and south Romanian borders </w:t>
      </w:r>
      <w:r w:rsidRPr="00EC5F02">
        <w:t>are calculated in a three-step approach:</w:t>
      </w:r>
    </w:p>
    <w:p w14:paraId="54E813FF" w14:textId="686E82AA" w:rsidR="00DE61F4" w:rsidRPr="00444CB2" w:rsidRDefault="00575973" w:rsidP="00C44F35">
      <w:pPr>
        <w:pStyle w:val="BodyText"/>
        <w:numPr>
          <w:ilvl w:val="0"/>
          <w:numId w:val="67"/>
        </w:numPr>
        <w:spacing w:line="276" w:lineRule="auto"/>
        <w:ind w:left="851" w:right="102" w:hanging="284"/>
        <w:jc w:val="both"/>
      </w:pPr>
      <w:r w:rsidRPr="00DE61F4">
        <w:t>In</w:t>
      </w:r>
      <w:r w:rsidR="00DE61F4" w:rsidRPr="00DE61F4">
        <w:t xml:space="preserve"> a first step, for each </w:t>
      </w:r>
      <w:r>
        <w:t>MTU</w:t>
      </w:r>
      <w:r w:rsidR="00DE61F4" w:rsidRPr="00DE61F4">
        <w:t xml:space="preserve"> of the observatory period, </w:t>
      </w:r>
      <w:r w:rsidR="00444CB2">
        <w:t>t</w:t>
      </w:r>
      <w:r w:rsidR="00DE61F4" w:rsidRPr="00DE61F4">
        <w:t xml:space="preserve">he </w:t>
      </w:r>
      <w:r w:rsidR="00DF6590">
        <w:t>power flow</w:t>
      </w:r>
      <w:r w:rsidR="00DF6590" w:rsidRPr="00DE61F4">
        <w:t xml:space="preserve"> </w:t>
      </w:r>
      <w:r w:rsidR="00DE61F4" w:rsidRPr="00DE61F4">
        <w:t xml:space="preserve">on </w:t>
      </w:r>
      <w:r w:rsidR="00767803">
        <w:t>the</w:t>
      </w:r>
      <w:r w:rsidR="00DE61F4" w:rsidRPr="00DE61F4">
        <w:t xml:space="preserve"> </w:t>
      </w:r>
      <w:r w:rsidR="00444CB2">
        <w:t xml:space="preserve">north Greek borders and south Romanian </w:t>
      </w:r>
      <w:r w:rsidR="00DE61F4" w:rsidRPr="00DE61F4">
        <w:t>border</w:t>
      </w:r>
      <w:r w:rsidR="00825E13">
        <w:t>s</w:t>
      </w:r>
      <w:r w:rsidR="00DE61F4" w:rsidRPr="00DE61F4">
        <w:t xml:space="preserve">, as expected </w:t>
      </w:r>
      <w:r w:rsidR="00750588">
        <w:t xml:space="preserve">at the time of </w:t>
      </w:r>
      <w:r w:rsidR="00DE61F4" w:rsidRPr="00DE61F4">
        <w:t xml:space="preserve">capacity calculation is compared with the real time </w:t>
      </w:r>
      <w:r w:rsidR="00DF6590">
        <w:t>power flow</w:t>
      </w:r>
      <w:r w:rsidR="00DF6590" w:rsidRPr="00DE61F4">
        <w:t xml:space="preserve"> </w:t>
      </w:r>
      <w:r w:rsidR="00DE61F4" w:rsidRPr="00DE61F4">
        <w:t>observed on the same border</w:t>
      </w:r>
      <w:r w:rsidR="00825E13">
        <w:t>s</w:t>
      </w:r>
      <w:r w:rsidR="00DE61F4" w:rsidRPr="00DE61F4">
        <w:t xml:space="preserve">. All differences for all </w:t>
      </w:r>
      <w:r w:rsidR="00CA3512">
        <w:t>MTUs</w:t>
      </w:r>
      <w:r w:rsidR="00DE61F4" w:rsidRPr="00DE61F4">
        <w:t xml:space="preserve"> of a one-year observation period </w:t>
      </w:r>
      <w:r w:rsidR="003F37D8">
        <w:t>shall constitute the</w:t>
      </w:r>
      <w:r w:rsidR="00DE61F4" w:rsidRPr="00DE61F4">
        <w:t xml:space="preserve"> probability distribution</w:t>
      </w:r>
      <w:r w:rsidR="0089725A">
        <w:t xml:space="preserve"> function</w:t>
      </w:r>
      <w:r w:rsidR="00DE61F4" w:rsidRPr="00DE61F4">
        <w:t xml:space="preserve"> </w:t>
      </w:r>
      <w:r w:rsidR="003F37D8">
        <w:t xml:space="preserve">of deviations between the expected </w:t>
      </w:r>
      <w:r w:rsidR="00885B8E">
        <w:t xml:space="preserve">flows </w:t>
      </w:r>
      <w:r w:rsidR="003F37D8">
        <w:t xml:space="preserve">at the time of capacity calculation and realized </w:t>
      </w:r>
      <w:r w:rsidR="00885B8E">
        <w:t>flows</w:t>
      </w:r>
      <w:r w:rsidR="003F37D8">
        <w:t xml:space="preserve"> in real time. </w:t>
      </w:r>
      <w:r w:rsidR="00D96F2D">
        <w:rPr>
          <w:lang w:val="en-GB"/>
        </w:rPr>
        <w:t xml:space="preserve">The impact on the capacity shall </w:t>
      </w:r>
      <w:r w:rsidR="006D428B">
        <w:rPr>
          <w:lang w:val="en-GB"/>
        </w:rPr>
        <w:t>be defined with the following equation:</w:t>
      </w:r>
    </w:p>
    <w:p w14:paraId="0CBEADCF" w14:textId="77777777" w:rsidR="00444CB2" w:rsidRPr="00444CB2" w:rsidRDefault="00000000" w:rsidP="00444CB2">
      <w:pPr>
        <w:pStyle w:val="ListParagraph"/>
        <w:spacing w:line="276" w:lineRule="auto"/>
        <w:ind w:left="426" w:firstLine="0"/>
        <w:jc w:val="center"/>
        <w:rPr>
          <w:rFonts w:cs="Arial"/>
          <w:color w:val="000000"/>
          <w:szCs w:val="24"/>
        </w:rPr>
      </w:pPr>
      <m:oMathPara>
        <m:oMathParaPr>
          <m:jc m:val="center"/>
        </m:oMathParaPr>
        <m:oMath>
          <m:sSub>
            <m:sSubPr>
              <m:ctrlPr>
                <w:rPr>
                  <w:rFonts w:ascii="Cambria Math" w:eastAsia="Calibri" w:hAnsi="Cambria Math"/>
                  <w:i/>
                  <w:color w:val="000000"/>
                  <w:szCs w:val="24"/>
                </w:rPr>
              </m:ctrlPr>
            </m:sSubPr>
            <m:e>
              <m:r>
                <w:rPr>
                  <w:rFonts w:ascii="Cambria Math" w:eastAsia="Calibri" w:hAnsi="Cambria Math"/>
                  <w:color w:val="000000"/>
                  <w:szCs w:val="24"/>
                </w:rPr>
                <m:t>F</m:t>
              </m:r>
            </m:e>
            <m:sub>
              <m:r>
                <w:rPr>
                  <w:rFonts w:ascii="Cambria Math" w:eastAsia="Calibri" w:hAnsi="Cambria Math"/>
                  <w:color w:val="000000"/>
                  <w:szCs w:val="24"/>
                </w:rPr>
                <m:t>err</m:t>
              </m:r>
            </m:sub>
          </m:sSub>
          <m:r>
            <w:rPr>
              <w:rFonts w:ascii="Cambria Math" w:eastAsia="Calibri" w:hAnsi="Cambria Math"/>
              <w:color w:val="000000"/>
              <w:szCs w:val="24"/>
            </w:rPr>
            <m:t>=</m:t>
          </m:r>
          <m:sSub>
            <m:sSubPr>
              <m:ctrlPr>
                <w:rPr>
                  <w:rFonts w:ascii="Cambria Math" w:eastAsia="Calibri" w:hAnsi="Cambria Math"/>
                  <w:i/>
                  <w:color w:val="000000"/>
                  <w:szCs w:val="24"/>
                </w:rPr>
              </m:ctrlPr>
            </m:sSubPr>
            <m:e>
              <m:r>
                <w:rPr>
                  <w:rFonts w:ascii="Cambria Math" w:eastAsia="Calibri" w:hAnsi="Cambria Math"/>
                  <w:color w:val="000000"/>
                  <w:szCs w:val="24"/>
                </w:rPr>
                <m:t>F</m:t>
              </m:r>
            </m:e>
            <m:sub>
              <m:r>
                <w:rPr>
                  <w:rFonts w:ascii="Cambria Math" w:eastAsia="Calibri" w:hAnsi="Cambria Math"/>
                  <w:color w:val="000000"/>
                  <w:szCs w:val="24"/>
                </w:rPr>
                <m:t>real</m:t>
              </m:r>
            </m:sub>
          </m:sSub>
          <m:r>
            <w:rPr>
              <w:rFonts w:ascii="Cambria Math" w:eastAsia="Calibri" w:hAnsi="Cambria Math"/>
              <w:color w:val="000000"/>
              <w:szCs w:val="24"/>
            </w:rPr>
            <m:t>-</m:t>
          </m:r>
          <m:sSub>
            <m:sSubPr>
              <m:ctrlPr>
                <w:rPr>
                  <w:rFonts w:ascii="Cambria Math" w:eastAsia="Calibri" w:hAnsi="Cambria Math"/>
                  <w:i/>
                  <w:color w:val="000000"/>
                  <w:szCs w:val="24"/>
                </w:rPr>
              </m:ctrlPr>
            </m:sSubPr>
            <m:e>
              <m:r>
                <w:rPr>
                  <w:rFonts w:ascii="Cambria Math" w:eastAsia="Calibri" w:hAnsi="Cambria Math"/>
                  <w:color w:val="000000"/>
                  <w:szCs w:val="24"/>
                </w:rPr>
                <m:t>F</m:t>
              </m:r>
            </m:e>
            <m:sub>
              <m:r>
                <w:rPr>
                  <w:rFonts w:ascii="Cambria Math" w:eastAsia="Calibri" w:hAnsi="Cambria Math"/>
                  <w:color w:val="000000"/>
                  <w:szCs w:val="24"/>
                </w:rPr>
                <m:t>CGM</m:t>
              </m:r>
            </m:sub>
          </m:sSub>
        </m:oMath>
      </m:oMathPara>
    </w:p>
    <w:p w14:paraId="0A1EA922" w14:textId="77777777" w:rsidR="00444CB2" w:rsidRPr="00CE732E" w:rsidRDefault="00444CB2" w:rsidP="00444CB2">
      <w:pPr>
        <w:pStyle w:val="ListParagraph"/>
        <w:ind w:left="426" w:firstLine="0"/>
      </w:pPr>
      <w:r w:rsidRPr="00CE732E">
        <w:t>with</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6454"/>
      </w:tblGrid>
      <w:tr w:rsidR="00444CB2" w:rsidRPr="00CE732E" w14:paraId="207A4B72" w14:textId="77777777" w:rsidTr="00444CB2">
        <w:tc>
          <w:tcPr>
            <w:tcW w:w="1766" w:type="dxa"/>
          </w:tcPr>
          <w:p w14:paraId="554B230A" w14:textId="77777777" w:rsidR="00444CB2" w:rsidRPr="00CE732E" w:rsidRDefault="00000000" w:rsidP="00444CB2">
            <w:pPr>
              <w:widowControl w:val="0"/>
              <w:spacing w:line="276" w:lineRule="auto"/>
              <w:ind w:left="851" w:hanging="284"/>
              <w:rPr>
                <w:rFonts w:cs="Arial"/>
                <w:i/>
                <w:lang w:eastAsia="nl-NL"/>
              </w:rPr>
            </w:pPr>
            <m:oMathPara>
              <m:oMathParaPr>
                <m:jc m:val="left"/>
              </m:oMathParaPr>
              <m:oMath>
                <m:sSub>
                  <m:sSubPr>
                    <m:ctrlPr>
                      <w:rPr>
                        <w:rFonts w:ascii="Cambria Math" w:eastAsia="Calibri" w:hAnsi="Cambria Math"/>
                        <w:i/>
                        <w:color w:val="000000"/>
                        <w:szCs w:val="24"/>
                      </w:rPr>
                    </m:ctrlPr>
                  </m:sSubPr>
                  <m:e>
                    <m:r>
                      <w:rPr>
                        <w:rFonts w:ascii="Cambria Math" w:eastAsia="Calibri" w:hAnsi="Cambria Math"/>
                        <w:color w:val="000000"/>
                        <w:szCs w:val="24"/>
                      </w:rPr>
                      <m:t>F</m:t>
                    </m:r>
                  </m:e>
                  <m:sub>
                    <m:r>
                      <w:rPr>
                        <w:rFonts w:ascii="Cambria Math" w:eastAsia="Calibri" w:hAnsi="Cambria Math"/>
                        <w:color w:val="000000"/>
                        <w:szCs w:val="24"/>
                      </w:rPr>
                      <m:t>err</m:t>
                    </m:r>
                  </m:sub>
                </m:sSub>
              </m:oMath>
            </m:oMathPara>
          </w:p>
        </w:tc>
        <w:tc>
          <w:tcPr>
            <w:tcW w:w="6454" w:type="dxa"/>
          </w:tcPr>
          <w:p w14:paraId="3E8C1E7C" w14:textId="77777777" w:rsidR="00444CB2" w:rsidRPr="00CE732E" w:rsidRDefault="00444CB2" w:rsidP="00444CB2">
            <w:pPr>
              <w:widowControl w:val="0"/>
              <w:spacing w:line="276" w:lineRule="auto"/>
              <w:ind w:left="851" w:hanging="284"/>
              <w:rPr>
                <w:rFonts w:cs="Arial"/>
              </w:rPr>
            </w:pPr>
            <w:r w:rsidRPr="00CE732E">
              <w:rPr>
                <w:rFonts w:cs="Arial"/>
              </w:rPr>
              <w:t xml:space="preserve">Active power flow error due to </w:t>
            </w:r>
            <w:r w:rsidRPr="00CE732E">
              <w:rPr>
                <w:rFonts w:cs="Arial"/>
                <w:i/>
              </w:rPr>
              <w:t>UD</w:t>
            </w:r>
            <w:r w:rsidRPr="00CE732E">
              <w:rPr>
                <w:rFonts w:cs="Arial"/>
              </w:rPr>
              <w:t xml:space="preserve"> and </w:t>
            </w:r>
            <w:r w:rsidRPr="00CE732E">
              <w:rPr>
                <w:rFonts w:cs="Arial"/>
                <w:i/>
              </w:rPr>
              <w:t>UN</w:t>
            </w:r>
            <w:r w:rsidRPr="00CE732E">
              <w:rPr>
                <w:rFonts w:cs="Arial"/>
              </w:rPr>
              <w:t>;</w:t>
            </w:r>
          </w:p>
        </w:tc>
      </w:tr>
      <w:tr w:rsidR="00444CB2" w:rsidRPr="00CE732E" w14:paraId="066BC27D" w14:textId="77777777" w:rsidTr="00444CB2">
        <w:tc>
          <w:tcPr>
            <w:tcW w:w="1766" w:type="dxa"/>
            <w:hideMark/>
          </w:tcPr>
          <w:p w14:paraId="0EAD2A6F" w14:textId="77777777" w:rsidR="00444CB2" w:rsidRPr="00CE732E" w:rsidRDefault="00000000" w:rsidP="00444CB2">
            <w:pPr>
              <w:widowControl w:val="0"/>
              <w:spacing w:line="276" w:lineRule="auto"/>
              <w:ind w:left="851" w:hanging="284"/>
              <w:rPr>
                <w:rFonts w:cs="Arial"/>
                <w:i/>
              </w:rPr>
            </w:pPr>
            <m:oMathPara>
              <m:oMathParaPr>
                <m:jc m:val="left"/>
              </m:oMathParaPr>
              <m:oMath>
                <m:sSub>
                  <m:sSubPr>
                    <m:ctrlPr>
                      <w:rPr>
                        <w:rFonts w:ascii="Cambria Math" w:eastAsia="Calibri" w:hAnsi="Cambria Math"/>
                        <w:color w:val="000000"/>
                        <w:szCs w:val="24"/>
                      </w:rPr>
                    </m:ctrlPr>
                  </m:sSubPr>
                  <m:e>
                    <m:r>
                      <w:rPr>
                        <w:rFonts w:ascii="Cambria Math" w:eastAsia="Calibri" w:hAnsi="Cambria Math"/>
                        <w:color w:val="000000"/>
                        <w:szCs w:val="24"/>
                      </w:rPr>
                      <m:t>F</m:t>
                    </m:r>
                  </m:e>
                  <m:sub>
                    <m:r>
                      <w:rPr>
                        <w:rFonts w:ascii="Cambria Math" w:eastAsia="Calibri" w:hAnsi="Cambria Math"/>
                        <w:color w:val="000000"/>
                        <w:szCs w:val="24"/>
                      </w:rPr>
                      <m:t>real</m:t>
                    </m:r>
                  </m:sub>
                </m:sSub>
              </m:oMath>
            </m:oMathPara>
          </w:p>
        </w:tc>
        <w:tc>
          <w:tcPr>
            <w:tcW w:w="6454" w:type="dxa"/>
            <w:hideMark/>
          </w:tcPr>
          <w:p w14:paraId="2441ABE2" w14:textId="77777777" w:rsidR="00444CB2" w:rsidRPr="00CE732E" w:rsidRDefault="00444CB2" w:rsidP="00444CB2">
            <w:pPr>
              <w:widowControl w:val="0"/>
              <w:spacing w:line="276" w:lineRule="auto"/>
              <w:ind w:left="851" w:hanging="284"/>
              <w:rPr>
                <w:rFonts w:cs="Arial"/>
              </w:rPr>
            </w:pPr>
            <w:r w:rsidRPr="00CE732E">
              <w:rPr>
                <w:rFonts w:cs="Arial"/>
              </w:rPr>
              <w:t>Active power flow through the border in real time;</w:t>
            </w:r>
          </w:p>
        </w:tc>
      </w:tr>
      <w:tr w:rsidR="00444CB2" w:rsidRPr="00CE732E" w14:paraId="26762EF4" w14:textId="77777777" w:rsidTr="00444CB2">
        <w:tc>
          <w:tcPr>
            <w:tcW w:w="1766" w:type="dxa"/>
          </w:tcPr>
          <w:p w14:paraId="6F10F087" w14:textId="77777777" w:rsidR="00444CB2" w:rsidRPr="00CE732E" w:rsidRDefault="00444CB2" w:rsidP="00444CB2">
            <w:pPr>
              <w:widowControl w:val="0"/>
              <w:spacing w:line="276" w:lineRule="auto"/>
              <w:ind w:left="851" w:hanging="284"/>
              <w:jc w:val="both"/>
              <w:rPr>
                <w:color w:val="000000"/>
                <w:szCs w:val="24"/>
              </w:rPr>
            </w:pPr>
            <w:r w:rsidRPr="00CE732E">
              <w:rPr>
                <w:color w:val="000000"/>
                <w:szCs w:val="24"/>
              </w:rPr>
              <w:t xml:space="preserve">     </w:t>
            </w:r>
            <m:oMath>
              <m:sSub>
                <m:sSubPr>
                  <m:ctrlPr>
                    <w:rPr>
                      <w:rFonts w:ascii="Cambria Math" w:eastAsia="Calibri" w:hAnsi="Cambria Math"/>
                      <w:color w:val="000000"/>
                      <w:szCs w:val="24"/>
                    </w:rPr>
                  </m:ctrlPr>
                </m:sSubPr>
                <m:e>
                  <m:r>
                    <w:rPr>
                      <w:rFonts w:ascii="Cambria Math" w:eastAsia="Calibri" w:hAnsi="Cambria Math"/>
                      <w:color w:val="000000"/>
                      <w:szCs w:val="24"/>
                    </w:rPr>
                    <m:t>F</m:t>
                  </m:r>
                </m:e>
                <m:sub>
                  <m:r>
                    <w:rPr>
                      <w:rFonts w:ascii="Cambria Math" w:eastAsia="Calibri" w:hAnsi="Cambria Math"/>
                      <w:color w:val="000000"/>
                      <w:szCs w:val="24"/>
                    </w:rPr>
                    <m:t>CGM</m:t>
                  </m:r>
                </m:sub>
              </m:sSub>
            </m:oMath>
          </w:p>
        </w:tc>
        <w:tc>
          <w:tcPr>
            <w:tcW w:w="6454" w:type="dxa"/>
          </w:tcPr>
          <w:p w14:paraId="77E850F1" w14:textId="77777777" w:rsidR="00444CB2" w:rsidRPr="00CE732E" w:rsidRDefault="00444CB2" w:rsidP="00444CB2">
            <w:pPr>
              <w:widowControl w:val="0"/>
              <w:spacing w:line="276" w:lineRule="auto"/>
              <w:ind w:left="851" w:hanging="284"/>
              <w:rPr>
                <w:rFonts w:cs="Arial"/>
              </w:rPr>
            </w:pPr>
            <w:r w:rsidRPr="00CE732E">
              <w:rPr>
                <w:rFonts w:cs="Arial"/>
              </w:rPr>
              <w:t>Active power flow through the border in the relevant CGM;</w:t>
            </w:r>
          </w:p>
        </w:tc>
      </w:tr>
    </w:tbl>
    <w:p w14:paraId="6653FB85" w14:textId="725D0DA1" w:rsidR="00DE61F4" w:rsidRDefault="00DE61F4" w:rsidP="00575973">
      <w:pPr>
        <w:pStyle w:val="BodyText"/>
        <w:numPr>
          <w:ilvl w:val="0"/>
          <w:numId w:val="67"/>
        </w:numPr>
        <w:spacing w:line="276" w:lineRule="auto"/>
        <w:ind w:left="851" w:right="102" w:hanging="284"/>
        <w:jc w:val="both"/>
      </w:pPr>
      <w:r w:rsidRPr="00DE61F4">
        <w:t xml:space="preserve">in a second step and in accordance with Article 22(3) of the CACM Regulation the </w:t>
      </w:r>
      <w:r w:rsidR="00444318">
        <w:t>95</w:t>
      </w:r>
      <w:r w:rsidRPr="00DE61F4">
        <w:t xml:space="preserve">th percentiles of the probability distributions for the </w:t>
      </w:r>
      <w:r w:rsidR="00363582">
        <w:t>north Greek borders and south Romanian borders</w:t>
      </w:r>
      <w:r w:rsidRPr="00DE61F4">
        <w:t xml:space="preserve"> </w:t>
      </w:r>
      <w:r w:rsidR="003F37D8">
        <w:t>shall be</w:t>
      </w:r>
      <w:r w:rsidR="003F37D8" w:rsidRPr="00DE61F4">
        <w:t xml:space="preserve"> </w:t>
      </w:r>
      <w:r w:rsidRPr="00DE61F4">
        <w:t xml:space="preserve">calculated. </w:t>
      </w:r>
      <w:r w:rsidRPr="00DE61F4" w:rsidDel="00856BBB">
        <w:t xml:space="preserve">This means that the TSOs apply a common risk level of </w:t>
      </w:r>
      <w:r w:rsidR="00063DC9" w:rsidDel="00856BBB">
        <w:t>5</w:t>
      </w:r>
      <w:r w:rsidRPr="00DE61F4" w:rsidDel="00856BBB">
        <w:t xml:space="preserve">% </w:t>
      </w:r>
      <w:r w:rsidR="003F37D8" w:rsidDel="00856BBB">
        <w:t xml:space="preserve">and </w:t>
      </w:r>
      <w:r w:rsidR="00160472" w:rsidDel="00856BBB">
        <w:t>thereby</w:t>
      </w:r>
      <w:r w:rsidRPr="00DE61F4" w:rsidDel="00856BBB">
        <w:t xml:space="preserve"> the RM values cover </w:t>
      </w:r>
      <w:r w:rsidR="00063DC9" w:rsidRPr="00DE61F4" w:rsidDel="00856BBB">
        <w:t>9</w:t>
      </w:r>
      <w:r w:rsidR="00063DC9" w:rsidDel="00856BBB">
        <w:t>5</w:t>
      </w:r>
      <w:r w:rsidRPr="00DE61F4" w:rsidDel="00856BBB">
        <w:t xml:space="preserve">% of the historical </w:t>
      </w:r>
      <w:r w:rsidR="003F37D8" w:rsidDel="00856BBB">
        <w:t xml:space="preserve">forecast </w:t>
      </w:r>
      <w:r w:rsidRPr="00DE61F4" w:rsidDel="00856BBB">
        <w:t>errors</w:t>
      </w:r>
      <w:r w:rsidR="003F37D8" w:rsidDel="00856BBB">
        <w:t xml:space="preserve"> within the observation period</w:t>
      </w:r>
      <w:r w:rsidR="00F001D6" w:rsidDel="00856BBB">
        <w:t xml:space="preserve">. </w:t>
      </w:r>
    </w:p>
    <w:p w14:paraId="3EE50E02" w14:textId="54502D6D" w:rsidR="00DE61F4" w:rsidRDefault="00DE61F4" w:rsidP="00575973">
      <w:pPr>
        <w:pStyle w:val="BodyText"/>
        <w:numPr>
          <w:ilvl w:val="0"/>
          <w:numId w:val="67"/>
        </w:numPr>
        <w:spacing w:after="200" w:line="276" w:lineRule="auto"/>
        <w:ind w:left="851" w:right="102" w:hanging="284"/>
        <w:jc w:val="both"/>
      </w:pPr>
      <w:r w:rsidRPr="00DE61F4">
        <w:t xml:space="preserve">a possible third step </w:t>
      </w:r>
      <w:r w:rsidR="00AF1F30">
        <w:t xml:space="preserve">could be </w:t>
      </w:r>
      <w:r w:rsidRPr="00DE61F4">
        <w:t xml:space="preserve">to undertake an operational adjustment on the values derived previously, </w:t>
      </w:r>
      <w:r w:rsidR="00AE6FB3">
        <w:t xml:space="preserve">by modifying </w:t>
      </w:r>
      <w:r w:rsidRPr="00DE61F4">
        <w:t xml:space="preserve">the computed RM values to a value within the range </w:t>
      </w:r>
      <w:r w:rsidR="00AE6FB3">
        <w:t>which will retain system security</w:t>
      </w:r>
      <w:r w:rsidR="00203D8F">
        <w:t xml:space="preserve"> </w:t>
      </w:r>
      <w:r w:rsidRPr="00DE61F4">
        <w:t xml:space="preserve">between </w:t>
      </w:r>
      <w:r w:rsidR="00063DC9">
        <w:t>1</w:t>
      </w:r>
      <w:r w:rsidRPr="00DE61F4">
        <w:t>% and 20% of the TTC calculated under normal weather conditions.</w:t>
      </w:r>
    </w:p>
    <w:p w14:paraId="3B212B77" w14:textId="5B065BC6" w:rsidR="00F001D6" w:rsidRDefault="00B4248A" w:rsidP="00D0161F">
      <w:pPr>
        <w:pStyle w:val="BodyText"/>
        <w:numPr>
          <w:ilvl w:val="0"/>
          <w:numId w:val="20"/>
        </w:numPr>
        <w:spacing w:after="200" w:line="276" w:lineRule="auto"/>
        <w:ind w:left="426" w:right="102" w:hanging="426"/>
        <w:jc w:val="both"/>
      </w:pPr>
      <w:r>
        <w:rPr>
          <w:lang w:val="en-GB"/>
        </w:rPr>
        <w:t xml:space="preserve">The </w:t>
      </w:r>
      <w:r w:rsidR="00F001D6">
        <w:rPr>
          <w:lang w:val="en-GB"/>
        </w:rPr>
        <w:t>TSOs</w:t>
      </w:r>
      <w:r w:rsidR="00086F6E">
        <w:rPr>
          <w:lang w:val="en-GB"/>
        </w:rPr>
        <w:t xml:space="preserve"> </w:t>
      </w:r>
      <w:r w:rsidR="00086F6E" w:rsidRPr="000A604D">
        <w:t xml:space="preserve">of the </w:t>
      </w:r>
      <w:r w:rsidR="00086F6E">
        <w:t>SEE</w:t>
      </w:r>
      <w:r w:rsidR="00086F6E" w:rsidRPr="000A604D">
        <w:t xml:space="preserve"> CCR</w:t>
      </w:r>
      <w:r w:rsidR="00F001D6">
        <w:rPr>
          <w:lang w:val="en-GB"/>
        </w:rPr>
        <w:t xml:space="preserve"> s</w:t>
      </w:r>
      <w:r w:rsidR="00F001D6" w:rsidRPr="007339D0">
        <w:rPr>
          <w:lang w:val="en-GB"/>
        </w:rPr>
        <w:t>h</w:t>
      </w:r>
      <w:r w:rsidR="00F001D6">
        <w:rPr>
          <w:lang w:val="en-GB"/>
        </w:rPr>
        <w:t>all store</w:t>
      </w:r>
      <w:r w:rsidR="00F001D6" w:rsidRPr="007339D0">
        <w:rPr>
          <w:lang w:val="en-GB"/>
        </w:rPr>
        <w:t xml:space="preserve"> </w:t>
      </w:r>
      <w:r w:rsidR="0018589F">
        <w:rPr>
          <w:lang w:val="en-GB"/>
        </w:rPr>
        <w:t xml:space="preserve">for an unlimited period of time </w:t>
      </w:r>
      <w:r w:rsidR="00F001D6" w:rsidRPr="007339D0">
        <w:rPr>
          <w:lang w:val="en-GB"/>
        </w:rPr>
        <w:t xml:space="preserve">the differences between the realized and expected </w:t>
      </w:r>
      <w:r w:rsidR="00F667CF">
        <w:rPr>
          <w:lang w:val="en-GB"/>
        </w:rPr>
        <w:t xml:space="preserve">SEE CCR </w:t>
      </w:r>
      <w:r w:rsidR="00997646">
        <w:rPr>
          <w:lang w:val="en-GB"/>
        </w:rPr>
        <w:t xml:space="preserve">power flow </w:t>
      </w:r>
      <w:r w:rsidR="00F001D6">
        <w:rPr>
          <w:lang w:val="en-GB"/>
        </w:rPr>
        <w:t>in</w:t>
      </w:r>
      <w:r w:rsidR="00F667CF">
        <w:rPr>
          <w:lang w:val="en-GB"/>
        </w:rPr>
        <w:t xml:space="preserve"> a</w:t>
      </w:r>
      <w:r w:rsidR="00F001D6">
        <w:rPr>
          <w:lang w:val="en-GB"/>
        </w:rPr>
        <w:t xml:space="preserve"> </w:t>
      </w:r>
      <w:r w:rsidR="007F5316">
        <w:rPr>
          <w:lang w:val="en-GB"/>
        </w:rPr>
        <w:t>database</w:t>
      </w:r>
      <w:r w:rsidR="00F001D6">
        <w:rPr>
          <w:lang w:val="en-GB"/>
        </w:rPr>
        <w:t xml:space="preserve"> for</w:t>
      </w:r>
      <w:r w:rsidR="00F001D6" w:rsidRPr="007339D0">
        <w:rPr>
          <w:lang w:val="en-GB"/>
        </w:rPr>
        <w:t xml:space="preserve"> statistical analyses</w:t>
      </w:r>
      <w:r w:rsidR="00F001D6">
        <w:rPr>
          <w:lang w:val="en-GB"/>
        </w:rPr>
        <w:t xml:space="preserve">. </w:t>
      </w:r>
      <w:r>
        <w:rPr>
          <w:lang w:val="en-GB"/>
        </w:rPr>
        <w:t>T</w:t>
      </w:r>
      <w:r w:rsidR="00F667CF">
        <w:rPr>
          <w:lang w:val="en-GB"/>
        </w:rPr>
        <w:t xml:space="preserve">he </w:t>
      </w:r>
      <w:r w:rsidR="00F001D6">
        <w:rPr>
          <w:lang w:val="en-GB"/>
        </w:rPr>
        <w:t>probability distribution</w:t>
      </w:r>
      <w:r w:rsidR="00997646">
        <w:rPr>
          <w:lang w:val="en-GB"/>
        </w:rPr>
        <w:t xml:space="preserve"> function</w:t>
      </w:r>
      <w:r w:rsidR="00F001D6">
        <w:rPr>
          <w:lang w:val="en-GB"/>
        </w:rPr>
        <w:t xml:space="preserve"> and </w:t>
      </w:r>
      <w:r w:rsidR="00F001D6" w:rsidRPr="007339D0">
        <w:rPr>
          <w:lang w:val="en-GB"/>
        </w:rPr>
        <w:t>reliability margin va</w:t>
      </w:r>
      <w:r w:rsidR="00F001D6">
        <w:rPr>
          <w:lang w:val="en-GB"/>
        </w:rPr>
        <w:t xml:space="preserve">lues </w:t>
      </w:r>
      <w:r>
        <w:rPr>
          <w:lang w:val="en-GB"/>
        </w:rPr>
        <w:t>shall be stored</w:t>
      </w:r>
      <w:r w:rsidR="0018589F">
        <w:rPr>
          <w:lang w:val="en-GB"/>
        </w:rPr>
        <w:t xml:space="preserve"> for an unlimited period of time</w:t>
      </w:r>
      <w:r>
        <w:rPr>
          <w:lang w:val="en-GB"/>
        </w:rPr>
        <w:t xml:space="preserve"> </w:t>
      </w:r>
      <w:r w:rsidR="00F001D6">
        <w:rPr>
          <w:lang w:val="en-GB"/>
        </w:rPr>
        <w:t xml:space="preserve">for further evaluation. </w:t>
      </w:r>
    </w:p>
    <w:p w14:paraId="4018C258" w14:textId="62F63F2F" w:rsidR="00475995" w:rsidRDefault="00475995" w:rsidP="00D0161F">
      <w:pPr>
        <w:pStyle w:val="BodyText"/>
        <w:numPr>
          <w:ilvl w:val="0"/>
          <w:numId w:val="20"/>
        </w:numPr>
        <w:spacing w:after="200" w:line="276" w:lineRule="auto"/>
        <w:ind w:left="426" w:right="102" w:hanging="426"/>
        <w:jc w:val="both"/>
      </w:pPr>
      <w:r w:rsidRPr="00475995">
        <w:t>The RM values shall be updated every year</w:t>
      </w:r>
      <w:r w:rsidR="00063DC9">
        <w:t xml:space="preserve"> (including the risk level)</w:t>
      </w:r>
      <w:r w:rsidRPr="00475995">
        <w:t xml:space="preserve"> </w:t>
      </w:r>
      <w:r w:rsidR="00FD3A96">
        <w:t xml:space="preserve">in accordance with Article 15, </w:t>
      </w:r>
      <w:r w:rsidRPr="00475995">
        <w:t xml:space="preserve">based upon an observatory period of one year such that seasonal effects can be reflected in the values. The </w:t>
      </w:r>
      <w:r w:rsidRPr="00FE216F">
        <w:rPr>
          <w:i/>
        </w:rPr>
        <w:t>RM</w:t>
      </w:r>
      <w:r w:rsidR="00FE216F" w:rsidRPr="00FE216F">
        <w:rPr>
          <w:i/>
        </w:rPr>
        <w:t>s</w:t>
      </w:r>
      <w:r w:rsidRPr="00475995">
        <w:t xml:space="preserve"> values remain fixed until the next update.</w:t>
      </w:r>
      <w:r w:rsidR="00AD6A6B">
        <w:t xml:space="preserve"> </w:t>
      </w:r>
    </w:p>
    <w:p w14:paraId="4ED42865" w14:textId="69C682B6" w:rsidR="00475995" w:rsidRDefault="00475995" w:rsidP="00DF05D6">
      <w:pPr>
        <w:pStyle w:val="ListParagraph"/>
        <w:widowControl/>
        <w:numPr>
          <w:ilvl w:val="0"/>
          <w:numId w:val="20"/>
        </w:numPr>
        <w:spacing w:after="200" w:line="312" w:lineRule="auto"/>
        <w:ind w:left="426" w:right="95" w:hanging="426"/>
      </w:pPr>
      <w:r w:rsidRPr="00475995">
        <w:t>For the day-ahead co</w:t>
      </w:r>
      <w:r>
        <w:t xml:space="preserve">mmon capacity calculation, the </w:t>
      </w:r>
      <w:r w:rsidRPr="00033694">
        <w:rPr>
          <w:i/>
        </w:rPr>
        <w:t>RM</w:t>
      </w:r>
      <w:r w:rsidR="00033694">
        <w:rPr>
          <w:i/>
        </w:rPr>
        <w:t>s</w:t>
      </w:r>
      <w:r w:rsidRPr="00475995">
        <w:t xml:space="preserve"> </w:t>
      </w:r>
      <w:r>
        <w:t xml:space="preserve">for the </w:t>
      </w:r>
      <w:r w:rsidR="00363582">
        <w:rPr>
          <w:iCs/>
        </w:rPr>
        <w:t>n</w:t>
      </w:r>
      <w:r w:rsidR="00363582" w:rsidRPr="00CE732E">
        <w:rPr>
          <w:iCs/>
        </w:rPr>
        <w:t xml:space="preserve">orth Greek </w:t>
      </w:r>
      <w:r w:rsidR="00363582">
        <w:rPr>
          <w:iCs/>
        </w:rPr>
        <w:t>b</w:t>
      </w:r>
      <w:r w:rsidR="00363582" w:rsidRPr="00CE732E">
        <w:rPr>
          <w:iCs/>
        </w:rPr>
        <w:t>orders</w:t>
      </w:r>
      <w:r w:rsidR="00363582" w:rsidRPr="00CE732E">
        <w:t xml:space="preserve"> </w:t>
      </w:r>
      <w:r w:rsidR="00363582">
        <w:t>and south Romanian borders</w:t>
      </w:r>
      <w:r w:rsidRPr="00475995">
        <w:t xml:space="preserve"> shall be implemented 3 months after collecting 1 year of data since the day-ahead </w:t>
      </w:r>
      <w:r w:rsidR="00585548">
        <w:t>capacity calculation</w:t>
      </w:r>
      <w:r w:rsidRPr="00475995">
        <w:t xml:space="preserve"> go-live.</w:t>
      </w:r>
    </w:p>
    <w:p w14:paraId="2CED353D" w14:textId="451E6D17" w:rsidR="00585548" w:rsidRPr="00475995" w:rsidRDefault="00585548" w:rsidP="00DF05D6">
      <w:pPr>
        <w:pStyle w:val="ListParagraph"/>
        <w:widowControl/>
        <w:numPr>
          <w:ilvl w:val="0"/>
          <w:numId w:val="20"/>
        </w:numPr>
        <w:spacing w:after="200" w:line="312" w:lineRule="auto"/>
        <w:ind w:left="426" w:right="95" w:hanging="426"/>
      </w:pPr>
      <w:r w:rsidRPr="00475995">
        <w:t xml:space="preserve">For the </w:t>
      </w:r>
      <w:r>
        <w:t>intraday</w:t>
      </w:r>
      <w:r w:rsidRPr="00475995">
        <w:t xml:space="preserve"> co</w:t>
      </w:r>
      <w:r>
        <w:t xml:space="preserve">mmon capacity calculation, the </w:t>
      </w:r>
      <w:r w:rsidRPr="00033694">
        <w:rPr>
          <w:i/>
        </w:rPr>
        <w:t>RM</w:t>
      </w:r>
      <w:r w:rsidR="00033694">
        <w:rPr>
          <w:i/>
        </w:rPr>
        <w:t>s</w:t>
      </w:r>
      <w:r w:rsidRPr="00475995">
        <w:t xml:space="preserve"> </w:t>
      </w:r>
      <w:r>
        <w:t xml:space="preserve">for the </w:t>
      </w:r>
      <w:r w:rsidR="00363582">
        <w:rPr>
          <w:iCs/>
        </w:rPr>
        <w:t>n</w:t>
      </w:r>
      <w:r w:rsidR="00363582" w:rsidRPr="00CE732E">
        <w:rPr>
          <w:iCs/>
        </w:rPr>
        <w:t xml:space="preserve">orth Greek </w:t>
      </w:r>
      <w:r w:rsidR="00363582">
        <w:rPr>
          <w:iCs/>
        </w:rPr>
        <w:t>b</w:t>
      </w:r>
      <w:r w:rsidR="00363582" w:rsidRPr="00CE732E">
        <w:rPr>
          <w:iCs/>
        </w:rPr>
        <w:t>orders</w:t>
      </w:r>
      <w:r w:rsidR="00363582" w:rsidRPr="00CE732E">
        <w:t xml:space="preserve"> </w:t>
      </w:r>
      <w:r w:rsidR="00363582">
        <w:t>and south Romanian borders</w:t>
      </w:r>
      <w:r w:rsidRPr="00475995">
        <w:t xml:space="preserve"> shall be implemented 3 months after collecting 1 year of data since the </w:t>
      </w:r>
      <w:r>
        <w:t>intraday</w:t>
      </w:r>
      <w:r w:rsidRPr="00475995">
        <w:t xml:space="preserve"> </w:t>
      </w:r>
      <w:r>
        <w:t>capacity calculation</w:t>
      </w:r>
      <w:r w:rsidRPr="00475995">
        <w:t xml:space="preserve"> go-live.</w:t>
      </w:r>
    </w:p>
    <w:p w14:paraId="0F3881CA" w14:textId="495CCF26" w:rsidR="00475995" w:rsidRPr="00475995" w:rsidRDefault="00475995" w:rsidP="00D0161F">
      <w:pPr>
        <w:pStyle w:val="BodyText"/>
        <w:numPr>
          <w:ilvl w:val="0"/>
          <w:numId w:val="20"/>
        </w:numPr>
        <w:spacing w:line="276" w:lineRule="auto"/>
        <w:ind w:left="426" w:right="102" w:hanging="426"/>
        <w:jc w:val="both"/>
      </w:pPr>
      <w:r w:rsidRPr="00475995">
        <w:t xml:space="preserve">Before the first operational calculation of the </w:t>
      </w:r>
      <w:r w:rsidRPr="00FE216F">
        <w:rPr>
          <w:i/>
        </w:rPr>
        <w:t>RM</w:t>
      </w:r>
      <w:r w:rsidR="00033694" w:rsidRPr="00FE216F">
        <w:rPr>
          <w:i/>
        </w:rPr>
        <w:t>s</w:t>
      </w:r>
      <w:r w:rsidRPr="00475995">
        <w:t xml:space="preserve"> values, </w:t>
      </w:r>
      <w:r w:rsidR="00E14824">
        <w:t>SEE CCR</w:t>
      </w:r>
      <w:r w:rsidRPr="00475995">
        <w:t xml:space="preserve"> TSOs shall use the RM values already in operation in </w:t>
      </w:r>
      <w:r w:rsidR="00585548">
        <w:t xml:space="preserve">the </w:t>
      </w:r>
      <w:r w:rsidRPr="00475995">
        <w:t xml:space="preserve">existing capacity calculation </w:t>
      </w:r>
      <w:r w:rsidR="00033694">
        <w:t>initiatives</w:t>
      </w:r>
      <w:r w:rsidRPr="00475995">
        <w:t xml:space="preserve">. </w:t>
      </w:r>
      <w:r w:rsidR="00363582" w:rsidRPr="00CE732E">
        <w:t xml:space="preserve">The </w:t>
      </w:r>
      <w:r w:rsidR="00363582" w:rsidRPr="00CE732E">
        <w:rPr>
          <w:i/>
        </w:rPr>
        <w:t xml:space="preserve">RMs </w:t>
      </w:r>
      <w:r w:rsidR="00363582" w:rsidRPr="00CE732E">
        <w:t xml:space="preserve">before the first operational calculation for </w:t>
      </w:r>
      <w:r w:rsidR="00363582" w:rsidRPr="00CE732E">
        <w:lastRenderedPageBreak/>
        <w:t xml:space="preserve">the </w:t>
      </w:r>
      <w:r w:rsidR="00363582">
        <w:rPr>
          <w:iCs/>
        </w:rPr>
        <w:t>n</w:t>
      </w:r>
      <w:r w:rsidR="00363582" w:rsidRPr="00CE732E">
        <w:rPr>
          <w:iCs/>
        </w:rPr>
        <w:t xml:space="preserve">orth Greek </w:t>
      </w:r>
      <w:r w:rsidR="00363582">
        <w:rPr>
          <w:iCs/>
        </w:rPr>
        <w:t>b</w:t>
      </w:r>
      <w:r w:rsidR="00363582" w:rsidRPr="00CE732E">
        <w:rPr>
          <w:iCs/>
        </w:rPr>
        <w:t>orders</w:t>
      </w:r>
      <w:r w:rsidR="00363582" w:rsidRPr="00CE732E">
        <w:t xml:space="preserve"> shall be </w:t>
      </w:r>
      <w:r w:rsidR="00363582">
        <w:t>4</w:t>
      </w:r>
      <w:r w:rsidR="00363582" w:rsidRPr="00CE732E">
        <w:t>00 MW for each direction</w:t>
      </w:r>
      <w:r w:rsidR="00363582">
        <w:t xml:space="preserve"> and for the south Romanian borders shall be 200 MW for each direction</w:t>
      </w:r>
      <w:r w:rsidR="00363582" w:rsidRPr="00CE732E">
        <w:t>.</w:t>
      </w:r>
    </w:p>
    <w:p w14:paraId="339F8281" w14:textId="77777777" w:rsidR="002141FC" w:rsidRDefault="002141FC" w:rsidP="00457547">
      <w:pPr>
        <w:pStyle w:val="Title1"/>
      </w:pPr>
    </w:p>
    <w:p w14:paraId="2E60577B" w14:textId="77777777" w:rsidR="002A72C5" w:rsidRDefault="007F2107" w:rsidP="008A255B">
      <w:pPr>
        <w:pStyle w:val="Title1"/>
        <w:spacing w:line="276" w:lineRule="auto"/>
      </w:pPr>
      <w:r>
        <w:t>Article 7</w:t>
      </w:r>
    </w:p>
    <w:p w14:paraId="4108C30B" w14:textId="4DE08877" w:rsidR="002A72C5" w:rsidRDefault="007F2107" w:rsidP="008A255B">
      <w:pPr>
        <w:pStyle w:val="Title1"/>
        <w:spacing w:line="276" w:lineRule="auto"/>
      </w:pPr>
      <w:r>
        <w:t>Methodologies for operational security limits</w:t>
      </w:r>
      <w:r w:rsidR="00427500">
        <w:t>,</w:t>
      </w:r>
      <w:r w:rsidR="00B33EB9">
        <w:t xml:space="preserve"> </w:t>
      </w:r>
      <w:r>
        <w:t xml:space="preserve">contingencies </w:t>
      </w:r>
      <w:r w:rsidR="005556F3">
        <w:t>and allocation constraints</w:t>
      </w:r>
    </w:p>
    <w:p w14:paraId="3E3C22EA" w14:textId="77777777" w:rsidR="0056630F" w:rsidRPr="00CB7914" w:rsidRDefault="0056630F" w:rsidP="008A255B">
      <w:pPr>
        <w:pStyle w:val="ListParagraph"/>
        <w:spacing w:line="276" w:lineRule="auto"/>
      </w:pPr>
    </w:p>
    <w:p w14:paraId="699006B8" w14:textId="0F9B0869" w:rsidR="008A6480" w:rsidRPr="005556F3" w:rsidRDefault="00E70BCD" w:rsidP="008A255B">
      <w:pPr>
        <w:pStyle w:val="ListParagraph"/>
        <w:widowControl/>
        <w:numPr>
          <w:ilvl w:val="0"/>
          <w:numId w:val="34"/>
        </w:numPr>
        <w:spacing w:after="200" w:line="276" w:lineRule="auto"/>
        <w:ind w:left="425" w:right="0" w:hanging="357"/>
        <w:rPr>
          <w:rFonts w:cs="Arial"/>
        </w:rPr>
      </w:pPr>
      <w:r>
        <w:rPr>
          <w:rFonts w:cs="Arial"/>
        </w:rPr>
        <w:t>Each TSO</w:t>
      </w:r>
      <w:r w:rsidR="00086F6E">
        <w:rPr>
          <w:rFonts w:cs="Arial"/>
        </w:rPr>
        <w:t xml:space="preserve"> of the SEE CCR</w:t>
      </w:r>
      <w:r w:rsidR="008A6480" w:rsidRPr="005556F3">
        <w:rPr>
          <w:rFonts w:cs="Arial"/>
        </w:rPr>
        <w:t xml:space="preserve"> shall </w:t>
      </w:r>
      <w:r w:rsidR="00086F6E">
        <w:rPr>
          <w:rFonts w:cs="Arial"/>
        </w:rPr>
        <w:t>define</w:t>
      </w:r>
      <w:r w:rsidR="00086F6E" w:rsidRPr="005556F3">
        <w:rPr>
          <w:rFonts w:cs="Arial"/>
        </w:rPr>
        <w:t xml:space="preserve"> </w:t>
      </w:r>
      <w:r w:rsidR="008A6480" w:rsidRPr="005556F3">
        <w:rPr>
          <w:rFonts w:cs="Arial"/>
        </w:rPr>
        <w:t xml:space="preserve">a list of </w:t>
      </w:r>
      <w:r>
        <w:rPr>
          <w:rFonts w:cs="Arial"/>
        </w:rPr>
        <w:t xml:space="preserve">proposed </w:t>
      </w:r>
      <w:r w:rsidR="008A6480" w:rsidRPr="005556F3">
        <w:rPr>
          <w:rFonts w:cs="Arial"/>
        </w:rPr>
        <w:t>CNEs</w:t>
      </w:r>
      <w:r w:rsidR="00B3557A">
        <w:rPr>
          <w:rFonts w:cs="Arial"/>
        </w:rPr>
        <w:t xml:space="preserve">, which </w:t>
      </w:r>
      <w:r w:rsidR="003B4789">
        <w:rPr>
          <w:rFonts w:cs="Arial"/>
        </w:rPr>
        <w:t xml:space="preserve">could be </w:t>
      </w:r>
      <w:r w:rsidR="00B3557A">
        <w:rPr>
          <w:rFonts w:cs="Arial"/>
        </w:rPr>
        <w:t>fully or partly located in its own control area</w:t>
      </w:r>
      <w:r w:rsidR="003B4789">
        <w:rPr>
          <w:rFonts w:cs="Arial"/>
        </w:rPr>
        <w:t>.</w:t>
      </w:r>
      <w:r w:rsidR="00121609">
        <w:rPr>
          <w:rFonts w:cs="Arial"/>
        </w:rPr>
        <w:t xml:space="preserve"> </w:t>
      </w:r>
      <w:r w:rsidR="005945A4">
        <w:rPr>
          <w:rFonts w:cs="Arial"/>
        </w:rPr>
        <w:t>T</w:t>
      </w:r>
      <w:r w:rsidR="00B3557A">
        <w:rPr>
          <w:rFonts w:cs="Arial"/>
        </w:rPr>
        <w:t xml:space="preserve">he list of CNEs shall be </w:t>
      </w:r>
      <w:r w:rsidR="00C03D72">
        <w:rPr>
          <w:rFonts w:cs="Arial"/>
        </w:rPr>
        <w:t>provided to the</w:t>
      </w:r>
      <w:r w:rsidR="00121609">
        <w:rPr>
          <w:rFonts w:cs="Arial"/>
        </w:rPr>
        <w:t xml:space="preserve"> CCC</w:t>
      </w:r>
      <w:r w:rsidR="00C03D72">
        <w:rPr>
          <w:rFonts w:cs="Arial"/>
        </w:rPr>
        <w:t>, who shall</w:t>
      </w:r>
      <w:r w:rsidR="00203D8F">
        <w:rPr>
          <w:rFonts w:cs="Arial"/>
        </w:rPr>
        <w:t xml:space="preserve"> </w:t>
      </w:r>
      <w:r w:rsidR="00C03D72">
        <w:rPr>
          <w:rFonts w:cs="Arial"/>
        </w:rPr>
        <w:t xml:space="preserve">monitor </w:t>
      </w:r>
      <w:r w:rsidR="00876BAA">
        <w:rPr>
          <w:rFonts w:cs="Arial"/>
        </w:rPr>
        <w:t>the CNEs</w:t>
      </w:r>
      <w:r w:rsidR="00037919" w:rsidRPr="005556F3">
        <w:rPr>
          <w:rFonts w:cs="Arial"/>
        </w:rPr>
        <w:t xml:space="preserve"> during the coordinated NTC calculation process</w:t>
      </w:r>
      <w:r w:rsidR="008A6480" w:rsidRPr="005556F3">
        <w:rPr>
          <w:rFonts w:cs="Arial"/>
        </w:rPr>
        <w:t xml:space="preserve">. This list shall be updated at least on a yearly basis and in case of topology changes </w:t>
      </w:r>
      <w:r w:rsidR="00037919" w:rsidRPr="005556F3">
        <w:rPr>
          <w:rFonts w:cs="Arial"/>
        </w:rPr>
        <w:t>(commissioning of new grid elements in the observability area of each TSO)</w:t>
      </w:r>
      <w:r w:rsidR="00FD3A96">
        <w:rPr>
          <w:rFonts w:cs="Arial"/>
        </w:rPr>
        <w:t xml:space="preserve"> in accordance with Article 15</w:t>
      </w:r>
      <w:r w:rsidR="008A6480" w:rsidRPr="005556F3">
        <w:rPr>
          <w:rFonts w:cs="Arial"/>
        </w:rPr>
        <w:t xml:space="preserve">. A CNE is a network element, significantly impacted by SEE cross-zonal trades, which are supervised under certain operational conditions, the so-called contingencies. </w:t>
      </w:r>
      <w:r w:rsidR="003128F3">
        <w:rPr>
          <w:rFonts w:cs="Arial"/>
        </w:rPr>
        <w:t xml:space="preserve">A CNE can be a cross zonal element or an internal network element. </w:t>
      </w:r>
      <w:r w:rsidR="008A6480" w:rsidRPr="005556F3">
        <w:rPr>
          <w:rFonts w:cs="Arial"/>
        </w:rPr>
        <w:t>Those elements can be an overhead line, an underground cable, or a transformer.</w:t>
      </w:r>
    </w:p>
    <w:p w14:paraId="555E9DC1" w14:textId="499E5D3E" w:rsidR="008A6480" w:rsidRDefault="00876BAA" w:rsidP="00D0161F">
      <w:pPr>
        <w:pStyle w:val="ListParagraph"/>
        <w:widowControl/>
        <w:numPr>
          <w:ilvl w:val="0"/>
          <w:numId w:val="34"/>
        </w:numPr>
        <w:spacing w:line="276" w:lineRule="auto"/>
        <w:ind w:right="0"/>
        <w:contextualSpacing/>
        <w:rPr>
          <w:rFonts w:cs="Arial"/>
        </w:rPr>
      </w:pPr>
      <w:r>
        <w:rPr>
          <w:rFonts w:cs="Arial"/>
        </w:rPr>
        <w:t>Each TSO</w:t>
      </w:r>
      <w:r w:rsidR="0063023D">
        <w:rPr>
          <w:rFonts w:cs="Arial"/>
        </w:rPr>
        <w:t xml:space="preserve"> of the SEE CCR</w:t>
      </w:r>
      <w:r w:rsidR="008A6480" w:rsidRPr="000A604D">
        <w:rPr>
          <w:rFonts w:cs="Arial"/>
        </w:rPr>
        <w:t xml:space="preserve"> shall </w:t>
      </w:r>
      <w:r w:rsidR="0063023D">
        <w:rPr>
          <w:rFonts w:cs="Arial"/>
        </w:rPr>
        <w:t>define</w:t>
      </w:r>
      <w:r w:rsidR="0063023D" w:rsidRPr="000A604D">
        <w:rPr>
          <w:rFonts w:cs="Arial"/>
        </w:rPr>
        <w:t xml:space="preserve"> </w:t>
      </w:r>
      <w:r w:rsidR="008A6480" w:rsidRPr="000A604D">
        <w:rPr>
          <w:rFonts w:cs="Arial"/>
        </w:rPr>
        <w:t xml:space="preserve">a list of </w:t>
      </w:r>
      <w:r>
        <w:rPr>
          <w:rFonts w:cs="Arial"/>
        </w:rPr>
        <w:t xml:space="preserve">proposed </w:t>
      </w:r>
      <w:r w:rsidR="008A6480" w:rsidRPr="000A604D">
        <w:rPr>
          <w:rFonts w:cs="Arial"/>
        </w:rPr>
        <w:t xml:space="preserve">contingencies used in operational security analysis in </w:t>
      </w:r>
      <w:r>
        <w:rPr>
          <w:rFonts w:cs="Arial"/>
        </w:rPr>
        <w:t>accordance</w:t>
      </w:r>
      <w:r w:rsidRPr="000A604D">
        <w:rPr>
          <w:rFonts w:cs="Arial"/>
        </w:rPr>
        <w:t xml:space="preserve"> </w:t>
      </w:r>
      <w:r w:rsidR="008A6480" w:rsidRPr="000A604D">
        <w:rPr>
          <w:rFonts w:cs="Arial"/>
        </w:rPr>
        <w:t xml:space="preserve">with </w:t>
      </w:r>
      <w:r w:rsidR="008A6480">
        <w:rPr>
          <w:rFonts w:cs="Arial"/>
        </w:rPr>
        <w:t>Article</w:t>
      </w:r>
      <w:r w:rsidR="008A6480" w:rsidRPr="000A604D">
        <w:rPr>
          <w:rFonts w:cs="Arial"/>
        </w:rPr>
        <w:t xml:space="preserve"> 33 of the SO GL, limited to their relevance for the set of CNEs as defined in </w:t>
      </w:r>
      <w:r w:rsidR="008A6480">
        <w:rPr>
          <w:rFonts w:cs="Arial"/>
        </w:rPr>
        <w:t>Article</w:t>
      </w:r>
      <w:r w:rsidR="008A6480" w:rsidRPr="007D7039">
        <w:rPr>
          <w:rFonts w:cs="Arial"/>
        </w:rPr>
        <w:t xml:space="preserve"> </w:t>
      </w:r>
      <w:r w:rsidR="008A6480">
        <w:rPr>
          <w:rFonts w:cs="Arial"/>
        </w:rPr>
        <w:t>7</w:t>
      </w:r>
      <w:r w:rsidR="008A6480" w:rsidRPr="007D7039">
        <w:rPr>
          <w:rFonts w:cs="Arial"/>
        </w:rPr>
        <w:t>(1) and</w:t>
      </w:r>
      <w:r w:rsidR="008A6480" w:rsidRPr="000A604D">
        <w:rPr>
          <w:rFonts w:cs="Arial"/>
        </w:rPr>
        <w:t xml:space="preserve"> pursuant to </w:t>
      </w:r>
      <w:r w:rsidR="008A6480">
        <w:rPr>
          <w:rFonts w:cs="Arial"/>
        </w:rPr>
        <w:t>Article</w:t>
      </w:r>
      <w:r w:rsidR="008A6480" w:rsidRPr="000A604D">
        <w:rPr>
          <w:rFonts w:cs="Arial"/>
        </w:rPr>
        <w:t xml:space="preserve"> 23(2) of the CACM Regulation.</w:t>
      </w:r>
      <w:r w:rsidR="008A6480">
        <w:rPr>
          <w:rFonts w:cs="Arial"/>
        </w:rPr>
        <w:t xml:space="preserve"> </w:t>
      </w:r>
      <w:r w:rsidR="00B955A7">
        <w:rPr>
          <w:rFonts w:cs="Arial"/>
        </w:rPr>
        <w:t xml:space="preserve">The contingencies of a TSO shall be located within the observability area of that TSO. </w:t>
      </w:r>
      <w:r w:rsidR="00037919" w:rsidRPr="00BB2952">
        <w:rPr>
          <w:rFonts w:cs="Arial"/>
        </w:rPr>
        <w:t xml:space="preserve">This list shall be updated at least on a yearly basis and in case of topology changes </w:t>
      </w:r>
      <w:r w:rsidR="001339A0">
        <w:rPr>
          <w:rFonts w:cs="Arial"/>
        </w:rPr>
        <w:t>in the grid of the TSO</w:t>
      </w:r>
      <w:r w:rsidR="003A4A7F">
        <w:rPr>
          <w:rFonts w:cs="Arial"/>
        </w:rPr>
        <w:t>s</w:t>
      </w:r>
      <w:r w:rsidR="001339A0">
        <w:rPr>
          <w:rFonts w:cs="Arial"/>
        </w:rPr>
        <w:t xml:space="preserve"> </w:t>
      </w:r>
      <w:r w:rsidR="00037919">
        <w:rPr>
          <w:rFonts w:cs="Arial"/>
        </w:rPr>
        <w:t>(commissioning of new grid elements in the observability area of each TSO)</w:t>
      </w:r>
      <w:r w:rsidR="00FD3A96">
        <w:rPr>
          <w:rFonts w:cs="Arial"/>
        </w:rPr>
        <w:t xml:space="preserve"> in accordance with Article 15</w:t>
      </w:r>
      <w:r w:rsidR="00037919">
        <w:rPr>
          <w:rFonts w:cs="Arial"/>
        </w:rPr>
        <w:t xml:space="preserve">. </w:t>
      </w:r>
    </w:p>
    <w:p w14:paraId="29D6D7F2" w14:textId="3DE77E3B" w:rsidR="008A6480" w:rsidRPr="007D5CE3" w:rsidRDefault="008A6480" w:rsidP="008A255B">
      <w:pPr>
        <w:spacing w:line="276" w:lineRule="auto"/>
        <w:ind w:firstLine="357"/>
        <w:rPr>
          <w:rFonts w:cs="Arial"/>
        </w:rPr>
      </w:pPr>
      <w:r w:rsidRPr="007D5CE3">
        <w:rPr>
          <w:rFonts w:cs="Arial"/>
        </w:rPr>
        <w:t>A contingency can be a</w:t>
      </w:r>
      <w:r w:rsidR="00B955A7">
        <w:rPr>
          <w:rFonts w:cs="Arial"/>
        </w:rPr>
        <w:t>n unplanned outage</w:t>
      </w:r>
      <w:r w:rsidRPr="007D5CE3">
        <w:rPr>
          <w:rFonts w:cs="Arial"/>
        </w:rPr>
        <w:t xml:space="preserve"> of:</w:t>
      </w:r>
    </w:p>
    <w:p w14:paraId="322728CB" w14:textId="77777777" w:rsidR="008A6480" w:rsidRPr="000A604D" w:rsidRDefault="008A6480" w:rsidP="008A255B">
      <w:pPr>
        <w:pStyle w:val="ListParagraph"/>
        <w:widowControl/>
        <w:numPr>
          <w:ilvl w:val="0"/>
          <w:numId w:val="25"/>
        </w:numPr>
        <w:spacing w:line="276" w:lineRule="auto"/>
        <w:ind w:right="0"/>
        <w:contextualSpacing/>
        <w:rPr>
          <w:rFonts w:cs="Arial"/>
        </w:rPr>
      </w:pPr>
      <w:r w:rsidRPr="000A604D">
        <w:rPr>
          <w:rFonts w:cs="Arial"/>
        </w:rPr>
        <w:t>a line, a cable</w:t>
      </w:r>
      <w:r>
        <w:rPr>
          <w:rFonts w:cs="Arial"/>
        </w:rPr>
        <w:t>,</w:t>
      </w:r>
      <w:r w:rsidRPr="000A604D">
        <w:rPr>
          <w:rFonts w:cs="Arial"/>
        </w:rPr>
        <w:t xml:space="preserve"> or a transformer;</w:t>
      </w:r>
    </w:p>
    <w:p w14:paraId="2354D155" w14:textId="77777777" w:rsidR="008A6480" w:rsidRPr="000A604D" w:rsidRDefault="008A6480" w:rsidP="008A255B">
      <w:pPr>
        <w:pStyle w:val="ListParagraph"/>
        <w:widowControl/>
        <w:numPr>
          <w:ilvl w:val="0"/>
          <w:numId w:val="25"/>
        </w:numPr>
        <w:spacing w:line="276" w:lineRule="auto"/>
        <w:ind w:right="0"/>
        <w:contextualSpacing/>
        <w:rPr>
          <w:rFonts w:cs="Arial"/>
        </w:rPr>
      </w:pPr>
      <w:r w:rsidRPr="000A604D">
        <w:rPr>
          <w:rFonts w:cs="Arial"/>
        </w:rPr>
        <w:t>a busbar;</w:t>
      </w:r>
    </w:p>
    <w:p w14:paraId="07EF7EB4" w14:textId="77777777" w:rsidR="008A6480" w:rsidRPr="005277FA" w:rsidRDefault="008A6480" w:rsidP="008A255B">
      <w:pPr>
        <w:pStyle w:val="ListParagraph"/>
        <w:widowControl/>
        <w:numPr>
          <w:ilvl w:val="0"/>
          <w:numId w:val="25"/>
        </w:numPr>
        <w:spacing w:line="276" w:lineRule="auto"/>
        <w:ind w:right="0"/>
        <w:contextualSpacing/>
        <w:rPr>
          <w:rFonts w:cs="Arial"/>
        </w:rPr>
      </w:pPr>
      <w:r w:rsidRPr="000A604D">
        <w:rPr>
          <w:rFonts w:cs="Arial"/>
        </w:rPr>
        <w:t>a generating unit;</w:t>
      </w:r>
    </w:p>
    <w:p w14:paraId="09DC642F" w14:textId="77777777" w:rsidR="008A6480" w:rsidRPr="000A604D" w:rsidRDefault="008A6480" w:rsidP="008A255B">
      <w:pPr>
        <w:pStyle w:val="ListParagraph"/>
        <w:widowControl/>
        <w:numPr>
          <w:ilvl w:val="0"/>
          <w:numId w:val="25"/>
        </w:numPr>
        <w:spacing w:afterLines="200" w:after="480" w:line="276" w:lineRule="auto"/>
        <w:ind w:right="0"/>
        <w:contextualSpacing/>
        <w:rPr>
          <w:rFonts w:cs="Arial"/>
        </w:rPr>
      </w:pPr>
      <w:r w:rsidRPr="000A604D">
        <w:rPr>
          <w:rFonts w:cs="Arial"/>
        </w:rPr>
        <w:t>a load;</w:t>
      </w:r>
      <w:r>
        <w:rPr>
          <w:rFonts w:cs="Arial"/>
        </w:rPr>
        <w:t xml:space="preserve"> or</w:t>
      </w:r>
    </w:p>
    <w:p w14:paraId="66FC19AB" w14:textId="77777777" w:rsidR="008A6480" w:rsidRDefault="008A6480" w:rsidP="008A255B">
      <w:pPr>
        <w:pStyle w:val="ListParagraph"/>
        <w:widowControl/>
        <w:numPr>
          <w:ilvl w:val="0"/>
          <w:numId w:val="25"/>
        </w:numPr>
        <w:spacing w:after="200" w:line="276" w:lineRule="auto"/>
        <w:ind w:right="0" w:hanging="357"/>
        <w:rPr>
          <w:rFonts w:cs="Arial"/>
        </w:rPr>
      </w:pPr>
      <w:r w:rsidRPr="000A604D">
        <w:rPr>
          <w:rFonts w:cs="Arial"/>
        </w:rPr>
        <w:t>a set of the aforementioned contingencies.</w:t>
      </w:r>
    </w:p>
    <w:p w14:paraId="7071909B" w14:textId="5B6BE23C" w:rsidR="008A6480" w:rsidRDefault="00740594" w:rsidP="00D0161F">
      <w:pPr>
        <w:pStyle w:val="ListParagraph"/>
        <w:widowControl/>
        <w:numPr>
          <w:ilvl w:val="0"/>
          <w:numId w:val="34"/>
        </w:numPr>
        <w:spacing w:after="200" w:line="276" w:lineRule="auto"/>
        <w:ind w:right="0"/>
        <w:rPr>
          <w:rFonts w:cs="Arial"/>
        </w:rPr>
      </w:pPr>
      <w:r>
        <w:rPr>
          <w:rFonts w:cs="Arial"/>
        </w:rPr>
        <w:t>Each TSO form the SEE CCR shall associate</w:t>
      </w:r>
      <w:r w:rsidR="008A6480" w:rsidRPr="009A5FF3">
        <w:rPr>
          <w:rFonts w:cs="Arial"/>
        </w:rPr>
        <w:t xml:space="preserve"> </w:t>
      </w:r>
      <w:r>
        <w:rPr>
          <w:rFonts w:cs="Arial"/>
        </w:rPr>
        <w:t xml:space="preserve">the </w:t>
      </w:r>
      <w:r w:rsidR="008A6480" w:rsidRPr="009A5FF3">
        <w:rPr>
          <w:rFonts w:cs="Arial"/>
        </w:rPr>
        <w:t xml:space="preserve">contingencies </w:t>
      </w:r>
      <w:r w:rsidRPr="009A5FF3">
        <w:rPr>
          <w:rFonts w:cs="Arial"/>
        </w:rPr>
        <w:t xml:space="preserve">established </w:t>
      </w:r>
      <w:r w:rsidR="0060720F">
        <w:rPr>
          <w:rFonts w:cs="Arial"/>
        </w:rPr>
        <w:t>pursuant to</w:t>
      </w:r>
      <w:r>
        <w:rPr>
          <w:rFonts w:cs="Arial"/>
        </w:rPr>
        <w:t xml:space="preserve"> </w:t>
      </w:r>
      <w:r w:rsidRPr="009A5FF3">
        <w:rPr>
          <w:rFonts w:cs="Arial"/>
        </w:rPr>
        <w:t xml:space="preserve">Article </w:t>
      </w:r>
      <w:r>
        <w:rPr>
          <w:rFonts w:cs="Arial"/>
        </w:rPr>
        <w:t>7</w:t>
      </w:r>
      <w:r w:rsidRPr="009A5FF3">
        <w:rPr>
          <w:rFonts w:cs="Arial"/>
        </w:rPr>
        <w:t>(2)</w:t>
      </w:r>
      <w:r w:rsidR="0060720F">
        <w:rPr>
          <w:rFonts w:cs="Arial"/>
        </w:rPr>
        <w:t xml:space="preserve"> with the</w:t>
      </w:r>
      <w:r w:rsidR="008A6480" w:rsidRPr="009A5FF3">
        <w:rPr>
          <w:rFonts w:cs="Arial"/>
        </w:rPr>
        <w:t xml:space="preserve"> CNEs </w:t>
      </w:r>
      <w:r w:rsidR="0060720F" w:rsidRPr="009A5FF3">
        <w:rPr>
          <w:rFonts w:cs="Arial"/>
        </w:rPr>
        <w:t xml:space="preserve">established </w:t>
      </w:r>
      <w:r w:rsidR="0060720F">
        <w:rPr>
          <w:rFonts w:cs="Arial"/>
        </w:rPr>
        <w:t>pursuant to</w:t>
      </w:r>
      <w:r w:rsidR="0060720F" w:rsidRPr="009A5FF3">
        <w:rPr>
          <w:rFonts w:cs="Arial"/>
        </w:rPr>
        <w:t xml:space="preserve"> Article </w:t>
      </w:r>
      <w:r w:rsidR="0060720F">
        <w:rPr>
          <w:rFonts w:cs="Arial"/>
        </w:rPr>
        <w:t>7</w:t>
      </w:r>
      <w:r w:rsidR="0060720F" w:rsidRPr="009A5FF3">
        <w:rPr>
          <w:rFonts w:cs="Arial"/>
        </w:rPr>
        <w:t xml:space="preserve">(1) </w:t>
      </w:r>
      <w:r w:rsidR="008A6480" w:rsidRPr="009A5FF3">
        <w:rPr>
          <w:rFonts w:cs="Arial"/>
        </w:rPr>
        <w:t>follow</w:t>
      </w:r>
      <w:r w:rsidR="0050345F">
        <w:rPr>
          <w:rFonts w:cs="Arial"/>
        </w:rPr>
        <w:t>ing</w:t>
      </w:r>
      <w:r w:rsidR="008A6480" w:rsidRPr="009A5FF3">
        <w:rPr>
          <w:rFonts w:cs="Arial"/>
        </w:rPr>
        <w:t xml:space="preserve"> the rules established in </w:t>
      </w:r>
      <w:r w:rsidR="0050345F">
        <w:rPr>
          <w:rFonts w:cs="Arial"/>
        </w:rPr>
        <w:t xml:space="preserve">accordance with </w:t>
      </w:r>
      <w:r w:rsidR="008A6480" w:rsidRPr="009A5FF3">
        <w:rPr>
          <w:rFonts w:cs="Arial"/>
        </w:rPr>
        <w:t>Article 75 of SO GL.</w:t>
      </w:r>
      <w:r w:rsidR="0050345F">
        <w:rPr>
          <w:rFonts w:cs="Arial"/>
        </w:rPr>
        <w:t xml:space="preserve"> </w:t>
      </w:r>
      <w:r w:rsidR="00044092" w:rsidRPr="00044092">
        <w:rPr>
          <w:rFonts w:cs="Arial"/>
          <w:lang w:val="en-GB"/>
        </w:rPr>
        <w:t xml:space="preserve">Until such rules are established and enter into force, the association of contingencies to CNEs shall be based on each TSO’s </w:t>
      </w:r>
      <w:r w:rsidR="003A4A7F" w:rsidRPr="00044092">
        <w:rPr>
          <w:rFonts w:cs="Arial"/>
          <w:lang w:val="en-GB"/>
        </w:rPr>
        <w:t>operational practise</w:t>
      </w:r>
      <w:r w:rsidR="00044092">
        <w:rPr>
          <w:rFonts w:cs="Arial"/>
          <w:lang w:val="en-GB"/>
        </w:rPr>
        <w:t>.</w:t>
      </w:r>
    </w:p>
    <w:p w14:paraId="05169825" w14:textId="3D5B9711" w:rsidR="00B955A7" w:rsidRDefault="00044092" w:rsidP="00D0161F">
      <w:pPr>
        <w:pStyle w:val="ListParagraph"/>
        <w:widowControl/>
        <w:numPr>
          <w:ilvl w:val="0"/>
          <w:numId w:val="34"/>
        </w:numPr>
        <w:spacing w:after="200" w:line="276" w:lineRule="auto"/>
        <w:ind w:right="0"/>
        <w:rPr>
          <w:rFonts w:cs="Arial"/>
        </w:rPr>
      </w:pPr>
      <w:r>
        <w:rPr>
          <w:rFonts w:cs="Arial"/>
        </w:rPr>
        <w:t xml:space="preserve">Each </w:t>
      </w:r>
      <w:r w:rsidR="00B955A7" w:rsidRPr="000A604D">
        <w:rPr>
          <w:rFonts w:cs="Arial"/>
        </w:rPr>
        <w:t>TSO</w:t>
      </w:r>
      <w:r w:rsidR="00B955A7">
        <w:rPr>
          <w:rFonts w:cs="Arial"/>
        </w:rPr>
        <w:t xml:space="preserve"> of the SEE CCR shall provide to the CCC a list of the proposed CNECs. The CCC shall merge the list of CNECs provided by all SEE </w:t>
      </w:r>
      <w:r w:rsidR="00E072F7">
        <w:rPr>
          <w:rFonts w:cs="Arial"/>
        </w:rPr>
        <w:t xml:space="preserve">CCR </w:t>
      </w:r>
      <w:r w:rsidR="00B955A7">
        <w:rPr>
          <w:rFonts w:cs="Arial"/>
        </w:rPr>
        <w:t>TS</w:t>
      </w:r>
      <w:r w:rsidR="00E072F7">
        <w:rPr>
          <w:rFonts w:cs="Arial"/>
        </w:rPr>
        <w:t>O</w:t>
      </w:r>
      <w:r w:rsidR="00B955A7">
        <w:rPr>
          <w:rFonts w:cs="Arial"/>
        </w:rPr>
        <w:t xml:space="preserve">s into a single list, which shall constitute the </w:t>
      </w:r>
      <w:r w:rsidR="0050345F">
        <w:rPr>
          <w:rFonts w:cs="Arial"/>
        </w:rPr>
        <w:t xml:space="preserve">initial </w:t>
      </w:r>
      <w:r w:rsidR="00B955A7">
        <w:rPr>
          <w:rFonts w:cs="Arial"/>
        </w:rPr>
        <w:t xml:space="preserve">list of CNECs. </w:t>
      </w:r>
    </w:p>
    <w:p w14:paraId="68EE45C6" w14:textId="7DBF353F" w:rsidR="008A6480" w:rsidRPr="00BB2952" w:rsidRDefault="008A6480" w:rsidP="00D0161F">
      <w:pPr>
        <w:pStyle w:val="ListParagraph"/>
        <w:widowControl/>
        <w:numPr>
          <w:ilvl w:val="0"/>
          <w:numId w:val="34"/>
        </w:numPr>
        <w:spacing w:line="276" w:lineRule="auto"/>
        <w:ind w:right="0"/>
        <w:contextualSpacing/>
        <w:rPr>
          <w:rFonts w:cs="Arial"/>
        </w:rPr>
      </w:pPr>
      <w:r w:rsidRPr="00BB2952">
        <w:rPr>
          <w:rFonts w:cs="Arial"/>
        </w:rPr>
        <w:t xml:space="preserve">In accordance with </w:t>
      </w:r>
      <w:r>
        <w:rPr>
          <w:rFonts w:cs="Arial"/>
        </w:rPr>
        <w:t>Article</w:t>
      </w:r>
      <w:r w:rsidRPr="00BB2952">
        <w:rPr>
          <w:rFonts w:cs="Arial"/>
        </w:rPr>
        <w:t xml:space="preserve"> 23(1) of the CACM Regulation, </w:t>
      </w:r>
      <w:r>
        <w:rPr>
          <w:rFonts w:cs="Arial"/>
        </w:rPr>
        <w:t>SEE</w:t>
      </w:r>
      <w:r w:rsidRPr="00BB2952">
        <w:rPr>
          <w:rFonts w:cs="Arial"/>
        </w:rPr>
        <w:t xml:space="preserve"> TSOs shall respect the operational security limits used in operational security analysis carried out in line with </w:t>
      </w:r>
      <w:r>
        <w:rPr>
          <w:rFonts w:cs="Arial"/>
        </w:rPr>
        <w:t>Article</w:t>
      </w:r>
      <w:r w:rsidRPr="00BB2952">
        <w:rPr>
          <w:rFonts w:cs="Arial"/>
        </w:rPr>
        <w:t xml:space="preserve"> 72 of the SO GL. The operational security limits used in the common capacity calculation are the same as those used in operational security analysis, therefore any additional descriptions pursuant to </w:t>
      </w:r>
      <w:r>
        <w:rPr>
          <w:rFonts w:cs="Arial"/>
        </w:rPr>
        <w:t>Article</w:t>
      </w:r>
      <w:r w:rsidRPr="00BB2952">
        <w:rPr>
          <w:rFonts w:cs="Arial"/>
        </w:rPr>
        <w:t xml:space="preserve"> 23(2) of the CACM Regulation are not needed. In particular:</w:t>
      </w:r>
    </w:p>
    <w:p w14:paraId="17F7AF46" w14:textId="2B6ABC6E" w:rsidR="008A6480" w:rsidRPr="009D2388" w:rsidRDefault="008A6480" w:rsidP="008A255B">
      <w:pPr>
        <w:pStyle w:val="ListParagraph"/>
        <w:widowControl/>
        <w:numPr>
          <w:ilvl w:val="0"/>
          <w:numId w:val="59"/>
        </w:numPr>
        <w:spacing w:line="276" w:lineRule="auto"/>
        <w:ind w:left="993" w:right="0"/>
        <w:contextualSpacing/>
        <w:rPr>
          <w:rFonts w:cs="Arial"/>
        </w:rPr>
      </w:pPr>
      <w:r>
        <w:rPr>
          <w:rFonts w:cs="Arial"/>
        </w:rPr>
        <w:t>SEE</w:t>
      </w:r>
      <w:r w:rsidRPr="000A604D">
        <w:rPr>
          <w:rFonts w:cs="Arial"/>
        </w:rPr>
        <w:t xml:space="preserve"> TSOs shall respect the maximum admissible current</w:t>
      </w:r>
      <w:r w:rsidR="00632379">
        <w:rPr>
          <w:rFonts w:cs="Arial"/>
        </w:rPr>
        <w:t xml:space="preserve"> limit</w:t>
      </w:r>
      <w:r w:rsidRPr="000A604D">
        <w:rPr>
          <w:rFonts w:cs="Arial"/>
        </w:rPr>
        <w:t xml:space="preserve"> (</w:t>
      </w:r>
      <m:oMath>
        <m:sSub>
          <m:sSubPr>
            <m:ctrlPr>
              <w:rPr>
                <w:rFonts w:ascii="Cambria Math" w:hAnsi="Cambria Math" w:cs="Arial"/>
                <w:i/>
              </w:rPr>
            </m:ctrlPr>
          </m:sSubPr>
          <m:e>
            <m:r>
              <w:rPr>
                <w:rFonts w:ascii="Cambria Math" w:hAnsi="Cambria Math" w:cs="Arial"/>
              </w:rPr>
              <m:t>I</m:t>
            </m:r>
          </m:e>
          <m:sub>
            <m:r>
              <w:rPr>
                <w:rFonts w:ascii="Cambria Math" w:hAnsi="Cambria Math" w:cs="Arial"/>
              </w:rPr>
              <m:t>max</m:t>
            </m:r>
          </m:sub>
        </m:sSub>
      </m:oMath>
      <w:r w:rsidRPr="000A604D">
        <w:rPr>
          <w:rFonts w:cs="Arial"/>
        </w:rPr>
        <w:t xml:space="preserve">) which is the physical limit of a CNE according to the operational security policy in </w:t>
      </w:r>
      <w:r w:rsidR="003C36E2">
        <w:rPr>
          <w:rFonts w:cs="Arial"/>
        </w:rPr>
        <w:t>accordance</w:t>
      </w:r>
      <w:r w:rsidR="003C36E2" w:rsidRPr="000A604D">
        <w:rPr>
          <w:rFonts w:cs="Arial"/>
        </w:rPr>
        <w:t xml:space="preserve"> </w:t>
      </w:r>
      <w:r w:rsidRPr="000A604D">
        <w:rPr>
          <w:rFonts w:cs="Arial"/>
        </w:rPr>
        <w:t xml:space="preserve">with </w:t>
      </w:r>
      <w:r>
        <w:rPr>
          <w:rFonts w:cs="Arial"/>
        </w:rPr>
        <w:t>Article</w:t>
      </w:r>
      <w:r w:rsidRPr="000A604D">
        <w:rPr>
          <w:rFonts w:cs="Arial"/>
        </w:rPr>
        <w:t xml:space="preserve"> 25 of the SO GL. </w:t>
      </w:r>
      <w:r w:rsidRPr="009D2388">
        <w:rPr>
          <w:rFonts w:cs="Arial"/>
        </w:rPr>
        <w:t>The maximum admissible current can be defined with:</w:t>
      </w:r>
    </w:p>
    <w:p w14:paraId="04A814DE" w14:textId="68AEA6FD" w:rsidR="003A1C0A" w:rsidRPr="009D2388" w:rsidRDefault="003A1C0A" w:rsidP="008A255B">
      <w:pPr>
        <w:pStyle w:val="ListParagraph"/>
        <w:widowControl/>
        <w:numPr>
          <w:ilvl w:val="2"/>
          <w:numId w:val="26"/>
        </w:numPr>
        <w:spacing w:line="276" w:lineRule="auto"/>
        <w:ind w:right="0"/>
        <w:contextualSpacing/>
        <w:rPr>
          <w:rFonts w:cs="Arial"/>
        </w:rPr>
      </w:pPr>
      <w:r w:rsidRPr="009D2388">
        <w:rPr>
          <w:rFonts w:cs="Arial"/>
        </w:rPr>
        <w:t xml:space="preserve">fixed limits for all </w:t>
      </w:r>
      <w:r w:rsidR="00622091" w:rsidRPr="009D2388">
        <w:rPr>
          <w:rFonts w:cs="Arial"/>
        </w:rPr>
        <w:t>MTUs</w:t>
      </w:r>
      <w:r w:rsidRPr="009D2388">
        <w:rPr>
          <w:rFonts w:cs="Arial"/>
        </w:rPr>
        <w:t xml:space="preserve"> of </w:t>
      </w:r>
      <w:r w:rsidR="003C36E2" w:rsidRPr="009D2388">
        <w:rPr>
          <w:rFonts w:cs="Arial"/>
        </w:rPr>
        <w:t>each of the four</w:t>
      </w:r>
      <w:r w:rsidRPr="009D2388">
        <w:rPr>
          <w:rFonts w:cs="Arial"/>
        </w:rPr>
        <w:t xml:space="preserve"> season</w:t>
      </w:r>
      <w:r w:rsidR="003C36E2" w:rsidRPr="009D2388">
        <w:rPr>
          <w:rFonts w:cs="Arial"/>
        </w:rPr>
        <w:t>s</w:t>
      </w:r>
      <w:r w:rsidRPr="009D2388">
        <w:rPr>
          <w:rFonts w:cs="Arial"/>
        </w:rPr>
        <w:t>;</w:t>
      </w:r>
    </w:p>
    <w:p w14:paraId="140BCAF4" w14:textId="0F491606" w:rsidR="008A6480" w:rsidRPr="009D2388" w:rsidRDefault="008A6480" w:rsidP="008A255B">
      <w:pPr>
        <w:pStyle w:val="ListParagraph"/>
        <w:widowControl/>
        <w:numPr>
          <w:ilvl w:val="2"/>
          <w:numId w:val="26"/>
        </w:numPr>
        <w:spacing w:line="276" w:lineRule="auto"/>
        <w:ind w:right="0"/>
        <w:contextualSpacing/>
        <w:rPr>
          <w:rFonts w:cs="Arial"/>
        </w:rPr>
      </w:pPr>
      <w:r w:rsidRPr="009D2388">
        <w:rPr>
          <w:rFonts w:cs="Arial"/>
        </w:rPr>
        <w:t xml:space="preserve">fixed limits for all </w:t>
      </w:r>
      <w:r w:rsidR="00622091" w:rsidRPr="009D2388">
        <w:rPr>
          <w:rFonts w:cs="Arial"/>
        </w:rPr>
        <w:t>MTUs</w:t>
      </w:r>
      <w:r w:rsidRPr="009D2388">
        <w:rPr>
          <w:lang w:eastAsia="nl-NL"/>
        </w:rPr>
        <w:t xml:space="preserve"> in the case of transformers and certain types of conductors which are not sensitive to ambient conditions</w:t>
      </w:r>
      <w:r w:rsidRPr="009D2388">
        <w:rPr>
          <w:rFonts w:cs="Arial"/>
        </w:rPr>
        <w:t>;</w:t>
      </w:r>
    </w:p>
    <w:p w14:paraId="79B2C230" w14:textId="1FC1C1B9" w:rsidR="008A6480" w:rsidRPr="009D2388" w:rsidRDefault="008A6480" w:rsidP="008A255B">
      <w:pPr>
        <w:pStyle w:val="ListParagraph"/>
        <w:widowControl/>
        <w:numPr>
          <w:ilvl w:val="2"/>
          <w:numId w:val="26"/>
        </w:numPr>
        <w:spacing w:after="200" w:line="276" w:lineRule="auto"/>
        <w:ind w:left="1797" w:right="0" w:hanging="357"/>
        <w:contextualSpacing/>
        <w:rPr>
          <w:rFonts w:cs="Arial"/>
        </w:rPr>
      </w:pPr>
      <w:r w:rsidRPr="009D2388">
        <w:rPr>
          <w:rFonts w:cs="Arial"/>
        </w:rPr>
        <w:lastRenderedPageBreak/>
        <w:t xml:space="preserve">fixed limits for all </w:t>
      </w:r>
      <w:r w:rsidR="00622091" w:rsidRPr="009D2388">
        <w:rPr>
          <w:rFonts w:cs="Arial"/>
        </w:rPr>
        <w:t>MTUs</w:t>
      </w:r>
      <w:r w:rsidRPr="009D2388">
        <w:rPr>
          <w:rFonts w:cs="Arial"/>
        </w:rPr>
        <w:t>, in case of specific situations where t</w:t>
      </w:r>
      <w:r w:rsidRPr="009D2388">
        <w:rPr>
          <w:lang w:eastAsia="nl-NL"/>
        </w:rPr>
        <w:t xml:space="preserve">he </w:t>
      </w:r>
      <w:r w:rsidR="0093382F" w:rsidRPr="009D2388">
        <w:rPr>
          <w:lang w:eastAsia="nl-NL"/>
        </w:rPr>
        <w:t xml:space="preserve">physical </w:t>
      </w:r>
      <w:r w:rsidRPr="009D2388">
        <w:rPr>
          <w:lang w:eastAsia="nl-NL"/>
        </w:rPr>
        <w:t xml:space="preserve">limit reflects the capability of substation equipment (such as circuit-breaker, current transformer, or disconnector). </w:t>
      </w:r>
    </w:p>
    <w:p w14:paraId="59D0ABF0" w14:textId="11056365" w:rsidR="008A6480" w:rsidRPr="000A604D" w:rsidRDefault="008A6480" w:rsidP="008A255B">
      <w:pPr>
        <w:pStyle w:val="ListParagraph"/>
        <w:widowControl/>
        <w:numPr>
          <w:ilvl w:val="0"/>
          <w:numId w:val="59"/>
        </w:numPr>
        <w:spacing w:line="276" w:lineRule="auto"/>
        <w:ind w:left="993" w:right="0"/>
        <w:contextualSpacing/>
        <w:rPr>
          <w:rFonts w:cs="Arial"/>
        </w:rPr>
      </w:pPr>
      <w:r w:rsidRPr="000A604D">
        <w:rPr>
          <w:rFonts w:cs="Arial"/>
        </w:rPr>
        <w:t xml:space="preserve">when applicable, </w:t>
      </w:r>
      <m:oMath>
        <m:sSub>
          <m:sSubPr>
            <m:ctrlPr>
              <w:rPr>
                <w:rFonts w:ascii="Cambria Math" w:hAnsi="Cambria Math" w:cs="Arial"/>
                <w:i/>
              </w:rPr>
            </m:ctrlPr>
          </m:sSubPr>
          <m:e>
            <m:r>
              <w:rPr>
                <w:rFonts w:ascii="Cambria Math" w:hAnsi="Cambria Math" w:cs="Arial"/>
              </w:rPr>
              <m:t>I</m:t>
            </m:r>
          </m:e>
          <m:sub>
            <m:r>
              <w:rPr>
                <w:rFonts w:ascii="Cambria Math" w:hAnsi="Cambria Math" w:cs="Arial"/>
              </w:rPr>
              <m:t>max</m:t>
            </m:r>
          </m:sub>
        </m:sSub>
      </m:oMath>
      <w:r w:rsidRPr="000A604D" w:rsidDel="008A4C4D">
        <w:rPr>
          <w:rFonts w:cs="Arial"/>
        </w:rPr>
        <w:t xml:space="preserve"> </w:t>
      </w:r>
      <w:r w:rsidRPr="000A604D">
        <w:rPr>
          <w:rFonts w:cs="Arial"/>
        </w:rPr>
        <w:t xml:space="preserve">shall be defined as a temporary current limit of the CNE in accordance with </w:t>
      </w:r>
      <w:r>
        <w:rPr>
          <w:rFonts w:cs="Arial"/>
        </w:rPr>
        <w:t>Article</w:t>
      </w:r>
      <w:r w:rsidRPr="000A604D">
        <w:rPr>
          <w:rFonts w:cs="Arial"/>
        </w:rPr>
        <w:t xml:space="preserve"> 25 of the SO GL. A temporary current limit means that an overload is only allowed for a certain finite duration.</w:t>
      </w:r>
      <w:r w:rsidR="00375640">
        <w:rPr>
          <w:rFonts w:cs="Arial"/>
        </w:rPr>
        <w:t xml:space="preserve"> </w:t>
      </w:r>
    </w:p>
    <w:p w14:paraId="356103CF" w14:textId="588F68CC" w:rsidR="008A6480" w:rsidRPr="007D7039" w:rsidRDefault="00000000" w:rsidP="008A255B">
      <w:pPr>
        <w:pStyle w:val="ListParagraph"/>
        <w:widowControl/>
        <w:numPr>
          <w:ilvl w:val="0"/>
          <w:numId w:val="59"/>
        </w:numPr>
        <w:spacing w:after="200" w:line="276" w:lineRule="auto"/>
        <w:ind w:left="992" w:right="0" w:hanging="357"/>
        <w:rPr>
          <w:rFonts w:cs="Arial"/>
        </w:rPr>
      </w:pPr>
      <m:oMath>
        <m:sSub>
          <m:sSubPr>
            <m:ctrlPr>
              <w:rPr>
                <w:rFonts w:ascii="Cambria Math" w:hAnsi="Cambria Math" w:cs="Arial"/>
                <w:i/>
              </w:rPr>
            </m:ctrlPr>
          </m:sSubPr>
          <m:e>
            <m:r>
              <w:rPr>
                <w:rFonts w:ascii="Cambria Math" w:hAnsi="Cambria Math" w:cs="Arial"/>
              </w:rPr>
              <m:t>I</m:t>
            </m:r>
          </m:e>
          <m:sub>
            <m:r>
              <w:rPr>
                <w:rFonts w:ascii="Cambria Math" w:hAnsi="Cambria Math" w:cs="Arial"/>
              </w:rPr>
              <m:t>max</m:t>
            </m:r>
          </m:sub>
        </m:sSub>
      </m:oMath>
      <w:r w:rsidR="008A6480" w:rsidRPr="000A6163">
        <w:rPr>
          <w:rFonts w:cs="Arial"/>
        </w:rPr>
        <w:t xml:space="preserve"> </w:t>
      </w:r>
      <w:r w:rsidR="00375640">
        <w:rPr>
          <w:rFonts w:cs="Arial"/>
        </w:rPr>
        <w:t xml:space="preserve">shall represent only real physical properties of the CNE and shall </w:t>
      </w:r>
      <w:r w:rsidR="008A6480" w:rsidRPr="000A604D">
        <w:rPr>
          <w:rFonts w:cs="Arial"/>
        </w:rPr>
        <w:t xml:space="preserve">not </w:t>
      </w:r>
      <w:r w:rsidR="00375640">
        <w:rPr>
          <w:rFonts w:cs="Arial"/>
        </w:rPr>
        <w:t xml:space="preserve">be </w:t>
      </w:r>
      <w:r w:rsidR="008A6480" w:rsidRPr="000A604D">
        <w:rPr>
          <w:rFonts w:cs="Arial"/>
        </w:rPr>
        <w:t xml:space="preserve">reduced by any security margin, as all uncertainties in the common capacity calculation are covered </w:t>
      </w:r>
      <w:r w:rsidR="001239BE">
        <w:rPr>
          <w:rFonts w:cs="Arial"/>
        </w:rPr>
        <w:t xml:space="preserve">on each CNEC </w:t>
      </w:r>
      <w:r w:rsidR="008A6480" w:rsidRPr="000A604D">
        <w:rPr>
          <w:rFonts w:cs="Arial"/>
        </w:rPr>
        <w:t xml:space="preserve">by the </w:t>
      </w:r>
      <w:r w:rsidR="008A6480">
        <w:rPr>
          <w:rFonts w:cs="Arial"/>
        </w:rPr>
        <w:t>r</w:t>
      </w:r>
      <w:r w:rsidR="008A6480" w:rsidRPr="000A604D">
        <w:rPr>
          <w:rFonts w:cs="Arial"/>
        </w:rPr>
        <w:t xml:space="preserve">eliability </w:t>
      </w:r>
      <w:r w:rsidR="008A6480">
        <w:rPr>
          <w:rFonts w:cs="Arial"/>
        </w:rPr>
        <w:t>m</w:t>
      </w:r>
      <w:r w:rsidR="008A6480" w:rsidRPr="000A604D">
        <w:rPr>
          <w:rFonts w:cs="Arial"/>
        </w:rPr>
        <w:t>argin (</w:t>
      </w:r>
      <m:oMath>
        <m:r>
          <w:rPr>
            <w:rFonts w:ascii="Cambria Math" w:hAnsi="Cambria Math" w:cs="Arial"/>
          </w:rPr>
          <m:t>RM</m:t>
        </m:r>
      </m:oMath>
      <w:r w:rsidR="008A6480" w:rsidRPr="000A604D">
        <w:rPr>
          <w:rFonts w:cs="Arial"/>
        </w:rPr>
        <w:t xml:space="preserve">) in accordance with </w:t>
      </w:r>
      <w:r w:rsidR="008A6480">
        <w:rPr>
          <w:rFonts w:cs="Arial"/>
        </w:rPr>
        <w:t>Article</w:t>
      </w:r>
      <w:r w:rsidR="008A6480" w:rsidRPr="00FA00D8">
        <w:rPr>
          <w:rFonts w:cs="Arial"/>
        </w:rPr>
        <w:t xml:space="preserve"> </w:t>
      </w:r>
      <w:r w:rsidR="008A6480">
        <w:rPr>
          <w:rFonts w:cs="Arial"/>
        </w:rPr>
        <w:t>6</w:t>
      </w:r>
      <w:r w:rsidR="008A6480" w:rsidRPr="007D7039">
        <w:rPr>
          <w:rFonts w:cs="Arial"/>
        </w:rPr>
        <w:t>.</w:t>
      </w:r>
    </w:p>
    <w:p w14:paraId="0DDC0A51" w14:textId="38CB9C42" w:rsidR="003A1C0A" w:rsidRDefault="001B0EED" w:rsidP="00D0161F">
      <w:pPr>
        <w:pStyle w:val="ListParagraph"/>
        <w:widowControl/>
        <w:numPr>
          <w:ilvl w:val="0"/>
          <w:numId w:val="34"/>
        </w:numPr>
        <w:spacing w:after="200" w:line="276" w:lineRule="auto"/>
        <w:ind w:right="0"/>
      </w:pPr>
      <w:r>
        <w:t xml:space="preserve">SEE TSOs shall not apply allocation constraints. </w:t>
      </w:r>
    </w:p>
    <w:p w14:paraId="5A5951B4" w14:textId="763650B6" w:rsidR="008A6480" w:rsidRPr="0081054C" w:rsidRDefault="00A10F33" w:rsidP="00D0161F">
      <w:pPr>
        <w:pStyle w:val="ListParagraph"/>
        <w:widowControl/>
        <w:numPr>
          <w:ilvl w:val="0"/>
          <w:numId w:val="34"/>
        </w:numPr>
        <w:spacing w:line="276" w:lineRule="auto"/>
        <w:ind w:right="0"/>
      </w:pPr>
      <w:r>
        <w:t xml:space="preserve">SEE </w:t>
      </w:r>
      <w:r w:rsidR="008A6480" w:rsidRPr="0081054C">
        <w:t xml:space="preserve">TSOs shall review and update </w:t>
      </w:r>
      <w:r w:rsidR="00622091">
        <w:t xml:space="preserve">the application of the </w:t>
      </w:r>
      <w:r w:rsidR="008A6480">
        <w:t>methodologies for determining operational security limits</w:t>
      </w:r>
      <w:r w:rsidR="002C534F">
        <w:t>, list of CNEs</w:t>
      </w:r>
      <w:r w:rsidR="00CE72D6">
        <w:t xml:space="preserve"> and </w:t>
      </w:r>
      <w:r w:rsidR="002C534F">
        <w:t xml:space="preserve">the list of CNECs, respectively, </w:t>
      </w:r>
      <w:r w:rsidR="003A1C0A">
        <w:t>contingencies</w:t>
      </w:r>
      <w:r w:rsidR="00DF657C">
        <w:t xml:space="preserve"> </w:t>
      </w:r>
      <w:r w:rsidR="00CE72D6">
        <w:t>on a yearly basis</w:t>
      </w:r>
      <w:r w:rsidR="00FD3A96">
        <w:t xml:space="preserve"> in accordance with Article 15</w:t>
      </w:r>
      <w:r w:rsidR="00CE72D6">
        <w:t xml:space="preserve">. </w:t>
      </w:r>
    </w:p>
    <w:p w14:paraId="435A226A" w14:textId="77777777" w:rsidR="00F23F84" w:rsidRPr="00F23F84" w:rsidRDefault="00F23F84" w:rsidP="008A255B">
      <w:pPr>
        <w:pStyle w:val="Title1"/>
        <w:spacing w:line="276" w:lineRule="auto"/>
        <w:rPr>
          <w:b w:val="0"/>
          <w:sz w:val="22"/>
          <w:szCs w:val="22"/>
        </w:rPr>
      </w:pPr>
    </w:p>
    <w:p w14:paraId="4AA22A4E" w14:textId="412A7C5F" w:rsidR="00B70A80" w:rsidRDefault="00B70A80" w:rsidP="00B70A80">
      <w:pPr>
        <w:pStyle w:val="Title1"/>
        <w:spacing w:line="276" w:lineRule="auto"/>
      </w:pPr>
      <w:r>
        <w:t>Article 7a</w:t>
      </w:r>
    </w:p>
    <w:p w14:paraId="4A3DD53E" w14:textId="39AA0593" w:rsidR="00B70A80" w:rsidRDefault="00B70A80" w:rsidP="00B70A80">
      <w:pPr>
        <w:pStyle w:val="Title1"/>
        <w:spacing w:line="276" w:lineRule="auto"/>
      </w:pPr>
      <w:r>
        <w:t>Rules for avoiding undue discrimination between internal and cross-zonal exchanges</w:t>
      </w:r>
    </w:p>
    <w:p w14:paraId="4AA49CD0" w14:textId="77777777" w:rsidR="00B70A80" w:rsidRDefault="00B70A80" w:rsidP="00B70A80">
      <w:pPr>
        <w:pStyle w:val="Title1"/>
        <w:spacing w:line="276" w:lineRule="auto"/>
      </w:pPr>
    </w:p>
    <w:p w14:paraId="072DD48E" w14:textId="77777777" w:rsidR="00831392" w:rsidRDefault="0050345F" w:rsidP="0050345F">
      <w:pPr>
        <w:pStyle w:val="ListParagraph"/>
        <w:widowControl/>
        <w:numPr>
          <w:ilvl w:val="0"/>
          <w:numId w:val="75"/>
        </w:numPr>
        <w:spacing w:after="200" w:line="276" w:lineRule="auto"/>
        <w:ind w:left="426" w:right="0"/>
        <w:rPr>
          <w:rFonts w:cs="Arial"/>
        </w:rPr>
      </w:pPr>
      <w:r w:rsidRPr="00FA7F49">
        <w:rPr>
          <w:rFonts w:cs="Arial"/>
        </w:rPr>
        <w:t xml:space="preserve">In accordance with Article 21(1)(b)(iv) of the CACM Regulation, this day-ahead and intraday common capacity calculation methodology shall describe the rules </w:t>
      </w:r>
      <w:r w:rsidRPr="00BB09EA">
        <w:t xml:space="preserve">to </w:t>
      </w:r>
      <w:r>
        <w:t>mitigate</w:t>
      </w:r>
      <w:r w:rsidRPr="00BB09EA">
        <w:t xml:space="preserve"> </w:t>
      </w:r>
      <w:r>
        <w:t>possible</w:t>
      </w:r>
      <w:r w:rsidRPr="00BB09EA">
        <w:t xml:space="preserve"> discrimination between the treatment of internal and cross-zonal transactions</w:t>
      </w:r>
      <w:r>
        <w:t xml:space="preserve">, </w:t>
      </w:r>
      <w:r w:rsidRPr="00FA7F49">
        <w:rPr>
          <w:rFonts w:cs="Arial"/>
        </w:rPr>
        <w:t xml:space="preserve">in response to Article 21(1)(b)(ii) of the CACM Regulation and Article 1.7 of Annex I to the Regulation (EC) 714/2009 and in line with Article 3(a), 3(b) and 3(e) of the CACM Regulation. </w:t>
      </w:r>
    </w:p>
    <w:p w14:paraId="35D56BD4" w14:textId="1CC353ED" w:rsidR="0050345F" w:rsidRPr="00FA7F49" w:rsidRDefault="001462F5" w:rsidP="0050345F">
      <w:pPr>
        <w:pStyle w:val="ListParagraph"/>
        <w:widowControl/>
        <w:numPr>
          <w:ilvl w:val="0"/>
          <w:numId w:val="75"/>
        </w:numPr>
        <w:spacing w:after="200" w:line="276" w:lineRule="auto"/>
        <w:ind w:left="426" w:right="0"/>
        <w:rPr>
          <w:rFonts w:cs="Arial"/>
        </w:rPr>
      </w:pPr>
      <w:r>
        <w:rPr>
          <w:rFonts w:cs="Arial"/>
        </w:rPr>
        <w:t xml:space="preserve">The TSOs of SEE CCR shall monitor only the elements from initial list of CNECs significantly impacted by cross-zonal power exchange. </w:t>
      </w:r>
      <w:r w:rsidR="00904873">
        <w:rPr>
          <w:rFonts w:cs="Arial"/>
        </w:rPr>
        <w:t>The CCC shall calculate the s</w:t>
      </w:r>
      <w:r w:rsidR="0050345F" w:rsidRPr="00FA7F49">
        <w:rPr>
          <w:rFonts w:cs="Arial"/>
        </w:rPr>
        <w:t>ensitivity factor</w:t>
      </w:r>
      <w:r w:rsidR="00904873">
        <w:rPr>
          <w:rFonts w:cs="Arial"/>
        </w:rPr>
        <w:t>s</w:t>
      </w:r>
      <w:r w:rsidR="0050345F" w:rsidRPr="00FA7F49">
        <w:rPr>
          <w:rFonts w:cs="Arial"/>
        </w:rPr>
        <w:t xml:space="preserve"> </w:t>
      </w:r>
      <w:r w:rsidR="0050345F" w:rsidRPr="0067798F">
        <w:t xml:space="preserve">for selecting </w:t>
      </w:r>
      <w:r w:rsidR="0050345F">
        <w:t xml:space="preserve">the </w:t>
      </w:r>
      <w:r w:rsidR="0050345F" w:rsidRPr="0067798F">
        <w:t>CNECs</w:t>
      </w:r>
      <w:r w:rsidR="0050345F">
        <w:t xml:space="preserve"> that are significantly impacted by cross-zonal </w:t>
      </w:r>
      <w:r>
        <w:t>power exchange</w:t>
      </w:r>
      <w:r w:rsidR="0050345F" w:rsidRPr="0067798F">
        <w:t xml:space="preserve">. </w:t>
      </w:r>
      <w:r w:rsidR="009B39AB">
        <w:rPr>
          <w:rFonts w:cs="Arial"/>
        </w:rPr>
        <w:t xml:space="preserve"> </w:t>
      </w:r>
    </w:p>
    <w:p w14:paraId="57967610" w14:textId="1BC8F34E" w:rsidR="0050345F" w:rsidRDefault="0050345F" w:rsidP="0050345F">
      <w:pPr>
        <w:pStyle w:val="ListParagraph"/>
        <w:widowControl/>
        <w:numPr>
          <w:ilvl w:val="0"/>
          <w:numId w:val="75"/>
        </w:numPr>
        <w:spacing w:line="276" w:lineRule="auto"/>
        <w:ind w:left="426" w:right="0" w:hanging="357"/>
        <w:contextualSpacing/>
        <w:rPr>
          <w:rFonts w:cs="Arial"/>
        </w:rPr>
      </w:pPr>
      <w:r>
        <w:rPr>
          <w:rFonts w:cs="Arial"/>
        </w:rPr>
        <w:t xml:space="preserve">The sensitivity factors calculated as a percentage </w:t>
      </w:r>
      <w:r w:rsidR="001462F5">
        <w:rPr>
          <w:rFonts w:cs="Arial"/>
        </w:rPr>
        <w:t>using</w:t>
      </w:r>
      <w:r>
        <w:rPr>
          <w:rFonts w:cs="Arial"/>
        </w:rPr>
        <w:t xml:space="preserve"> the relevant CGM </w:t>
      </w:r>
      <w:r w:rsidRPr="00AC31EF">
        <w:rPr>
          <w:rFonts w:cs="Arial"/>
        </w:rPr>
        <w:t xml:space="preserve">and </w:t>
      </w:r>
      <m:oMath>
        <m:r>
          <m:rPr>
            <m:sty m:val="p"/>
          </m:rPr>
          <w:rPr>
            <w:rFonts w:ascii="Cambria Math" w:hAnsi="Cambria Math" w:cs="Arial"/>
          </w:rPr>
          <m:t>GSK</m:t>
        </m:r>
      </m:oMath>
      <w:r w:rsidRPr="00AC31EF">
        <w:rPr>
          <w:rFonts w:cs="Arial"/>
        </w:rPr>
        <w:t xml:space="preserve"> </w:t>
      </w:r>
      <w:r w:rsidR="00E81DD4">
        <w:rPr>
          <w:rFonts w:cs="Arial"/>
        </w:rPr>
        <w:t>are</w:t>
      </w:r>
      <w:r w:rsidR="001462F5">
        <w:rPr>
          <w:rFonts w:cs="Arial"/>
        </w:rPr>
        <w:t xml:space="preserve"> defined as follow:</w:t>
      </w:r>
    </w:p>
    <w:p w14:paraId="0224564F" w14:textId="0D392619" w:rsidR="001462F5" w:rsidRPr="00170002" w:rsidRDefault="00000000" w:rsidP="00170002">
      <w:pPr>
        <w:pStyle w:val="ListParagraph"/>
        <w:widowControl/>
        <w:spacing w:after="200" w:line="276" w:lineRule="auto"/>
        <w:ind w:left="720" w:right="0" w:firstLine="0"/>
        <w:jc w:val="center"/>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SEF</m:t>
              </m:r>
            </m:e>
            <m:sub>
              <m:r>
                <w:rPr>
                  <w:rFonts w:ascii="Cambria Math" w:eastAsia="Calibri" w:hAnsi="Cambria Math"/>
                  <w:color w:val="000000" w:themeColor="text1"/>
                  <w:szCs w:val="24"/>
                </w:rPr>
                <m:t>CNEC</m:t>
              </m:r>
            </m:sub>
          </m:sSub>
          <m:r>
            <w:rPr>
              <w:rFonts w:ascii="Cambria Math" w:eastAsia="Calibri" w:hAnsi="Cambria Math"/>
              <w:color w:val="000000" w:themeColor="text1"/>
              <w:szCs w:val="24"/>
            </w:rPr>
            <m:t>=</m:t>
          </m:r>
          <m:f>
            <m:fPr>
              <m:ctrlPr>
                <w:rPr>
                  <w:rFonts w:ascii="Cambria Math" w:eastAsia="Calibri" w:hAnsi="Cambria Math"/>
                  <w:color w:val="000000" w:themeColor="text1"/>
                  <w:szCs w:val="24"/>
                </w:rPr>
              </m:ctrlPr>
            </m:fPr>
            <m:num>
              <m:sSub>
                <m:sSubPr>
                  <m:ctrlPr>
                    <w:rPr>
                      <w:rFonts w:ascii="Cambria Math" w:eastAsia="Calibri" w:hAnsi="Cambria Math"/>
                      <w:i/>
                      <w:color w:val="000000" w:themeColor="text1"/>
                      <w:szCs w:val="24"/>
                    </w:rPr>
                  </m:ctrlPr>
                </m:sSubPr>
                <m:e>
                  <m:r>
                    <w:rPr>
                      <w:rFonts w:ascii="Cambria Math" w:eastAsia="Calibri" w:hAnsi="Cambria Math"/>
                      <w:color w:val="000000" w:themeColor="text1"/>
                      <w:szCs w:val="24"/>
                    </w:rPr>
                    <m:t>P</m:t>
                  </m:r>
                </m:e>
                <m:sub>
                  <m:r>
                    <w:rPr>
                      <w:rFonts w:ascii="Cambria Math" w:eastAsia="Calibri" w:hAnsi="Cambria Math"/>
                      <w:color w:val="000000" w:themeColor="text1"/>
                      <w:szCs w:val="24"/>
                    </w:rPr>
                    <m:t>f</m:t>
                  </m:r>
                </m:sub>
              </m:sSub>
              <m:r>
                <w:rPr>
                  <w:rFonts w:ascii="Cambria Math" w:eastAsia="Calibri" w:hAnsi="Cambria Math"/>
                  <w:color w:val="000000" w:themeColor="text1"/>
                  <w:szCs w:val="24"/>
                </w:rPr>
                <m:t>-</m:t>
              </m:r>
              <m:sSub>
                <m:sSubPr>
                  <m:ctrlPr>
                    <w:rPr>
                      <w:rFonts w:ascii="Cambria Math" w:eastAsia="Calibri" w:hAnsi="Cambria Math"/>
                      <w:i/>
                      <w:color w:val="000000" w:themeColor="text1"/>
                      <w:szCs w:val="24"/>
                    </w:rPr>
                  </m:ctrlPr>
                </m:sSubPr>
                <m:e>
                  <m:r>
                    <w:rPr>
                      <w:rFonts w:ascii="Cambria Math" w:eastAsia="Calibri" w:hAnsi="Cambria Math"/>
                      <w:color w:val="000000" w:themeColor="text1"/>
                      <w:szCs w:val="24"/>
                    </w:rPr>
                    <m:t>P</m:t>
                  </m:r>
                </m:e>
                <m:sub>
                  <m:r>
                    <w:rPr>
                      <w:rFonts w:ascii="Cambria Math" w:eastAsia="Calibri" w:hAnsi="Cambria Math"/>
                      <w:color w:val="000000" w:themeColor="text1"/>
                      <w:szCs w:val="24"/>
                    </w:rPr>
                    <m:t>i</m:t>
                  </m:r>
                </m:sub>
              </m:sSub>
            </m:num>
            <m:den>
              <m:r>
                <m:rPr>
                  <m:sty m:val="p"/>
                </m:rPr>
                <w:rPr>
                  <w:rFonts w:ascii="Cambria Math" w:eastAsia="Calibri" w:hAnsi="Cambria Math"/>
                  <w:color w:val="000000" w:themeColor="text1"/>
                  <w:szCs w:val="24"/>
                </w:rPr>
                <m:t>ΔP</m:t>
              </m:r>
            </m:den>
          </m:f>
          <m:r>
            <w:rPr>
              <w:rFonts w:ascii="Cambria Math" w:eastAsia="Calibri" w:hAnsi="Cambria Math"/>
              <w:color w:val="000000" w:themeColor="text1"/>
              <w:szCs w:val="24"/>
            </w:rPr>
            <m:t>×100</m:t>
          </m:r>
        </m:oMath>
      </m:oMathPara>
    </w:p>
    <w:p w14:paraId="09D06B49" w14:textId="77777777" w:rsidR="00170002" w:rsidRDefault="00170002" w:rsidP="00170002">
      <w:pPr>
        <w:ind w:left="426"/>
        <w:rPr>
          <w:rFonts w:cstheme="minorBidi"/>
        </w:rPr>
      </w:pPr>
      <w:r>
        <w:t>with</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7028"/>
      </w:tblGrid>
      <w:tr w:rsidR="00170002" w:rsidRPr="00CD3DAD" w14:paraId="5AAD7245" w14:textId="77777777" w:rsidTr="00FF4684">
        <w:tc>
          <w:tcPr>
            <w:tcW w:w="1680" w:type="dxa"/>
            <w:hideMark/>
          </w:tcPr>
          <w:p w14:paraId="1BB077E9" w14:textId="64618E8B" w:rsidR="00170002" w:rsidRDefault="00000000" w:rsidP="00170002">
            <w:pPr>
              <w:spacing w:line="276" w:lineRule="auto"/>
              <w:ind w:left="-108"/>
              <w:rPr>
                <w:rFonts w:cs="Arial"/>
                <w:i/>
                <w:lang w:eastAsia="nl-NL"/>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SEF</m:t>
                    </m:r>
                  </m:e>
                  <m:sub>
                    <m:r>
                      <w:rPr>
                        <w:rFonts w:ascii="Cambria Math" w:eastAsia="Calibri" w:hAnsi="Cambria Math"/>
                        <w:color w:val="000000" w:themeColor="text1"/>
                        <w:szCs w:val="24"/>
                      </w:rPr>
                      <m:t>CNEC</m:t>
                    </m:r>
                  </m:sub>
                </m:sSub>
              </m:oMath>
            </m:oMathPara>
          </w:p>
        </w:tc>
        <w:tc>
          <w:tcPr>
            <w:tcW w:w="7028" w:type="dxa"/>
            <w:hideMark/>
          </w:tcPr>
          <w:p w14:paraId="5BF4D573" w14:textId="14508ADA" w:rsidR="00170002" w:rsidRPr="00170002" w:rsidRDefault="00170002" w:rsidP="00DC1138">
            <w:pPr>
              <w:spacing w:line="276" w:lineRule="auto"/>
              <w:rPr>
                <w:rFonts w:cs="Arial"/>
              </w:rPr>
            </w:pPr>
            <w:r w:rsidRPr="00170002">
              <w:rPr>
                <w:rFonts w:cs="Arial"/>
              </w:rPr>
              <w:t>Sensitivity factor</w:t>
            </w:r>
            <w:r>
              <w:rPr>
                <w:rFonts w:cs="Arial"/>
              </w:rPr>
              <w:t xml:space="preserve"> for CNEC</w:t>
            </w:r>
            <w:r w:rsidR="00417B75">
              <w:rPr>
                <w:rFonts w:cs="Arial"/>
              </w:rPr>
              <w:t>;</w:t>
            </w:r>
          </w:p>
        </w:tc>
      </w:tr>
      <w:tr w:rsidR="00170002" w:rsidRPr="00CD3DAD" w14:paraId="0D2BD0EE" w14:textId="77777777" w:rsidTr="00FF4684">
        <w:tc>
          <w:tcPr>
            <w:tcW w:w="1680" w:type="dxa"/>
            <w:hideMark/>
          </w:tcPr>
          <w:p w14:paraId="4B05A492" w14:textId="03ABF9A9" w:rsidR="00170002" w:rsidRDefault="00000000" w:rsidP="00170002">
            <w:pPr>
              <w:spacing w:line="276" w:lineRule="auto"/>
              <w:ind w:left="-108"/>
              <w:rPr>
                <w:rFonts w:cs="Arial"/>
                <w:i/>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P</m:t>
                    </m:r>
                  </m:e>
                  <m:sub>
                    <m:r>
                      <w:rPr>
                        <w:rFonts w:ascii="Cambria Math" w:eastAsia="Calibri" w:hAnsi="Cambria Math"/>
                        <w:color w:val="000000" w:themeColor="text1"/>
                        <w:szCs w:val="24"/>
                      </w:rPr>
                      <m:t>f</m:t>
                    </m:r>
                  </m:sub>
                </m:sSub>
              </m:oMath>
            </m:oMathPara>
          </w:p>
        </w:tc>
        <w:tc>
          <w:tcPr>
            <w:tcW w:w="7028" w:type="dxa"/>
            <w:hideMark/>
          </w:tcPr>
          <w:p w14:paraId="32875745" w14:textId="6648F221" w:rsidR="00170002" w:rsidRPr="00170002" w:rsidRDefault="00170002" w:rsidP="00DC1138">
            <w:pPr>
              <w:spacing w:line="276" w:lineRule="auto"/>
              <w:rPr>
                <w:rFonts w:cs="Arial"/>
              </w:rPr>
            </w:pPr>
            <w:r>
              <w:rPr>
                <w:rFonts w:cs="Arial"/>
              </w:rPr>
              <w:t>CNEC a</w:t>
            </w:r>
            <w:r w:rsidRPr="00170002">
              <w:rPr>
                <w:rFonts w:cs="Arial"/>
              </w:rPr>
              <w:t xml:space="preserve">ctive power flow </w:t>
            </w:r>
            <w:r>
              <w:rPr>
                <w:rFonts w:cs="Arial"/>
              </w:rPr>
              <w:t xml:space="preserve">after </w:t>
            </w:r>
            <m:oMath>
              <m:r>
                <m:rPr>
                  <m:sty m:val="p"/>
                </m:rPr>
                <w:rPr>
                  <w:rFonts w:ascii="Cambria Math" w:eastAsia="Calibri" w:hAnsi="Cambria Math"/>
                  <w:color w:val="000000" w:themeColor="text1"/>
                  <w:szCs w:val="24"/>
                </w:rPr>
                <m:t>ΔP</m:t>
              </m:r>
            </m:oMath>
            <w:r w:rsidR="00417B75">
              <w:rPr>
                <w:rFonts w:cs="Arial"/>
                <w:color w:val="000000" w:themeColor="text1"/>
                <w:szCs w:val="24"/>
              </w:rPr>
              <w:t>;</w:t>
            </w:r>
          </w:p>
        </w:tc>
      </w:tr>
      <w:tr w:rsidR="008D6E3A" w:rsidRPr="00CD3DAD" w14:paraId="7880E93A" w14:textId="77777777" w:rsidTr="00FF4684">
        <w:tc>
          <w:tcPr>
            <w:tcW w:w="1680" w:type="dxa"/>
          </w:tcPr>
          <w:p w14:paraId="0A04BC44" w14:textId="10CF3907" w:rsidR="008D6E3A" w:rsidRPr="008D6E3A" w:rsidRDefault="00000000" w:rsidP="00170002">
            <w:pPr>
              <w:spacing w:line="276" w:lineRule="auto"/>
              <w:ind w:left="-108"/>
              <w:rPr>
                <w:color w:val="000000" w:themeColor="text1"/>
                <w:szCs w:val="24"/>
                <w:lang w:val="ro-RO"/>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P</m:t>
                    </m:r>
                  </m:e>
                  <m:sub>
                    <m:r>
                      <w:rPr>
                        <w:rFonts w:ascii="Cambria Math" w:eastAsia="Calibri" w:hAnsi="Cambria Math"/>
                        <w:color w:val="000000" w:themeColor="text1"/>
                        <w:szCs w:val="24"/>
                      </w:rPr>
                      <m:t>i</m:t>
                    </m:r>
                  </m:sub>
                </m:sSub>
              </m:oMath>
            </m:oMathPara>
          </w:p>
        </w:tc>
        <w:tc>
          <w:tcPr>
            <w:tcW w:w="7028" w:type="dxa"/>
          </w:tcPr>
          <w:p w14:paraId="72B72E87" w14:textId="7BA4DB46" w:rsidR="008D6E3A" w:rsidRDefault="008D6E3A" w:rsidP="00DC1138">
            <w:pPr>
              <w:spacing w:line="276" w:lineRule="auto"/>
              <w:rPr>
                <w:rFonts w:cs="Arial"/>
              </w:rPr>
            </w:pPr>
            <w:r>
              <w:rPr>
                <w:rFonts w:cs="Arial"/>
              </w:rPr>
              <w:t>CNEC a</w:t>
            </w:r>
            <w:r w:rsidRPr="00170002">
              <w:rPr>
                <w:rFonts w:cs="Arial"/>
              </w:rPr>
              <w:t xml:space="preserve">ctive power flow </w:t>
            </w:r>
            <w:r w:rsidR="0006737D">
              <w:rPr>
                <w:rFonts w:cs="Arial"/>
              </w:rPr>
              <w:t>based on the relevant CGM</w:t>
            </w:r>
            <w:r w:rsidR="00417B75">
              <w:rPr>
                <w:rFonts w:cs="Arial"/>
              </w:rPr>
              <w:t>;</w:t>
            </w:r>
          </w:p>
        </w:tc>
      </w:tr>
      <w:tr w:rsidR="008D6E3A" w:rsidRPr="00CD3DAD" w14:paraId="7D230D3F" w14:textId="77777777" w:rsidTr="00FF4684">
        <w:tc>
          <w:tcPr>
            <w:tcW w:w="1680" w:type="dxa"/>
          </w:tcPr>
          <w:p w14:paraId="22C13A2A" w14:textId="44C022D2" w:rsidR="008D6E3A" w:rsidRPr="0006737D" w:rsidRDefault="008D6E3A" w:rsidP="00170002">
            <w:pPr>
              <w:spacing w:line="276" w:lineRule="auto"/>
              <w:ind w:left="-108"/>
              <w:rPr>
                <w:color w:val="000000" w:themeColor="text1"/>
                <w:szCs w:val="24"/>
                <w:lang w:val="ro-RO"/>
              </w:rPr>
            </w:pPr>
            <m:oMathPara>
              <m:oMathParaPr>
                <m:jc m:val="left"/>
              </m:oMathParaPr>
              <m:oMath>
                <m:r>
                  <m:rPr>
                    <m:sty m:val="p"/>
                  </m:rPr>
                  <w:rPr>
                    <w:rFonts w:ascii="Cambria Math" w:eastAsia="Calibri" w:hAnsi="Cambria Math"/>
                    <w:color w:val="000000" w:themeColor="text1"/>
                    <w:szCs w:val="24"/>
                  </w:rPr>
                  <m:t>ΔP</m:t>
                </m:r>
              </m:oMath>
            </m:oMathPara>
          </w:p>
        </w:tc>
        <w:tc>
          <w:tcPr>
            <w:tcW w:w="7028" w:type="dxa"/>
          </w:tcPr>
          <w:p w14:paraId="69E123B0" w14:textId="24E0A236" w:rsidR="008D6E3A" w:rsidRDefault="0006737D" w:rsidP="00417B75">
            <w:pPr>
              <w:spacing w:line="276" w:lineRule="auto"/>
              <w:jc w:val="both"/>
              <w:rPr>
                <w:rFonts w:cs="Arial"/>
              </w:rPr>
            </w:pPr>
            <w:r>
              <w:rPr>
                <w:rFonts w:cs="Arial"/>
              </w:rPr>
              <w:t xml:space="preserve">Increase of the exchange with 100 MW through </w:t>
            </w:r>
            <w:r w:rsidR="00417B75">
              <w:rPr>
                <w:rFonts w:cs="Arial"/>
              </w:rPr>
              <w:t>the north Greek borders, respectively south Romania borders.</w:t>
            </w:r>
            <w:r w:rsidR="00417B75" w:rsidDel="00417B75">
              <w:rPr>
                <w:rStyle w:val="CommentReference"/>
              </w:rPr>
              <w:t xml:space="preserve"> </w:t>
            </w:r>
          </w:p>
        </w:tc>
      </w:tr>
    </w:tbl>
    <w:p w14:paraId="5CD48ED4" w14:textId="74719C64" w:rsidR="001462F5" w:rsidRDefault="001462F5" w:rsidP="00417B75">
      <w:pPr>
        <w:pStyle w:val="ListParagraph"/>
        <w:widowControl/>
        <w:numPr>
          <w:ilvl w:val="0"/>
          <w:numId w:val="75"/>
        </w:numPr>
        <w:tabs>
          <w:tab w:val="left" w:pos="-6663"/>
        </w:tabs>
        <w:spacing w:before="200" w:after="200" w:line="276" w:lineRule="auto"/>
        <w:ind w:left="425" w:right="-45" w:hanging="357"/>
      </w:pPr>
      <w:r>
        <w:t xml:space="preserve">SEE CCR cross-zonal network elements are by definition considered to be significantly impacted. The other CNECs </w:t>
      </w:r>
      <w:r w:rsidR="00170002">
        <w:t xml:space="preserve">from initial list </w:t>
      </w:r>
      <w:r>
        <w:t>shall have a sensitivity factor</w:t>
      </w:r>
      <w:r w:rsidRPr="00FA7F49" w:rsidDel="000E2261">
        <w:rPr>
          <w:i/>
        </w:rPr>
        <w:t xml:space="preserve"> </w:t>
      </w:r>
      <w:r w:rsidR="00170002">
        <w:t>equal or higher than</w:t>
      </w:r>
      <w:r w:rsidRPr="0067798F">
        <w:t xml:space="preserve"> </w:t>
      </w:r>
      <w:r>
        <w:t>5</w:t>
      </w:r>
      <w:r w:rsidRPr="0067798F">
        <w:t>%</w:t>
      </w:r>
      <w:r>
        <w:t xml:space="preserve"> to </w:t>
      </w:r>
      <w:r w:rsidRPr="00FA7F49">
        <w:rPr>
          <w:rFonts w:cs="Arial"/>
        </w:rPr>
        <w:t xml:space="preserve">be taken into account in all of the steps of the common capacity calculation </w:t>
      </w:r>
      <w:r w:rsidR="00170002">
        <w:rPr>
          <w:rFonts w:cs="Arial"/>
        </w:rPr>
        <w:t>to</w:t>
      </w:r>
      <w:r w:rsidRPr="00FA7F49">
        <w:rPr>
          <w:rFonts w:cs="Arial"/>
        </w:rPr>
        <w:t xml:space="preserve"> determine the cross-zonal capacity.</w:t>
      </w:r>
    </w:p>
    <w:p w14:paraId="1E4EED75" w14:textId="072AA858" w:rsidR="0050345F" w:rsidRDefault="0050345F" w:rsidP="00950EB6">
      <w:pPr>
        <w:pStyle w:val="ListParagraph"/>
        <w:widowControl/>
        <w:numPr>
          <w:ilvl w:val="0"/>
          <w:numId w:val="75"/>
        </w:numPr>
        <w:tabs>
          <w:tab w:val="left" w:pos="-6663"/>
        </w:tabs>
        <w:spacing w:line="276" w:lineRule="auto"/>
        <w:ind w:left="426" w:right="-46"/>
        <w:contextualSpacing/>
      </w:pPr>
      <w:r>
        <w:t xml:space="preserve">In an exceptional situation, such as extreme weather conditions, untypical flow conditions or topology or grid situation, a TSO may decide to modify the CNEC list </w:t>
      </w:r>
      <w:r w:rsidR="00E81DD4">
        <w:t>defined</w:t>
      </w:r>
      <w:r>
        <w:t xml:space="preserve"> in</w:t>
      </w:r>
      <w:r w:rsidR="00E81DD4">
        <w:t xml:space="preserve"> accordance with</w:t>
      </w:r>
      <w:r>
        <w:t xml:space="preserve"> Article 7</w:t>
      </w:r>
      <w:r w:rsidR="00E81DD4">
        <w:t>a</w:t>
      </w:r>
      <w:r>
        <w:t>(</w:t>
      </w:r>
      <w:r w:rsidR="00E81DD4">
        <w:t>4</w:t>
      </w:r>
      <w:r>
        <w:t xml:space="preserve">) for one or several </w:t>
      </w:r>
      <w:r w:rsidR="004D1B17">
        <w:t>MTUs</w:t>
      </w:r>
      <w:r>
        <w:t xml:space="preserve"> covering the expected period of presence of the exceptional situation. </w:t>
      </w:r>
    </w:p>
    <w:p w14:paraId="54F858A7" w14:textId="77777777" w:rsidR="0050345F" w:rsidRPr="00497E28" w:rsidRDefault="0050345F" w:rsidP="0050345F">
      <w:pPr>
        <w:pStyle w:val="ListParagraph"/>
        <w:widowControl/>
        <w:numPr>
          <w:ilvl w:val="1"/>
          <w:numId w:val="53"/>
        </w:numPr>
        <w:spacing w:line="276" w:lineRule="auto"/>
        <w:ind w:left="993" w:right="0"/>
        <w:contextualSpacing/>
        <w:rPr>
          <w:rFonts w:cs="Arial"/>
        </w:rPr>
      </w:pPr>
      <w:r w:rsidRPr="00497E28">
        <w:rPr>
          <w:rFonts w:cs="Arial"/>
        </w:rPr>
        <w:t xml:space="preserve">In case a TSO decides, in an exceptional situation, to </w:t>
      </w:r>
      <w:r>
        <w:rPr>
          <w:rFonts w:cs="Arial"/>
        </w:rPr>
        <w:t xml:space="preserve">use </w:t>
      </w:r>
      <w:r w:rsidRPr="00497E28">
        <w:rPr>
          <w:rFonts w:cs="Arial"/>
        </w:rPr>
        <w:t xml:space="preserve">a CNEC </w:t>
      </w:r>
      <w:r>
        <w:rPr>
          <w:rFonts w:cs="Arial"/>
        </w:rPr>
        <w:t xml:space="preserve">or node </w:t>
      </w:r>
      <w:r w:rsidRPr="00497E28">
        <w:rPr>
          <w:rFonts w:cs="Arial"/>
        </w:rPr>
        <w:t xml:space="preserve">which is not significantly influenced by the changes in bidding zone net positions, the respective TSO shall inform </w:t>
      </w:r>
      <w:r>
        <w:rPr>
          <w:rFonts w:cs="Arial"/>
        </w:rPr>
        <w:t xml:space="preserve">SEE </w:t>
      </w:r>
      <w:r w:rsidRPr="00497E28">
        <w:rPr>
          <w:rFonts w:cs="Arial"/>
        </w:rPr>
        <w:t xml:space="preserve">national </w:t>
      </w:r>
      <w:r w:rsidRPr="00497E28">
        <w:rPr>
          <w:rFonts w:cs="Arial"/>
        </w:rPr>
        <w:lastRenderedPageBreak/>
        <w:t xml:space="preserve">regulatory authorities </w:t>
      </w:r>
      <w:r>
        <w:rPr>
          <w:rFonts w:cs="Arial"/>
        </w:rPr>
        <w:t xml:space="preserve">without undue delay </w:t>
      </w:r>
      <w:r w:rsidRPr="00497E28">
        <w:rPr>
          <w:rFonts w:cs="Arial"/>
        </w:rPr>
        <w:t>and provide a clear description of the specific situation providing detailed information such as the specific topology or grid situation that led to this decision</w:t>
      </w:r>
      <w:r>
        <w:rPr>
          <w:rFonts w:cs="Arial"/>
        </w:rPr>
        <w:t>;</w:t>
      </w:r>
      <w:r w:rsidRPr="00497E28">
        <w:rPr>
          <w:rFonts w:cs="Arial"/>
        </w:rPr>
        <w:t xml:space="preserve"> </w:t>
      </w:r>
    </w:p>
    <w:p w14:paraId="566DD805" w14:textId="77777777" w:rsidR="0050345F" w:rsidRPr="00497E28" w:rsidRDefault="0050345F" w:rsidP="0050345F">
      <w:pPr>
        <w:pStyle w:val="ListParagraph"/>
        <w:widowControl/>
        <w:numPr>
          <w:ilvl w:val="1"/>
          <w:numId w:val="53"/>
        </w:numPr>
        <w:spacing w:after="200" w:line="276" w:lineRule="auto"/>
        <w:ind w:left="993" w:right="0"/>
        <w:rPr>
          <w:rFonts w:cs="Arial"/>
        </w:rPr>
      </w:pPr>
      <w:r w:rsidRPr="00497E28">
        <w:rPr>
          <w:rFonts w:cs="Arial"/>
        </w:rPr>
        <w:t xml:space="preserve">In case a TSO decides, in an exceptional situation, to exclude a CNEC </w:t>
      </w:r>
      <w:r>
        <w:rPr>
          <w:rFonts w:cs="Arial"/>
        </w:rPr>
        <w:t xml:space="preserve">or node </w:t>
      </w:r>
      <w:r w:rsidRPr="00497E28">
        <w:rPr>
          <w:rFonts w:cs="Arial"/>
        </w:rPr>
        <w:t xml:space="preserve">which is significantly influenced by the changes in bidding zone net positions, the respective TSO shall </w:t>
      </w:r>
      <w:r>
        <w:rPr>
          <w:rFonts w:cs="Arial"/>
        </w:rPr>
        <w:t>inform</w:t>
      </w:r>
      <w:r w:rsidRPr="00497E28">
        <w:rPr>
          <w:rFonts w:cs="Arial"/>
        </w:rPr>
        <w:t xml:space="preserve"> </w:t>
      </w:r>
      <w:r>
        <w:rPr>
          <w:rFonts w:cs="Arial"/>
        </w:rPr>
        <w:t>SEE</w:t>
      </w:r>
      <w:r w:rsidRPr="00497E28">
        <w:rPr>
          <w:rFonts w:cs="Arial"/>
        </w:rPr>
        <w:t xml:space="preserve"> national regulatory authorities </w:t>
      </w:r>
      <w:r>
        <w:rPr>
          <w:rFonts w:cs="Arial"/>
        </w:rPr>
        <w:t xml:space="preserve">without undue delay </w:t>
      </w:r>
      <w:r w:rsidRPr="006906C0">
        <w:rPr>
          <w:rFonts w:cs="Arial"/>
        </w:rPr>
        <w:t xml:space="preserve">and provide </w:t>
      </w:r>
      <w:r w:rsidRPr="00497E28">
        <w:rPr>
          <w:rFonts w:cs="Arial"/>
        </w:rPr>
        <w:t xml:space="preserve">a clear description of the specific situation providing detailed information such as the specific topological or grid situation that led to this decision. </w:t>
      </w:r>
    </w:p>
    <w:p w14:paraId="55A23398" w14:textId="5A2E6FDA" w:rsidR="00B70A80" w:rsidRDefault="00F827C5" w:rsidP="00F827C5">
      <w:pPr>
        <w:pStyle w:val="Title1"/>
        <w:numPr>
          <w:ilvl w:val="0"/>
          <w:numId w:val="75"/>
        </w:numPr>
        <w:spacing w:after="240" w:line="276" w:lineRule="auto"/>
        <w:ind w:left="425" w:right="-45" w:hanging="357"/>
        <w:jc w:val="both"/>
        <w:rPr>
          <w:b w:val="0"/>
          <w:bCs w:val="0"/>
          <w:color w:val="auto"/>
          <w:sz w:val="22"/>
          <w:szCs w:val="22"/>
        </w:rPr>
      </w:pPr>
      <w:r>
        <w:rPr>
          <w:b w:val="0"/>
          <w:bCs w:val="0"/>
          <w:color w:val="auto"/>
          <w:sz w:val="22"/>
          <w:szCs w:val="22"/>
        </w:rPr>
        <w:t>The TSOs shall investigate whether a higher sensitivity threshold could be taken into account while guarantying security of supply, as a mid-term measure.</w:t>
      </w:r>
      <w:r w:rsidR="007F5316">
        <w:rPr>
          <w:b w:val="0"/>
          <w:bCs w:val="0"/>
          <w:color w:val="auto"/>
          <w:sz w:val="22"/>
          <w:szCs w:val="22"/>
        </w:rPr>
        <w:t xml:space="preserve"> </w:t>
      </w:r>
      <w:r w:rsidR="007F5316" w:rsidRPr="007F5316">
        <w:rPr>
          <w:b w:val="0"/>
          <w:bCs w:val="0"/>
          <w:color w:val="auto"/>
          <w:sz w:val="22"/>
          <w:szCs w:val="22"/>
        </w:rPr>
        <w:t xml:space="preserve">A study </w:t>
      </w:r>
      <w:r w:rsidR="007F5316">
        <w:rPr>
          <w:b w:val="0"/>
          <w:bCs w:val="0"/>
          <w:color w:val="auto"/>
          <w:sz w:val="22"/>
          <w:szCs w:val="22"/>
        </w:rPr>
        <w:t>shall</w:t>
      </w:r>
      <w:r w:rsidR="007F5316" w:rsidRPr="007F5316">
        <w:rPr>
          <w:b w:val="0"/>
          <w:bCs w:val="0"/>
          <w:color w:val="auto"/>
          <w:sz w:val="22"/>
          <w:szCs w:val="22"/>
        </w:rPr>
        <w:t xml:space="preserve"> be provided to the relevant regulatory authorities </w:t>
      </w:r>
      <w:r w:rsidR="007F5316">
        <w:rPr>
          <w:b w:val="0"/>
          <w:bCs w:val="0"/>
          <w:color w:val="auto"/>
          <w:sz w:val="22"/>
          <w:szCs w:val="22"/>
        </w:rPr>
        <w:t>in</w:t>
      </w:r>
      <w:r w:rsidR="007F5316" w:rsidRPr="007F5316">
        <w:rPr>
          <w:b w:val="0"/>
          <w:bCs w:val="0"/>
          <w:color w:val="auto"/>
          <w:sz w:val="22"/>
          <w:szCs w:val="22"/>
        </w:rPr>
        <w:t xml:space="preserve"> 3 months after collecting 1 year of data since the day-ahead capacity calculation go-live.</w:t>
      </w:r>
    </w:p>
    <w:p w14:paraId="21F94BEC" w14:textId="4024726C" w:rsidR="00F827C5" w:rsidRDefault="00F827C5" w:rsidP="00464615">
      <w:pPr>
        <w:pStyle w:val="Title1"/>
        <w:numPr>
          <w:ilvl w:val="0"/>
          <w:numId w:val="75"/>
        </w:numPr>
        <w:spacing w:line="276" w:lineRule="auto"/>
        <w:ind w:left="425" w:right="-45" w:hanging="357"/>
        <w:jc w:val="both"/>
        <w:rPr>
          <w:b w:val="0"/>
          <w:bCs w:val="0"/>
          <w:color w:val="auto"/>
          <w:sz w:val="22"/>
          <w:szCs w:val="22"/>
        </w:rPr>
      </w:pPr>
      <w:r w:rsidRPr="003F4AB0">
        <w:rPr>
          <w:b w:val="0"/>
          <w:bCs w:val="0"/>
          <w:color w:val="auto"/>
          <w:sz w:val="22"/>
          <w:szCs w:val="22"/>
        </w:rPr>
        <w:t>The TS</w:t>
      </w:r>
      <w:r w:rsidRPr="003A7AC3">
        <w:rPr>
          <w:b w:val="0"/>
          <w:bCs w:val="0"/>
          <w:color w:val="auto"/>
          <w:sz w:val="22"/>
          <w:szCs w:val="22"/>
        </w:rPr>
        <w:t xml:space="preserve">Os shall </w:t>
      </w:r>
      <w:r w:rsidRPr="003F4AB0">
        <w:rPr>
          <w:b w:val="0"/>
          <w:bCs w:val="0"/>
          <w:color w:val="auto"/>
          <w:sz w:val="22"/>
          <w:szCs w:val="22"/>
        </w:rPr>
        <w:t xml:space="preserve">consider efficient </w:t>
      </w:r>
      <w:r w:rsidR="003F4AB0" w:rsidRPr="003F4AB0">
        <w:rPr>
          <w:b w:val="0"/>
          <w:bCs w:val="0"/>
          <w:color w:val="auto"/>
          <w:sz w:val="22"/>
          <w:szCs w:val="22"/>
        </w:rPr>
        <w:t>investments</w:t>
      </w:r>
      <w:r w:rsidRPr="003F4AB0">
        <w:rPr>
          <w:b w:val="0"/>
          <w:bCs w:val="0"/>
          <w:color w:val="auto"/>
          <w:sz w:val="22"/>
          <w:szCs w:val="22"/>
        </w:rPr>
        <w:t xml:space="preserve">, as a </w:t>
      </w:r>
      <w:r w:rsidR="003F4AB0" w:rsidRPr="003F4AB0">
        <w:rPr>
          <w:b w:val="0"/>
          <w:bCs w:val="0"/>
          <w:color w:val="auto"/>
          <w:sz w:val="22"/>
          <w:szCs w:val="22"/>
        </w:rPr>
        <w:t>long-term</w:t>
      </w:r>
      <w:r w:rsidRPr="003F4AB0">
        <w:rPr>
          <w:b w:val="0"/>
          <w:bCs w:val="0"/>
          <w:color w:val="auto"/>
          <w:sz w:val="22"/>
          <w:szCs w:val="22"/>
        </w:rPr>
        <w:t xml:space="preserve"> measure.</w:t>
      </w:r>
    </w:p>
    <w:p w14:paraId="6F2E2B91" w14:textId="77777777" w:rsidR="00464615" w:rsidRPr="003F4AB0" w:rsidRDefault="00464615" w:rsidP="00464615">
      <w:pPr>
        <w:pStyle w:val="Title1"/>
        <w:spacing w:line="276" w:lineRule="auto"/>
        <w:ind w:left="425" w:right="-45"/>
        <w:jc w:val="both"/>
        <w:rPr>
          <w:b w:val="0"/>
          <w:bCs w:val="0"/>
          <w:color w:val="auto"/>
          <w:sz w:val="22"/>
          <w:szCs w:val="22"/>
        </w:rPr>
      </w:pPr>
    </w:p>
    <w:p w14:paraId="0591C947" w14:textId="77777777" w:rsidR="002A72C5" w:rsidRDefault="007F2107" w:rsidP="008A255B">
      <w:pPr>
        <w:pStyle w:val="Title1"/>
        <w:spacing w:line="276" w:lineRule="auto"/>
      </w:pPr>
      <w:r>
        <w:t>Article 8</w:t>
      </w:r>
    </w:p>
    <w:p w14:paraId="44E36EB3" w14:textId="15F56A08" w:rsidR="002A72C5" w:rsidRDefault="007F2107" w:rsidP="008A255B">
      <w:pPr>
        <w:pStyle w:val="Title1"/>
        <w:spacing w:line="276" w:lineRule="auto"/>
      </w:pPr>
      <w:r>
        <w:t>Generation shift keys methodology</w:t>
      </w:r>
    </w:p>
    <w:p w14:paraId="0F357629" w14:textId="77777777" w:rsidR="000C3BEA" w:rsidRPr="008A6480" w:rsidRDefault="000C3BEA" w:rsidP="008A255B">
      <w:pPr>
        <w:pStyle w:val="BodyText"/>
        <w:spacing w:line="276" w:lineRule="auto"/>
        <w:rPr>
          <w:b/>
          <w:sz w:val="24"/>
          <w:szCs w:val="24"/>
        </w:rPr>
      </w:pPr>
    </w:p>
    <w:p w14:paraId="6EE34769" w14:textId="408C93CB" w:rsidR="00512316" w:rsidRDefault="00512316" w:rsidP="00512316">
      <w:pPr>
        <w:pStyle w:val="ListParagraph"/>
        <w:widowControl/>
        <w:numPr>
          <w:ilvl w:val="0"/>
          <w:numId w:val="50"/>
        </w:numPr>
        <w:spacing w:after="200" w:line="276" w:lineRule="auto"/>
        <w:ind w:left="357" w:right="0" w:hanging="357"/>
        <w:rPr>
          <w:rFonts w:cs="Arial"/>
        </w:rPr>
      </w:pPr>
      <w:bookmarkStart w:id="5" w:name="_Toc448236469"/>
      <w:r w:rsidRPr="000D2620">
        <w:t xml:space="preserve">Each </w:t>
      </w:r>
      <w:r>
        <w:t>SEE</w:t>
      </w:r>
      <w:r w:rsidRPr="000D2620">
        <w:t xml:space="preserve"> TSO shall define for its bidding zone and for each </w:t>
      </w:r>
      <w:r>
        <w:t>MTU</w:t>
      </w:r>
      <w:r w:rsidRPr="000D2620">
        <w:t xml:space="preserve"> a GSK</w:t>
      </w:r>
      <w:r>
        <w:t>,</w:t>
      </w:r>
      <w:r w:rsidRPr="000D2620">
        <w:t xml:space="preserve"> </w:t>
      </w:r>
      <w:r>
        <w:t>which</w:t>
      </w:r>
      <w:r w:rsidRPr="000D2620">
        <w:t xml:space="preserve"> translates a change in </w:t>
      </w:r>
      <w:r>
        <w:t>a</w:t>
      </w:r>
      <w:r w:rsidRPr="000D2620">
        <w:t xml:space="preserve"> bidding zone net position </w:t>
      </w:r>
      <w:r>
        <w:t>in</w:t>
      </w:r>
      <w:r w:rsidRPr="000D2620">
        <w:t xml:space="preserve">to a specific change of </w:t>
      </w:r>
      <w:r>
        <w:t>injection or withdrawal</w:t>
      </w:r>
      <w:r w:rsidRPr="000D2620">
        <w:t xml:space="preserve"> in the </w:t>
      </w:r>
      <w:r>
        <w:t>CGM</w:t>
      </w:r>
      <w:r w:rsidRPr="000D2620">
        <w:t>.</w:t>
      </w:r>
      <w:r>
        <w:t xml:space="preserve"> </w:t>
      </w:r>
      <w:r w:rsidRPr="005C50F1">
        <w:t xml:space="preserve">This expectation shall be </w:t>
      </w:r>
      <w:r>
        <w:t>based on</w:t>
      </w:r>
      <w:r w:rsidRPr="005C50F1">
        <w:t xml:space="preserve"> the observed historical response of generation units to changes in net positions, clearing prices and other fundamental factors, and thereby con</w:t>
      </w:r>
      <w:r>
        <w:t>tributing to minimizing the RM.</w:t>
      </w:r>
    </w:p>
    <w:p w14:paraId="236758A2" w14:textId="77777777" w:rsidR="008A6480" w:rsidRPr="008F31AE" w:rsidRDefault="008A6480" w:rsidP="008A255B">
      <w:pPr>
        <w:pStyle w:val="ListParagraph"/>
        <w:widowControl/>
        <w:numPr>
          <w:ilvl w:val="0"/>
          <w:numId w:val="50"/>
        </w:numPr>
        <w:spacing w:line="276" w:lineRule="auto"/>
        <w:ind w:right="0"/>
        <w:contextualSpacing/>
        <w:rPr>
          <w:rFonts w:cs="Arial"/>
        </w:rPr>
      </w:pPr>
      <w:r w:rsidRPr="008F31AE">
        <w:rPr>
          <w:rFonts w:cs="Arial"/>
        </w:rPr>
        <w:t xml:space="preserve">In accordance with </w:t>
      </w:r>
      <w:r>
        <w:rPr>
          <w:rFonts w:cs="Arial"/>
        </w:rPr>
        <w:t>Article</w:t>
      </w:r>
      <w:r w:rsidRPr="008F31AE">
        <w:rPr>
          <w:rFonts w:cs="Arial"/>
        </w:rPr>
        <w:t xml:space="preserve"> 24 of the CACM Regulation, </w:t>
      </w:r>
      <w:r>
        <w:rPr>
          <w:rFonts w:cs="Arial"/>
        </w:rPr>
        <w:t>SEE</w:t>
      </w:r>
      <w:r w:rsidRPr="008F31AE">
        <w:rPr>
          <w:rFonts w:cs="Arial"/>
        </w:rPr>
        <w:t xml:space="preserve"> TSOs developed the following methodology to determine the common generation shift key:</w:t>
      </w:r>
    </w:p>
    <w:p w14:paraId="4EC00A9A" w14:textId="6C0EBAF8" w:rsidR="008A6480" w:rsidRPr="00E5280D" w:rsidRDefault="008A6480" w:rsidP="00F47E12">
      <w:pPr>
        <w:pStyle w:val="ListParagraph"/>
        <w:widowControl/>
        <w:numPr>
          <w:ilvl w:val="1"/>
          <w:numId w:val="77"/>
        </w:numPr>
        <w:spacing w:line="276" w:lineRule="auto"/>
        <w:ind w:left="993" w:right="0"/>
        <w:contextualSpacing/>
        <w:rPr>
          <w:rFonts w:cs="Arial"/>
        </w:rPr>
      </w:pPr>
      <w:r>
        <w:rPr>
          <w:rFonts w:cs="Arial"/>
        </w:rPr>
        <w:t>SEE</w:t>
      </w:r>
      <w:r w:rsidRPr="00E5280D">
        <w:rPr>
          <w:rFonts w:cs="Arial"/>
        </w:rPr>
        <w:t xml:space="preserve"> TSOs shall take into account the available information on generation</w:t>
      </w:r>
      <w:r w:rsidR="0029565F">
        <w:rPr>
          <w:rFonts w:cs="Arial"/>
        </w:rPr>
        <w:t xml:space="preserve"> </w:t>
      </w:r>
      <w:r w:rsidRPr="00E5280D">
        <w:rPr>
          <w:rFonts w:cs="Arial"/>
        </w:rPr>
        <w:t xml:space="preserve">available in the common grid model for each scenario developed in accordance with </w:t>
      </w:r>
      <w:r>
        <w:rPr>
          <w:rFonts w:cs="Arial"/>
        </w:rPr>
        <w:t>Article</w:t>
      </w:r>
      <w:r w:rsidRPr="00E5280D">
        <w:rPr>
          <w:rFonts w:cs="Arial"/>
        </w:rPr>
        <w:t xml:space="preserve"> 18 of the CACM Regulation in order to select the nodes that will contribute to the </w:t>
      </w:r>
      <w:r w:rsidR="00EF4B5B">
        <w:rPr>
          <w:rFonts w:cs="Arial"/>
        </w:rPr>
        <w:t>GSK</w:t>
      </w:r>
      <w:r w:rsidRPr="00E5280D">
        <w:rPr>
          <w:rFonts w:cs="Arial"/>
        </w:rPr>
        <w:t>;</w:t>
      </w:r>
    </w:p>
    <w:p w14:paraId="575143BD" w14:textId="01A3EA09" w:rsidR="00CA4079" w:rsidRDefault="008A6480" w:rsidP="00F47E12">
      <w:pPr>
        <w:pStyle w:val="ListParagraph"/>
        <w:widowControl/>
        <w:numPr>
          <w:ilvl w:val="1"/>
          <w:numId w:val="77"/>
        </w:numPr>
        <w:spacing w:line="276" w:lineRule="auto"/>
        <w:ind w:left="993" w:right="0"/>
        <w:contextualSpacing/>
        <w:rPr>
          <w:rFonts w:cs="Arial"/>
        </w:rPr>
      </w:pPr>
      <w:r>
        <w:rPr>
          <w:rFonts w:cs="Arial"/>
        </w:rPr>
        <w:t>SEE</w:t>
      </w:r>
      <w:r w:rsidRPr="00E5280D">
        <w:rPr>
          <w:rFonts w:cs="Arial"/>
        </w:rPr>
        <w:t xml:space="preserve"> TSO</w:t>
      </w:r>
      <w:r w:rsidR="003967F5">
        <w:rPr>
          <w:rFonts w:cs="Arial"/>
        </w:rPr>
        <w:t>s</w:t>
      </w:r>
      <w:r w:rsidRPr="00E5280D">
        <w:rPr>
          <w:rFonts w:cs="Arial"/>
        </w:rPr>
        <w:t xml:space="preserve"> shall aim to </w:t>
      </w:r>
      <w:r>
        <w:rPr>
          <w:rFonts w:cs="Arial"/>
        </w:rPr>
        <w:t>apply</w:t>
      </w:r>
      <w:r w:rsidRPr="00E5280D">
        <w:rPr>
          <w:rFonts w:cs="Arial"/>
        </w:rPr>
        <w:t xml:space="preserve"> a GSK that </w:t>
      </w:r>
      <w:r>
        <w:rPr>
          <w:rFonts w:cs="Arial"/>
        </w:rPr>
        <w:t>resembles the dispatch and the corresponding flow pattern, thereby contributing to minimizing the reliability margins</w:t>
      </w:r>
      <w:r w:rsidRPr="00E5280D">
        <w:rPr>
          <w:rFonts w:cs="Arial"/>
        </w:rPr>
        <w:t>;</w:t>
      </w:r>
    </w:p>
    <w:p w14:paraId="3863A849" w14:textId="226E19D1" w:rsidR="008A6480" w:rsidRPr="00E5280D" w:rsidRDefault="00CA4079" w:rsidP="00F47E12">
      <w:pPr>
        <w:pStyle w:val="ListParagraph"/>
        <w:widowControl/>
        <w:numPr>
          <w:ilvl w:val="1"/>
          <w:numId w:val="77"/>
        </w:numPr>
        <w:spacing w:after="200" w:line="276" w:lineRule="auto"/>
        <w:ind w:left="992" w:right="0" w:hanging="357"/>
        <w:rPr>
          <w:rFonts w:cs="Arial"/>
        </w:rPr>
      </w:pPr>
      <w:r>
        <w:rPr>
          <w:rFonts w:cs="Arial"/>
        </w:rPr>
        <w:t>SEE TSOs shall define a constant generation shift key per market time unit.</w:t>
      </w:r>
    </w:p>
    <w:p w14:paraId="2D1018F0" w14:textId="2E071D3B" w:rsidR="008A6480" w:rsidRDefault="008A6480" w:rsidP="00F23F84">
      <w:pPr>
        <w:pStyle w:val="ListParagraph"/>
        <w:widowControl/>
        <w:numPr>
          <w:ilvl w:val="0"/>
          <w:numId w:val="50"/>
        </w:numPr>
        <w:spacing w:after="200" w:line="276" w:lineRule="auto"/>
        <w:ind w:right="0"/>
      </w:pPr>
      <w:r w:rsidRPr="00E5280D">
        <w:rPr>
          <w:rFonts w:cs="Arial"/>
        </w:rPr>
        <w:t xml:space="preserve">For the application of the methodology, </w:t>
      </w:r>
      <w:r>
        <w:rPr>
          <w:rFonts w:cs="Arial"/>
        </w:rPr>
        <w:t>SEE</w:t>
      </w:r>
      <w:r w:rsidRPr="00E5280D">
        <w:rPr>
          <w:rFonts w:cs="Arial"/>
        </w:rPr>
        <w:t xml:space="preserve"> TSOs </w:t>
      </w:r>
      <w:r>
        <w:rPr>
          <w:rFonts w:cs="Arial"/>
        </w:rPr>
        <w:t>shall</w:t>
      </w:r>
      <w:r w:rsidRPr="00E5280D">
        <w:rPr>
          <w:rFonts w:cs="Arial"/>
        </w:rPr>
        <w:t xml:space="preserve"> define</w:t>
      </w:r>
      <w:r>
        <w:rPr>
          <w:rFonts w:cs="Arial"/>
        </w:rPr>
        <w:t xml:space="preserve">, for the capacity calculation process, </w:t>
      </w:r>
      <w:r w:rsidR="00737FF7">
        <w:t>GSKs</w:t>
      </w:r>
      <w:r w:rsidRPr="00E5280D">
        <w:t xml:space="preserve"> </w:t>
      </w:r>
      <w:r>
        <w:t>impacted</w:t>
      </w:r>
      <w:r w:rsidRPr="00E5280D">
        <w:t xml:space="preserve"> </w:t>
      </w:r>
      <w:r>
        <w:t>by the actual generation present in the</w:t>
      </w:r>
      <w:r w:rsidRPr="00E5280D">
        <w:t xml:space="preserve"> </w:t>
      </w:r>
      <w:r w:rsidR="00B63A0B">
        <w:t>relevant</w:t>
      </w:r>
      <w:r w:rsidRPr="00E5280D">
        <w:t xml:space="preserve"> CGM</w:t>
      </w:r>
      <w:r>
        <w:t>,</w:t>
      </w:r>
      <w:r w:rsidRPr="00E5280D">
        <w:t xml:space="preserve"> for each </w:t>
      </w:r>
      <w:r w:rsidR="004E457B">
        <w:t>MTU</w:t>
      </w:r>
      <w:r>
        <w:t xml:space="preserve">. </w:t>
      </w:r>
      <w:r w:rsidR="00716F6A" w:rsidRPr="00266F1B">
        <w:t>SEE TSOs shall take into account the available information on generation available in the CGM in order to select the nodes that will contribute to the GSK.</w:t>
      </w:r>
    </w:p>
    <w:bookmarkEnd w:id="5"/>
    <w:p w14:paraId="5D9984D4" w14:textId="0A47375D" w:rsidR="008A6480" w:rsidRDefault="008A6480" w:rsidP="00F23F84">
      <w:pPr>
        <w:pStyle w:val="ListParagraph"/>
        <w:widowControl/>
        <w:numPr>
          <w:ilvl w:val="0"/>
          <w:numId w:val="50"/>
        </w:numPr>
        <w:spacing w:line="276" w:lineRule="auto"/>
        <w:ind w:right="0"/>
        <w:contextualSpacing/>
        <w:rPr>
          <w:rFonts w:cs="Arial"/>
        </w:rPr>
      </w:pPr>
      <w:r>
        <w:rPr>
          <w:rFonts w:cs="Arial"/>
        </w:rPr>
        <w:t>SEE</w:t>
      </w:r>
      <w:r w:rsidRPr="00E5280D">
        <w:rPr>
          <w:rFonts w:cs="Arial"/>
        </w:rPr>
        <w:t xml:space="preserve"> TSOs have harmonized their GSK determination methodologies</w:t>
      </w:r>
      <w:r>
        <w:rPr>
          <w:rFonts w:cs="Arial"/>
        </w:rPr>
        <w:t xml:space="preserve">: </w:t>
      </w:r>
    </w:p>
    <w:p w14:paraId="6589AA75" w14:textId="0C81FE83" w:rsidR="008A6480" w:rsidRDefault="008A6480" w:rsidP="00C40807">
      <w:pPr>
        <w:pStyle w:val="ListParagraph"/>
        <w:numPr>
          <w:ilvl w:val="0"/>
          <w:numId w:val="27"/>
        </w:numPr>
        <w:spacing w:line="276" w:lineRule="auto"/>
        <w:ind w:left="993" w:right="-46"/>
        <w:contextualSpacing/>
        <w:rPr>
          <w:rFonts w:cs="Arial"/>
        </w:rPr>
      </w:pPr>
      <w:r w:rsidRPr="00E2217B">
        <w:rPr>
          <w:rFonts w:cs="Arial"/>
        </w:rPr>
        <w:t>In its GSK, each TSO shall use flexible and controllable production units which are available inside the TSO grid</w:t>
      </w:r>
      <w:r w:rsidR="00266F1B">
        <w:rPr>
          <w:rFonts w:cs="Arial"/>
        </w:rPr>
        <w:t>;</w:t>
      </w:r>
      <w:r w:rsidRPr="00E2217B">
        <w:rPr>
          <w:rFonts w:cs="Arial"/>
        </w:rPr>
        <w:t xml:space="preserve"> </w:t>
      </w:r>
    </w:p>
    <w:p w14:paraId="6D5D247E" w14:textId="4926E2C0" w:rsidR="008A6480" w:rsidRDefault="008A6480" w:rsidP="00C40807">
      <w:pPr>
        <w:pStyle w:val="ListParagraph"/>
        <w:numPr>
          <w:ilvl w:val="0"/>
          <w:numId w:val="27"/>
        </w:numPr>
        <w:spacing w:line="276" w:lineRule="auto"/>
        <w:ind w:left="993" w:right="-46"/>
        <w:contextualSpacing/>
        <w:rPr>
          <w:rFonts w:cs="Arial"/>
        </w:rPr>
      </w:pPr>
      <w:r w:rsidRPr="00E2217B">
        <w:rPr>
          <w:rFonts w:cs="Arial"/>
        </w:rPr>
        <w:t>Units unavailable due to outage or maintenance are not included</w:t>
      </w:r>
      <w:r w:rsidR="00266F1B">
        <w:rPr>
          <w:rFonts w:cs="Arial"/>
        </w:rPr>
        <w:t>;</w:t>
      </w:r>
      <w:r w:rsidR="00266F1B" w:rsidRPr="00E2217B">
        <w:rPr>
          <w:rFonts w:cs="Arial"/>
        </w:rPr>
        <w:t xml:space="preserve"> </w:t>
      </w:r>
    </w:p>
    <w:p w14:paraId="2E2D9564" w14:textId="4BE78910" w:rsidR="00B565F2" w:rsidRPr="00266F1B" w:rsidRDefault="008A6480" w:rsidP="00C40807">
      <w:pPr>
        <w:pStyle w:val="ListParagraph"/>
        <w:numPr>
          <w:ilvl w:val="0"/>
          <w:numId w:val="27"/>
        </w:numPr>
        <w:spacing w:after="200" w:line="276" w:lineRule="auto"/>
        <w:ind w:left="993" w:right="-46" w:hanging="357"/>
        <w:rPr>
          <w:rFonts w:cs="Arial"/>
        </w:rPr>
      </w:pPr>
      <w:r w:rsidRPr="00266F1B">
        <w:rPr>
          <w:rFonts w:cs="Arial"/>
        </w:rPr>
        <w:t>GSK is reviewed on a daily basis</w:t>
      </w:r>
      <w:r w:rsidR="00E74CCF" w:rsidRPr="00266F1B">
        <w:rPr>
          <w:rFonts w:cs="Arial"/>
        </w:rPr>
        <w:t xml:space="preserve"> or whenever there are changes in the </w:t>
      </w:r>
      <w:r w:rsidR="003C7886" w:rsidRPr="00266F1B">
        <w:t>expectations referred to in paragraph (</w:t>
      </w:r>
      <w:r w:rsidR="00512316" w:rsidRPr="00266F1B">
        <w:t>1</w:t>
      </w:r>
      <w:r w:rsidR="003C7886" w:rsidRPr="00266F1B">
        <w:t>)</w:t>
      </w:r>
      <w:r w:rsidR="00266F1B" w:rsidRPr="00266F1B">
        <w:t>.</w:t>
      </w:r>
    </w:p>
    <w:p w14:paraId="7BAE1015" w14:textId="23465B64" w:rsidR="00A1084C" w:rsidRDefault="00A1084C" w:rsidP="00F23F84">
      <w:pPr>
        <w:pStyle w:val="ListParagraph"/>
        <w:numPr>
          <w:ilvl w:val="0"/>
          <w:numId w:val="50"/>
        </w:numPr>
        <w:tabs>
          <w:tab w:val="left" w:pos="0"/>
        </w:tabs>
        <w:spacing w:after="200" w:line="276" w:lineRule="auto"/>
        <w:ind w:left="357" w:right="0" w:hanging="357"/>
        <w:rPr>
          <w:rFonts w:cs="Arial"/>
        </w:rPr>
      </w:pPr>
      <w:r w:rsidRPr="00A1084C">
        <w:rPr>
          <w:rFonts w:cs="Arial"/>
        </w:rPr>
        <w:t>The Greek GSK file contains dispatchable units which are available in the day of operation. The fixed participation factors of GSK are impacted by the actual generation present in the relevant CGM</w:t>
      </w:r>
      <w:r w:rsidR="00412950">
        <w:rPr>
          <w:rFonts w:cs="Arial"/>
        </w:rPr>
        <w:t>.</w:t>
      </w:r>
    </w:p>
    <w:p w14:paraId="3EBE32CD" w14:textId="529A2E8A" w:rsidR="00C3525F" w:rsidRPr="00F23F84" w:rsidRDefault="00412950" w:rsidP="00F23F84">
      <w:pPr>
        <w:pStyle w:val="ListParagraph"/>
        <w:numPr>
          <w:ilvl w:val="0"/>
          <w:numId w:val="50"/>
        </w:numPr>
        <w:tabs>
          <w:tab w:val="left" w:pos="0"/>
        </w:tabs>
        <w:spacing w:after="200" w:line="276" w:lineRule="auto"/>
        <w:ind w:left="357" w:right="0" w:hanging="357"/>
        <w:rPr>
          <w:rFonts w:cs="Arial"/>
        </w:rPr>
      </w:pPr>
      <w:r>
        <w:rPr>
          <w:rFonts w:cs="Arial"/>
        </w:rPr>
        <w:t>T</w:t>
      </w:r>
      <w:r w:rsidR="00C3525F" w:rsidRPr="00F23F84">
        <w:rPr>
          <w:rFonts w:cs="Arial"/>
        </w:rPr>
        <w:t xml:space="preserve">he Bulgarian </w:t>
      </w:r>
      <w:r w:rsidR="007865C3" w:rsidRPr="00F23F84">
        <w:rPr>
          <w:rFonts w:cs="Arial"/>
        </w:rPr>
        <w:t xml:space="preserve">GSK file contains dispatchable units which are available in the day of operation. The nuclear units are not included in the </w:t>
      </w:r>
      <w:r w:rsidR="00F9013F">
        <w:rPr>
          <w:rFonts w:cs="Arial"/>
        </w:rPr>
        <w:t>scope of the GSK calculation</w:t>
      </w:r>
      <w:r w:rsidR="007865C3" w:rsidRPr="00F23F84">
        <w:rPr>
          <w:rFonts w:cs="Arial"/>
        </w:rPr>
        <w:t xml:space="preserve">. The fixed participation factors of GSK are impacted by the actual generation present in the </w:t>
      </w:r>
      <w:r w:rsidR="007865C3">
        <w:rPr>
          <w:rFonts w:cs="Arial"/>
        </w:rPr>
        <w:t>relevant</w:t>
      </w:r>
      <w:r w:rsidR="007865C3" w:rsidRPr="00F23F84">
        <w:rPr>
          <w:rFonts w:cs="Arial"/>
        </w:rPr>
        <w:t xml:space="preserve"> CGM.</w:t>
      </w:r>
    </w:p>
    <w:p w14:paraId="54D49CF3" w14:textId="2EEA305B" w:rsidR="00CA4079" w:rsidRDefault="00CA4079" w:rsidP="00F23F84">
      <w:pPr>
        <w:pStyle w:val="ListParagraph"/>
        <w:numPr>
          <w:ilvl w:val="0"/>
          <w:numId w:val="50"/>
        </w:numPr>
        <w:tabs>
          <w:tab w:val="left" w:pos="0"/>
        </w:tabs>
        <w:spacing w:after="200" w:line="276" w:lineRule="auto"/>
        <w:ind w:left="357" w:right="0" w:hanging="357"/>
        <w:rPr>
          <w:rFonts w:cs="Arial"/>
        </w:rPr>
      </w:pPr>
      <w:r w:rsidRPr="00F23F84">
        <w:rPr>
          <w:rFonts w:cs="Arial"/>
        </w:rPr>
        <w:lastRenderedPageBreak/>
        <w:t xml:space="preserve">The Transelectrica GSK file contains </w:t>
      </w:r>
      <w:r w:rsidR="0003579C" w:rsidRPr="00F23F84">
        <w:rPr>
          <w:rFonts w:cs="Arial"/>
        </w:rPr>
        <w:t>dispatchable</w:t>
      </w:r>
      <w:r w:rsidRPr="00F23F84">
        <w:rPr>
          <w:rFonts w:cs="Arial"/>
        </w:rPr>
        <w:t xml:space="preserve"> units which are available in the day of operation. The nuclear units are not included in the list. The fixed participation factors of GSK are impacted by the actual generation present in the </w:t>
      </w:r>
      <w:r w:rsidR="008E5055">
        <w:rPr>
          <w:rFonts w:cs="Arial"/>
        </w:rPr>
        <w:t>relevant</w:t>
      </w:r>
      <w:r w:rsidRPr="00F23F84">
        <w:rPr>
          <w:rFonts w:cs="Arial"/>
        </w:rPr>
        <w:t xml:space="preserve"> CGM.</w:t>
      </w:r>
    </w:p>
    <w:p w14:paraId="00D6BD62" w14:textId="543A1BEC" w:rsidR="00FC6D0C" w:rsidRDefault="00FC6D0C" w:rsidP="00C86D45">
      <w:pPr>
        <w:pStyle w:val="ListParagraph"/>
        <w:numPr>
          <w:ilvl w:val="0"/>
          <w:numId w:val="50"/>
        </w:numPr>
        <w:tabs>
          <w:tab w:val="left" w:pos="-3969"/>
        </w:tabs>
        <w:spacing w:after="200" w:line="276" w:lineRule="auto"/>
        <w:ind w:left="357" w:right="0" w:hanging="357"/>
        <w:rPr>
          <w:rFonts w:cs="Arial"/>
        </w:rPr>
      </w:pPr>
      <w:r>
        <w:rPr>
          <w:rFonts w:cs="Arial"/>
        </w:rPr>
        <w:t xml:space="preserve">With the above GSKs, the SEE TSOs consider that the prediction error, between the forecasted </w:t>
      </w:r>
      <w:r w:rsidRPr="00FC6D0C">
        <w:rPr>
          <w:rFonts w:cs="Arial"/>
          <w:lang w:val="en-GB"/>
        </w:rPr>
        <w:t>and observed flows for all production units in each bidd</w:t>
      </w:r>
      <w:r>
        <w:rPr>
          <w:rFonts w:cs="Arial"/>
          <w:lang w:val="en-GB"/>
        </w:rPr>
        <w:t xml:space="preserve">ing zone for the day ahead and intraday time frame will be minimized. At the above GSKs, non-flexible production units, such as the nuclear production units are not included at the generation shift. </w:t>
      </w:r>
    </w:p>
    <w:p w14:paraId="4E7935F4" w14:textId="34EE0D1A" w:rsidR="00266F1B" w:rsidRDefault="00096F06" w:rsidP="00DF05D6">
      <w:pPr>
        <w:pStyle w:val="ListParagraph"/>
        <w:numPr>
          <w:ilvl w:val="0"/>
          <w:numId w:val="50"/>
        </w:numPr>
        <w:spacing w:after="200" w:line="276" w:lineRule="auto"/>
        <w:ind w:left="357" w:right="0" w:hanging="357"/>
        <w:rPr>
          <w:rFonts w:cs="Arial"/>
        </w:rPr>
      </w:pPr>
      <w:r w:rsidRPr="00266F1B">
        <w:rPr>
          <w:rFonts w:cs="Arial"/>
        </w:rPr>
        <w:t>The GSK</w:t>
      </w:r>
      <w:r w:rsidR="00957571" w:rsidRPr="00266F1B">
        <w:rPr>
          <w:rFonts w:cs="Arial"/>
        </w:rPr>
        <w:t>s</w:t>
      </w:r>
      <w:r w:rsidRPr="00266F1B">
        <w:rPr>
          <w:rFonts w:cs="Arial"/>
        </w:rPr>
        <w:t xml:space="preserve"> shall be provided to the CCC to be used in the </w:t>
      </w:r>
      <w:r w:rsidR="008E5055" w:rsidRPr="00266F1B">
        <w:rPr>
          <w:rFonts w:cs="Arial"/>
        </w:rPr>
        <w:t>capacity calculation</w:t>
      </w:r>
      <w:r w:rsidRPr="00266F1B">
        <w:rPr>
          <w:rFonts w:cs="Arial"/>
        </w:rPr>
        <w:t xml:space="preserve"> for each bidding zone and also the </w:t>
      </w:r>
      <w:r w:rsidR="004E457B" w:rsidRPr="00266F1B">
        <w:rPr>
          <w:rFonts w:cs="Arial"/>
        </w:rPr>
        <w:t>MTUs</w:t>
      </w:r>
      <w:r w:rsidRPr="00266F1B">
        <w:rPr>
          <w:rFonts w:cs="Arial"/>
        </w:rPr>
        <w:t xml:space="preserve"> for which the GSK</w:t>
      </w:r>
      <w:r w:rsidR="00957571" w:rsidRPr="00266F1B">
        <w:rPr>
          <w:rFonts w:cs="Arial"/>
        </w:rPr>
        <w:t>s</w:t>
      </w:r>
      <w:r w:rsidRPr="00266F1B">
        <w:rPr>
          <w:rFonts w:cs="Arial"/>
        </w:rPr>
        <w:t xml:space="preserve"> shall be valid. </w:t>
      </w:r>
      <w:r w:rsidR="00406C92" w:rsidRPr="00266F1B">
        <w:rPr>
          <w:rFonts w:cs="Arial"/>
        </w:rPr>
        <w:t xml:space="preserve">  </w:t>
      </w:r>
      <w:r w:rsidR="00C72697" w:rsidRPr="00266F1B">
        <w:rPr>
          <w:rFonts w:cs="Arial"/>
        </w:rPr>
        <w:t xml:space="preserve">The </w:t>
      </w:r>
      <w:r w:rsidR="00243A0B" w:rsidRPr="00266F1B">
        <w:rPr>
          <w:rFonts w:cs="Arial"/>
        </w:rPr>
        <w:t xml:space="preserve">SEE </w:t>
      </w:r>
      <w:r w:rsidR="00C72697" w:rsidRPr="00266F1B">
        <w:rPr>
          <w:rFonts w:cs="Arial"/>
        </w:rPr>
        <w:t xml:space="preserve">TSOs shall make ex-post analysis of GSK regularly and if considered necessary </w:t>
      </w:r>
      <w:r w:rsidR="00D27F1D">
        <w:rPr>
          <w:rFonts w:cs="Arial"/>
        </w:rPr>
        <w:t xml:space="preserve">they </w:t>
      </w:r>
      <w:r w:rsidR="008A7734">
        <w:rPr>
          <w:rFonts w:cs="Arial"/>
        </w:rPr>
        <w:t xml:space="preserve">may </w:t>
      </w:r>
      <w:r w:rsidR="00C72697" w:rsidRPr="00266F1B">
        <w:rPr>
          <w:rFonts w:cs="Arial"/>
        </w:rPr>
        <w:t>change it.</w:t>
      </w:r>
    </w:p>
    <w:p w14:paraId="3FCDD426" w14:textId="37589EBE" w:rsidR="00096F06" w:rsidRPr="006D6101" w:rsidRDefault="00864B46" w:rsidP="00464615">
      <w:pPr>
        <w:pStyle w:val="ListParagraph"/>
        <w:numPr>
          <w:ilvl w:val="0"/>
          <w:numId w:val="50"/>
        </w:numPr>
        <w:spacing w:line="276" w:lineRule="auto"/>
        <w:ind w:left="425" w:right="-45" w:hanging="425"/>
        <w:rPr>
          <w:rFonts w:cs="Arial"/>
        </w:rPr>
      </w:pPr>
      <w:r w:rsidRPr="006D6101">
        <w:rPr>
          <w:rFonts w:cs="Arial"/>
        </w:rPr>
        <w:t>SEE TSOs shall review and update the application of the g</w:t>
      </w:r>
      <w:r w:rsidR="00B565F2" w:rsidRPr="006D6101">
        <w:rPr>
          <w:rFonts w:cs="Arial"/>
        </w:rPr>
        <w:t xml:space="preserve">eneration shift keys </w:t>
      </w:r>
      <w:r w:rsidR="00CA4079" w:rsidRPr="006D6101">
        <w:rPr>
          <w:rFonts w:cs="Arial"/>
        </w:rPr>
        <w:t>methodology</w:t>
      </w:r>
      <w:r w:rsidRPr="006D6101">
        <w:rPr>
          <w:rFonts w:cs="Arial"/>
        </w:rPr>
        <w:t xml:space="preserve">, </w:t>
      </w:r>
      <w:r w:rsidR="00B565F2" w:rsidRPr="006D6101">
        <w:rPr>
          <w:rFonts w:cs="Arial"/>
        </w:rPr>
        <w:t>on a yearly basis</w:t>
      </w:r>
      <w:r w:rsidR="00DF6AA3" w:rsidRPr="006D6101">
        <w:rPr>
          <w:rFonts w:cs="Arial"/>
        </w:rPr>
        <w:t xml:space="preserve"> in accordance with Article 15</w:t>
      </w:r>
      <w:r w:rsidR="00B565F2" w:rsidRPr="006D6101">
        <w:rPr>
          <w:rFonts w:cs="Arial"/>
        </w:rPr>
        <w:t xml:space="preserve">. </w:t>
      </w:r>
    </w:p>
    <w:p w14:paraId="308584B8" w14:textId="77777777" w:rsidR="00665A73" w:rsidRDefault="00665A73" w:rsidP="008A255B">
      <w:pPr>
        <w:pStyle w:val="BodyText"/>
        <w:spacing w:before="2" w:line="276" w:lineRule="auto"/>
        <w:rPr>
          <w:sz w:val="21"/>
        </w:rPr>
      </w:pPr>
    </w:p>
    <w:p w14:paraId="1929A24E" w14:textId="77777777" w:rsidR="002A72C5" w:rsidRDefault="007F2107" w:rsidP="008A255B">
      <w:pPr>
        <w:pStyle w:val="Title1"/>
        <w:spacing w:line="276" w:lineRule="auto"/>
      </w:pPr>
      <w:r>
        <w:t>Article 9</w:t>
      </w:r>
    </w:p>
    <w:p w14:paraId="6D4443A7" w14:textId="77777777" w:rsidR="002A72C5" w:rsidRDefault="007F2107" w:rsidP="008A255B">
      <w:pPr>
        <w:pStyle w:val="Title1"/>
        <w:spacing w:line="276" w:lineRule="auto"/>
      </w:pPr>
      <w:r>
        <w:t>Methodology for remedial actions in capacity calculation</w:t>
      </w:r>
    </w:p>
    <w:p w14:paraId="49AFE8A8" w14:textId="77777777" w:rsidR="002A72C5" w:rsidRDefault="002A72C5" w:rsidP="008A255B">
      <w:pPr>
        <w:pStyle w:val="BodyText"/>
        <w:spacing w:before="10" w:line="276" w:lineRule="auto"/>
        <w:rPr>
          <w:sz w:val="23"/>
        </w:rPr>
      </w:pPr>
    </w:p>
    <w:p w14:paraId="10039945" w14:textId="41681649" w:rsidR="0057799B" w:rsidRPr="00767803" w:rsidRDefault="000C3BEA" w:rsidP="0057799B">
      <w:pPr>
        <w:pStyle w:val="ListParagraph"/>
        <w:numPr>
          <w:ilvl w:val="0"/>
          <w:numId w:val="29"/>
        </w:numPr>
        <w:tabs>
          <w:tab w:val="left" w:pos="-4678"/>
        </w:tabs>
        <w:spacing w:after="200" w:line="276" w:lineRule="auto"/>
        <w:ind w:left="426"/>
      </w:pPr>
      <w:r>
        <w:t xml:space="preserve">In accordance with Article 25(1) of the CACM Regulation and Article 20(2) of SO GL, SEE TSOs shall </w:t>
      </w:r>
      <w:r w:rsidR="001B623E">
        <w:t xml:space="preserve">individually </w:t>
      </w:r>
      <w:r>
        <w:t>define RAs to be taken into account in the day-ahead and intraday common capacity calculation.</w:t>
      </w:r>
      <w:r w:rsidR="004344F5">
        <w:t xml:space="preserve"> The relevant RAs shall be coordinated between TSOs, clearly described, and communicated to other TSOs and the CCC.</w:t>
      </w:r>
      <w:r w:rsidR="0057799B" w:rsidRPr="00767803">
        <w:rPr>
          <w:color w:val="000000"/>
          <w:sz w:val="24"/>
          <w:szCs w:val="24"/>
        </w:rPr>
        <w:t xml:space="preserve"> </w:t>
      </w:r>
    </w:p>
    <w:p w14:paraId="41F227E1" w14:textId="692B9148" w:rsidR="004329A2" w:rsidRDefault="004329A2" w:rsidP="00F23F84">
      <w:pPr>
        <w:pStyle w:val="ListParagraph"/>
        <w:numPr>
          <w:ilvl w:val="0"/>
          <w:numId w:val="29"/>
        </w:numPr>
        <w:tabs>
          <w:tab w:val="left" w:pos="-4678"/>
        </w:tabs>
        <w:spacing w:after="200" w:line="276" w:lineRule="auto"/>
        <w:ind w:left="426" w:right="0" w:hanging="425"/>
      </w:pPr>
      <w:r w:rsidRPr="004329A2">
        <w:t xml:space="preserve">Each TSO of SEE </w:t>
      </w:r>
      <w:r w:rsidR="00BA5A0D">
        <w:t>CCR</w:t>
      </w:r>
      <w:r w:rsidRPr="004329A2">
        <w:t xml:space="preserve"> shall inform the </w:t>
      </w:r>
      <w:r w:rsidR="00F900F1">
        <w:t>CCC</w:t>
      </w:r>
      <w:r w:rsidRPr="004329A2">
        <w:t xml:space="preserve"> in a timely manner on any change in its </w:t>
      </w:r>
      <w:r w:rsidR="002907C9">
        <w:t>RAs</w:t>
      </w:r>
      <w:r w:rsidRPr="004329A2">
        <w:t xml:space="preserve"> within SEE </w:t>
      </w:r>
      <w:r w:rsidR="00BA5A0D">
        <w:t>CCR</w:t>
      </w:r>
      <w:r w:rsidRPr="004329A2">
        <w:t xml:space="preserve"> to ensure an efficient capacity calculation.</w:t>
      </w:r>
      <w:r w:rsidR="00E25344">
        <w:t xml:space="preserve"> The </w:t>
      </w:r>
      <w:r w:rsidR="000960BD">
        <w:t>CCC</w:t>
      </w:r>
      <w:r w:rsidR="00E25344">
        <w:t xml:space="preserve"> which receives the </w:t>
      </w:r>
      <w:r w:rsidR="00F900F1">
        <w:t>RAs</w:t>
      </w:r>
      <w:r w:rsidR="00E25344">
        <w:t xml:space="preserve"> from the TSOs coordinates the process and either proposes the initial </w:t>
      </w:r>
      <w:r w:rsidR="00CC3617">
        <w:t>recommendations</w:t>
      </w:r>
      <w:r w:rsidR="00E25344">
        <w:t xml:space="preserve"> from the TSOs or develops new proposals for the TSOs. </w:t>
      </w:r>
    </w:p>
    <w:p w14:paraId="6AABC325" w14:textId="4B7F41A0" w:rsidR="000C3BEA" w:rsidRDefault="000C3BEA" w:rsidP="00F23F84">
      <w:pPr>
        <w:pStyle w:val="ListParagraph"/>
        <w:widowControl/>
        <w:numPr>
          <w:ilvl w:val="0"/>
          <w:numId w:val="29"/>
        </w:numPr>
        <w:tabs>
          <w:tab w:val="left" w:pos="-4678"/>
        </w:tabs>
        <w:spacing w:after="200" w:line="276" w:lineRule="auto"/>
        <w:ind w:left="426" w:right="0"/>
        <w:rPr>
          <w:rFonts w:cs="Arial"/>
        </w:rPr>
      </w:pPr>
      <w:r w:rsidRPr="000A604D">
        <w:rPr>
          <w:rFonts w:cs="Arial"/>
        </w:rPr>
        <w:t xml:space="preserve">In accordance with </w:t>
      </w:r>
      <w:r>
        <w:rPr>
          <w:rFonts w:cs="Arial"/>
        </w:rPr>
        <w:t>Article</w:t>
      </w:r>
      <w:r w:rsidRPr="000A604D">
        <w:rPr>
          <w:rFonts w:cs="Arial"/>
        </w:rPr>
        <w:t xml:space="preserve"> 25(2</w:t>
      </w:r>
      <w:r>
        <w:rPr>
          <w:rFonts w:cs="Arial"/>
        </w:rPr>
        <w:t>) and (</w:t>
      </w:r>
      <w:r w:rsidRPr="000A604D">
        <w:rPr>
          <w:rFonts w:cs="Arial"/>
        </w:rPr>
        <w:t xml:space="preserve">3) of the CACM Regulation, these RAs will be used </w:t>
      </w:r>
      <w:r>
        <w:rPr>
          <w:rFonts w:cs="Arial"/>
        </w:rPr>
        <w:t>in calculation</w:t>
      </w:r>
      <w:r w:rsidRPr="000A604D">
        <w:rPr>
          <w:rFonts w:cs="Arial"/>
        </w:rPr>
        <w:t xml:space="preserve"> of cross-zonal capacities while ensuring </w:t>
      </w:r>
      <w:r w:rsidR="00C13030">
        <w:rPr>
          <w:rFonts w:cs="Arial"/>
        </w:rPr>
        <w:t>operational security</w:t>
      </w:r>
      <w:r w:rsidRPr="000A604D">
        <w:rPr>
          <w:rFonts w:cs="Arial"/>
        </w:rPr>
        <w:t xml:space="preserve"> in real time.</w:t>
      </w:r>
    </w:p>
    <w:p w14:paraId="5A6A41C0" w14:textId="275E4A52" w:rsidR="000C3BEA" w:rsidRDefault="000C3BEA" w:rsidP="00F23F84">
      <w:pPr>
        <w:pStyle w:val="ListParagraph"/>
        <w:widowControl/>
        <w:numPr>
          <w:ilvl w:val="0"/>
          <w:numId w:val="29"/>
        </w:numPr>
        <w:spacing w:after="200" w:line="276" w:lineRule="auto"/>
        <w:ind w:left="426" w:right="0"/>
        <w:rPr>
          <w:rFonts w:cs="Arial"/>
        </w:rPr>
      </w:pPr>
      <w:r w:rsidRPr="00F45CE2">
        <w:rPr>
          <w:rFonts w:cs="Arial"/>
        </w:rPr>
        <w:t xml:space="preserve">In accordance with </w:t>
      </w:r>
      <w:r>
        <w:rPr>
          <w:rFonts w:cs="Arial"/>
        </w:rPr>
        <w:t>Article</w:t>
      </w:r>
      <w:r w:rsidRPr="00F45CE2">
        <w:rPr>
          <w:rFonts w:cs="Arial"/>
        </w:rPr>
        <w:t xml:space="preserve"> 25(4) of </w:t>
      </w:r>
      <w:r>
        <w:rPr>
          <w:rFonts w:cs="Arial"/>
        </w:rPr>
        <w:t xml:space="preserve">the </w:t>
      </w:r>
      <w:r w:rsidRPr="00F45CE2">
        <w:rPr>
          <w:rFonts w:cs="Arial"/>
        </w:rPr>
        <w:t xml:space="preserve">CACM Regulation, </w:t>
      </w:r>
      <w:r>
        <w:rPr>
          <w:rFonts w:cs="Arial"/>
        </w:rPr>
        <w:t xml:space="preserve">a </w:t>
      </w:r>
      <w:r w:rsidRPr="00F45CE2">
        <w:rPr>
          <w:rFonts w:cs="Arial"/>
        </w:rPr>
        <w:t xml:space="preserve">TSO may refrain from considering a particular </w:t>
      </w:r>
      <w:r w:rsidR="00F900F1">
        <w:rPr>
          <w:rFonts w:cs="Arial"/>
        </w:rPr>
        <w:t>RA</w:t>
      </w:r>
      <w:r w:rsidRPr="00F45CE2">
        <w:rPr>
          <w:rFonts w:cs="Arial"/>
        </w:rPr>
        <w:t xml:space="preserve"> in capacity calculation in order to ensure that the remaining </w:t>
      </w:r>
      <w:r w:rsidR="00F900F1">
        <w:rPr>
          <w:rFonts w:cs="Arial"/>
        </w:rPr>
        <w:t>RAs</w:t>
      </w:r>
      <w:r w:rsidRPr="00F45CE2">
        <w:rPr>
          <w:rFonts w:cs="Arial"/>
        </w:rPr>
        <w:t xml:space="preserve"> are sufficient to ensure operational security</w:t>
      </w:r>
      <w:r>
        <w:rPr>
          <w:rFonts w:cs="Arial"/>
        </w:rPr>
        <w:t>.</w:t>
      </w:r>
      <w:r w:rsidR="008F1A98">
        <w:rPr>
          <w:rFonts w:cs="Arial"/>
        </w:rPr>
        <w:t xml:space="preserve"> The CCC shall monitor and report in the annual report on systematic withholdings which were not essential to ensure operational security in real-time operation.</w:t>
      </w:r>
    </w:p>
    <w:p w14:paraId="39693E63" w14:textId="4B7FCCE5" w:rsidR="000C3BEA" w:rsidRDefault="00C13030" w:rsidP="00F23F84">
      <w:pPr>
        <w:pStyle w:val="ListParagraph"/>
        <w:widowControl/>
        <w:numPr>
          <w:ilvl w:val="0"/>
          <w:numId w:val="29"/>
        </w:numPr>
        <w:spacing w:after="200" w:line="276" w:lineRule="auto"/>
        <w:ind w:left="426" w:right="0"/>
        <w:rPr>
          <w:rFonts w:cs="Arial"/>
        </w:rPr>
      </w:pPr>
      <w:r>
        <w:rPr>
          <w:rFonts w:cs="Arial"/>
        </w:rPr>
        <w:t>All TSOs</w:t>
      </w:r>
      <w:r w:rsidR="004F4460">
        <w:rPr>
          <w:rFonts w:cs="Arial"/>
        </w:rPr>
        <w:t xml:space="preserve"> of the SEE CCR</w:t>
      </w:r>
      <w:r>
        <w:rPr>
          <w:rFonts w:cs="Arial"/>
        </w:rPr>
        <w:t xml:space="preserve"> shall provide to the CCC all available RAs, and for the purpose of capacity validation all TSOs</w:t>
      </w:r>
      <w:r w:rsidR="004F4460">
        <w:rPr>
          <w:rFonts w:cs="Arial"/>
        </w:rPr>
        <w:t xml:space="preserve"> of the SEE CCR</w:t>
      </w:r>
      <w:r>
        <w:rPr>
          <w:rFonts w:cs="Arial"/>
        </w:rPr>
        <w:t xml:space="preserve"> shall provide to the CCC a</w:t>
      </w:r>
      <w:r w:rsidR="000D1BE1">
        <w:rPr>
          <w:rFonts w:cs="Arial"/>
        </w:rPr>
        <w:t>ll expected RAs.</w:t>
      </w:r>
    </w:p>
    <w:p w14:paraId="158B3B6D" w14:textId="01529142" w:rsidR="000C3BEA" w:rsidRDefault="000C3BEA" w:rsidP="00F23F84">
      <w:pPr>
        <w:pStyle w:val="ListParagraph"/>
        <w:numPr>
          <w:ilvl w:val="0"/>
          <w:numId w:val="29"/>
        </w:numPr>
        <w:tabs>
          <w:tab w:val="left" w:pos="548"/>
        </w:tabs>
        <w:spacing w:line="276" w:lineRule="auto"/>
        <w:ind w:left="426" w:right="0"/>
      </w:pPr>
      <w:r>
        <w:t>The</w:t>
      </w:r>
      <w:r>
        <w:rPr>
          <w:spacing w:val="-8"/>
        </w:rPr>
        <w:t xml:space="preserve"> </w:t>
      </w:r>
      <w:r>
        <w:t>RAs</w:t>
      </w:r>
      <w:r>
        <w:rPr>
          <w:spacing w:val="-5"/>
        </w:rPr>
        <w:t xml:space="preserve"> </w:t>
      </w:r>
      <w:r>
        <w:t>defined</w:t>
      </w:r>
      <w:r>
        <w:rPr>
          <w:spacing w:val="-6"/>
        </w:rPr>
        <w:t xml:space="preserve"> </w:t>
      </w:r>
      <w:r>
        <w:t>by</w:t>
      </w:r>
      <w:r>
        <w:rPr>
          <w:spacing w:val="-8"/>
        </w:rPr>
        <w:t xml:space="preserve"> </w:t>
      </w:r>
      <w:r>
        <w:t>each</w:t>
      </w:r>
      <w:r>
        <w:rPr>
          <w:spacing w:val="-8"/>
        </w:rPr>
        <w:t xml:space="preserve"> SEE </w:t>
      </w:r>
      <w:r>
        <w:t>TSOs</w:t>
      </w:r>
      <w:r>
        <w:rPr>
          <w:spacing w:val="-7"/>
        </w:rPr>
        <w:t xml:space="preserve"> </w:t>
      </w:r>
      <w:r>
        <w:t>shall</w:t>
      </w:r>
      <w:r>
        <w:rPr>
          <w:spacing w:val="-5"/>
        </w:rPr>
        <w:t xml:space="preserve"> </w:t>
      </w:r>
      <w:r>
        <w:t>be</w:t>
      </w:r>
      <w:r>
        <w:rPr>
          <w:spacing w:val="-8"/>
        </w:rPr>
        <w:t xml:space="preserve"> </w:t>
      </w:r>
      <w:r>
        <w:t>either</w:t>
      </w:r>
      <w:r>
        <w:rPr>
          <w:spacing w:val="-5"/>
        </w:rPr>
        <w:t xml:space="preserve"> </w:t>
      </w:r>
      <w:r>
        <w:t>preventive</w:t>
      </w:r>
      <w:r>
        <w:rPr>
          <w:spacing w:val="-6"/>
        </w:rPr>
        <w:t xml:space="preserve"> </w:t>
      </w:r>
      <w:r>
        <w:t>(pre-fault)</w:t>
      </w:r>
      <w:r>
        <w:rPr>
          <w:spacing w:val="-10"/>
        </w:rPr>
        <w:t xml:space="preserve"> </w:t>
      </w:r>
      <w:r>
        <w:t>or curative (post-fault)</w:t>
      </w:r>
      <w:r w:rsidR="003037D6">
        <w:t>, i.e. affecting all CNECs or only pre-defined contingency cases, respectively</w:t>
      </w:r>
      <w:r>
        <w:t>. The SEE TSOs</w:t>
      </w:r>
      <w:r w:rsidR="003F1FE7" w:rsidRPr="003F1FE7">
        <w:t xml:space="preserve"> </w:t>
      </w:r>
      <w:r>
        <w:t xml:space="preserve">may use the following </w:t>
      </w:r>
      <w:r w:rsidR="007F67F1">
        <w:t xml:space="preserve">non-costly </w:t>
      </w:r>
      <w:r w:rsidR="0076079B">
        <w:t>RAs</w:t>
      </w:r>
      <w:r>
        <w:t xml:space="preserve">, but </w:t>
      </w:r>
      <w:r w:rsidR="00CE54B1">
        <w:t xml:space="preserve">are </w:t>
      </w:r>
      <w:r>
        <w:t>not limited to:</w:t>
      </w:r>
    </w:p>
    <w:p w14:paraId="197387D0" w14:textId="2309CCF8" w:rsidR="000C3BEA" w:rsidRDefault="000C3BEA" w:rsidP="00F23F84">
      <w:pPr>
        <w:pStyle w:val="ListParagraph"/>
        <w:numPr>
          <w:ilvl w:val="0"/>
          <w:numId w:val="28"/>
        </w:numPr>
        <w:tabs>
          <w:tab w:val="left" w:pos="547"/>
          <w:tab w:val="left" w:pos="548"/>
        </w:tabs>
        <w:spacing w:line="276" w:lineRule="auto"/>
        <w:ind w:left="1259" w:right="0" w:hanging="357"/>
        <w:jc w:val="left"/>
      </w:pPr>
      <w:r>
        <w:t>changing the tap position of a PST,</w:t>
      </w:r>
    </w:p>
    <w:p w14:paraId="002DE76C" w14:textId="04A6BA16" w:rsidR="000C3BEA" w:rsidRDefault="000C3BEA" w:rsidP="00F23F84">
      <w:pPr>
        <w:pStyle w:val="ListParagraph"/>
        <w:numPr>
          <w:ilvl w:val="0"/>
          <w:numId w:val="28"/>
        </w:numPr>
        <w:tabs>
          <w:tab w:val="left" w:pos="547"/>
          <w:tab w:val="left" w:pos="548"/>
        </w:tabs>
        <w:spacing w:after="200" w:line="276" w:lineRule="auto"/>
        <w:ind w:right="0"/>
      </w:pPr>
      <w:r>
        <w:t xml:space="preserve">topological </w:t>
      </w:r>
      <w:r w:rsidR="00CE54B1">
        <w:t>action</w:t>
      </w:r>
      <w:r>
        <w:t>: opening or closing of one or more line(s), cable(s), transformer(s), bus bar coupler(s), or switching of one or more network element(s) from one bus bar to</w:t>
      </w:r>
      <w:r w:rsidRPr="00682E2B">
        <w:rPr>
          <w:spacing w:val="-7"/>
        </w:rPr>
        <w:t xml:space="preserve"> </w:t>
      </w:r>
      <w:r>
        <w:t xml:space="preserve">another, </w:t>
      </w:r>
      <w:r w:rsidR="008B7757">
        <w:t>connection</w:t>
      </w:r>
      <w:r w:rsidRPr="00A81C76">
        <w:t>/</w:t>
      </w:r>
      <w:r>
        <w:t>disconnection</w:t>
      </w:r>
      <w:r w:rsidRPr="00A81C76">
        <w:t xml:space="preserve"> of </w:t>
      </w:r>
      <w:r>
        <w:t>reactor</w:t>
      </w:r>
      <w:r w:rsidRPr="00A81C76">
        <w:t>(s),</w:t>
      </w:r>
      <w:r w:rsidRPr="00A81C76">
        <w:rPr>
          <w:spacing w:val="-17"/>
        </w:rPr>
        <w:t xml:space="preserve"> </w:t>
      </w:r>
      <w:r w:rsidRPr="00A81C76">
        <w:t>capacitor(s).</w:t>
      </w:r>
    </w:p>
    <w:p w14:paraId="0159FC5F" w14:textId="61D301FD" w:rsidR="007E18B5" w:rsidRDefault="007E18B5" w:rsidP="007E18B5">
      <w:pPr>
        <w:pStyle w:val="ListParagraph"/>
        <w:numPr>
          <w:ilvl w:val="0"/>
          <w:numId w:val="28"/>
        </w:numPr>
        <w:tabs>
          <w:tab w:val="left" w:pos="547"/>
          <w:tab w:val="left" w:pos="548"/>
        </w:tabs>
        <w:spacing w:after="200" w:line="276" w:lineRule="auto"/>
        <w:ind w:right="0"/>
      </w:pPr>
      <w:r>
        <w:t>Exception to the general rule:</w:t>
      </w:r>
      <w:r w:rsidRPr="007E18B5">
        <w:t xml:space="preserve"> </w:t>
      </w:r>
      <w:r>
        <w:t xml:space="preserve">The activation of a post-fault RA could be treated as non-costly action, when it is </w:t>
      </w:r>
      <w:r w:rsidRPr="009861FA">
        <w:t xml:space="preserve">agreed </w:t>
      </w:r>
      <w:r>
        <w:t>after</w:t>
      </w:r>
      <w:r w:rsidRPr="009861FA">
        <w:t xml:space="preserve"> negotiation</w:t>
      </w:r>
      <w:r>
        <w:t xml:space="preserve"> among the relevant TSOs.</w:t>
      </w:r>
    </w:p>
    <w:p w14:paraId="7C13B7D4" w14:textId="24E564C0" w:rsidR="000C3BEA" w:rsidRDefault="000C3BEA" w:rsidP="00F23F84">
      <w:pPr>
        <w:pStyle w:val="ListParagraph"/>
        <w:widowControl/>
        <w:numPr>
          <w:ilvl w:val="0"/>
          <w:numId w:val="29"/>
        </w:numPr>
        <w:tabs>
          <w:tab w:val="left" w:pos="-4678"/>
        </w:tabs>
        <w:spacing w:after="200" w:line="276" w:lineRule="auto"/>
        <w:ind w:left="426" w:right="0" w:hanging="425"/>
      </w:pPr>
      <w:r w:rsidRPr="00953F48">
        <w:rPr>
          <w:rFonts w:cs="Arial"/>
        </w:rPr>
        <w:lastRenderedPageBreak/>
        <w:t>In accordance with Article 25(6) of the CACM Regulation, the RAs taken into account are the same for day-ahead and intra-day common capacity calculation</w:t>
      </w:r>
      <w:r w:rsidR="00CE54B1">
        <w:rPr>
          <w:rFonts w:cs="Arial"/>
        </w:rPr>
        <w:t>, depending on their technical availability</w:t>
      </w:r>
      <w:r w:rsidRPr="00953F48">
        <w:rPr>
          <w:rFonts w:cs="Arial"/>
        </w:rPr>
        <w:t>.</w:t>
      </w:r>
    </w:p>
    <w:p w14:paraId="0C8F4C30" w14:textId="2A62C699" w:rsidR="006D41BC" w:rsidRDefault="000C3BEA" w:rsidP="006D41BC">
      <w:pPr>
        <w:pStyle w:val="ListParagraph"/>
        <w:widowControl/>
        <w:numPr>
          <w:ilvl w:val="0"/>
          <w:numId w:val="29"/>
        </w:numPr>
        <w:tabs>
          <w:tab w:val="left" w:pos="-4678"/>
        </w:tabs>
        <w:spacing w:after="200" w:line="276" w:lineRule="auto"/>
        <w:ind w:left="425" w:right="0" w:hanging="425"/>
        <w:rPr>
          <w:rFonts w:cs="Arial"/>
        </w:rPr>
      </w:pPr>
      <w:r w:rsidRPr="000A604D">
        <w:rPr>
          <w:rFonts w:cs="Arial"/>
        </w:rPr>
        <w:t xml:space="preserve">The </w:t>
      </w:r>
      <w:r w:rsidR="00AB513E">
        <w:rPr>
          <w:rFonts w:cs="Arial"/>
        </w:rPr>
        <w:t xml:space="preserve">RAC </w:t>
      </w:r>
      <w:r>
        <w:rPr>
          <w:rFonts w:cs="Arial"/>
        </w:rPr>
        <w:t xml:space="preserve">in the day-ahead and intraday </w:t>
      </w:r>
      <w:r w:rsidRPr="000A604D">
        <w:rPr>
          <w:rFonts w:cs="Arial"/>
        </w:rPr>
        <w:t xml:space="preserve">common capacity calculation </w:t>
      </w:r>
      <w:r w:rsidR="006D41BC">
        <w:rPr>
          <w:rFonts w:cs="Arial"/>
        </w:rPr>
        <w:t>shall be an automated, coordinated, and repeatable optimization process performed by the CCC.</w:t>
      </w:r>
      <w:r w:rsidR="004344F5">
        <w:rPr>
          <w:rFonts w:cs="Arial"/>
        </w:rPr>
        <w:t xml:space="preserve"> </w:t>
      </w:r>
      <w:r w:rsidR="00A2351E">
        <w:rPr>
          <w:rFonts w:cs="Arial"/>
        </w:rPr>
        <w:t xml:space="preserve">The CCC shall take into account in capacity calculation RAs to increase the cross-zonal capacity. After calculation the maximum power exchanges between bidding zones without RAs, necessary adjustment taking into account RAs are executed in the CGM and maximum power exchanges between bidding zones taking into account RAs shall be recalculated. </w:t>
      </w:r>
    </w:p>
    <w:p w14:paraId="132F421A" w14:textId="5B84E035" w:rsidR="00BA5A0D" w:rsidRDefault="006D41BC" w:rsidP="00F23F84">
      <w:pPr>
        <w:pStyle w:val="ListParagraph"/>
        <w:widowControl/>
        <w:numPr>
          <w:ilvl w:val="0"/>
          <w:numId w:val="29"/>
        </w:numPr>
        <w:tabs>
          <w:tab w:val="left" w:pos="-4678"/>
        </w:tabs>
        <w:spacing w:line="276" w:lineRule="auto"/>
        <w:ind w:left="426" w:right="0" w:hanging="425"/>
        <w:rPr>
          <w:rFonts w:cs="Arial"/>
        </w:rPr>
      </w:pPr>
      <w:r>
        <w:rPr>
          <w:rFonts w:cs="Arial"/>
        </w:rPr>
        <w:t xml:space="preserve">The RAC consists of the following </w:t>
      </w:r>
      <w:r w:rsidR="00BA5A0D">
        <w:rPr>
          <w:rFonts w:cs="Arial"/>
        </w:rPr>
        <w:t>objective function, constraints and variables:</w:t>
      </w:r>
    </w:p>
    <w:p w14:paraId="36F7F3DF" w14:textId="126E78C5" w:rsidR="00BA5A0D" w:rsidRDefault="00AB513E" w:rsidP="00F23F84">
      <w:pPr>
        <w:pStyle w:val="ListParagraph"/>
        <w:widowControl/>
        <w:numPr>
          <w:ilvl w:val="0"/>
          <w:numId w:val="61"/>
        </w:numPr>
        <w:tabs>
          <w:tab w:val="left" w:pos="-4678"/>
        </w:tabs>
        <w:spacing w:line="276" w:lineRule="auto"/>
        <w:ind w:left="1276" w:right="0" w:hanging="357"/>
        <w:rPr>
          <w:rFonts w:cs="Arial"/>
        </w:rPr>
      </w:pPr>
      <w:r>
        <w:rPr>
          <w:rFonts w:cs="Arial"/>
        </w:rPr>
        <w:t>The RAC objective</w:t>
      </w:r>
      <w:r w:rsidR="00F811D2">
        <w:rPr>
          <w:rFonts w:cs="Arial"/>
        </w:rPr>
        <w:t xml:space="preserve"> is to enlarge the capacity domain around the balanced net position of the Common Grid Model Alignment process, with the objective function </w:t>
      </w:r>
      <w:r w:rsidR="005B4A07">
        <w:rPr>
          <w:rFonts w:cs="Arial"/>
        </w:rPr>
        <w:t xml:space="preserve">to </w:t>
      </w:r>
      <w:r w:rsidR="00F811D2">
        <w:rPr>
          <w:rFonts w:cs="Arial"/>
        </w:rPr>
        <w:t>minimiz</w:t>
      </w:r>
      <w:r w:rsidR="005B4A07">
        <w:rPr>
          <w:rFonts w:cs="Arial"/>
        </w:rPr>
        <w:t xml:space="preserve">e </w:t>
      </w:r>
      <w:r w:rsidR="00F811D2">
        <w:rPr>
          <w:rFonts w:cs="Arial"/>
        </w:rPr>
        <w:t xml:space="preserve">the </w:t>
      </w:r>
      <w:r w:rsidR="005B4A07">
        <w:rPr>
          <w:rFonts w:cs="Arial"/>
        </w:rPr>
        <w:t>overload of the CNECs and/or the violation of the nodes voltage;</w:t>
      </w:r>
    </w:p>
    <w:p w14:paraId="399F25E5" w14:textId="0FC5CAD3" w:rsidR="005B4A07" w:rsidRDefault="005B4A07" w:rsidP="00F23F84">
      <w:pPr>
        <w:pStyle w:val="ListParagraph"/>
        <w:widowControl/>
        <w:numPr>
          <w:ilvl w:val="0"/>
          <w:numId w:val="61"/>
        </w:numPr>
        <w:tabs>
          <w:tab w:val="left" w:pos="-4678"/>
        </w:tabs>
        <w:spacing w:line="276" w:lineRule="auto"/>
        <w:ind w:left="1276" w:right="0" w:hanging="357"/>
        <w:rPr>
          <w:rFonts w:cs="Arial"/>
        </w:rPr>
      </w:pPr>
      <w:r>
        <w:rPr>
          <w:rFonts w:cs="Arial"/>
        </w:rPr>
        <w:t xml:space="preserve">The constraints are the operational security limits in accordance with Article 7, minimum impact on objective function value for use RAs and </w:t>
      </w:r>
      <w:r w:rsidR="00944B7C">
        <w:rPr>
          <w:rFonts w:cs="Arial"/>
        </w:rPr>
        <w:t>without negative impact on the TTC values calculated according with Article 11.</w:t>
      </w:r>
    </w:p>
    <w:p w14:paraId="3E749FB3" w14:textId="67ED82F7" w:rsidR="005B4A07" w:rsidRPr="00BA5A0D" w:rsidRDefault="005B4A07" w:rsidP="00F23F84">
      <w:pPr>
        <w:pStyle w:val="ListParagraph"/>
        <w:widowControl/>
        <w:numPr>
          <w:ilvl w:val="0"/>
          <w:numId w:val="61"/>
        </w:numPr>
        <w:tabs>
          <w:tab w:val="left" w:pos="-4678"/>
        </w:tabs>
        <w:spacing w:after="200" w:line="276" w:lineRule="auto"/>
        <w:ind w:left="1276" w:right="0"/>
        <w:rPr>
          <w:rFonts w:cs="Arial"/>
        </w:rPr>
      </w:pPr>
      <w:r>
        <w:rPr>
          <w:rFonts w:cs="Arial"/>
        </w:rPr>
        <w:t>The variables are the switching states of the topological measures and tap positions</w:t>
      </w:r>
    </w:p>
    <w:p w14:paraId="20B9B516" w14:textId="39568C2A" w:rsidR="000C3BEA" w:rsidRPr="00075FF9" w:rsidRDefault="000C3BEA" w:rsidP="00F23F84">
      <w:pPr>
        <w:pStyle w:val="ListParagraph"/>
        <w:widowControl/>
        <w:numPr>
          <w:ilvl w:val="0"/>
          <w:numId w:val="29"/>
        </w:numPr>
        <w:tabs>
          <w:tab w:val="left" w:pos="-4678"/>
        </w:tabs>
        <w:spacing w:after="200" w:line="276" w:lineRule="auto"/>
        <w:ind w:left="426" w:right="0" w:hanging="425"/>
        <w:rPr>
          <w:rFonts w:cs="Arial"/>
        </w:rPr>
      </w:pPr>
      <w:r>
        <w:t xml:space="preserve">In case a </w:t>
      </w:r>
      <w:r w:rsidR="0076079B">
        <w:t>RA</w:t>
      </w:r>
      <w:r>
        <w:t xml:space="preserve"> is made available for the capacity calculation in the SEE CCR </w:t>
      </w:r>
      <w:r>
        <w:rPr>
          <w:rFonts w:cs="Arial"/>
        </w:rPr>
        <w:t>is also one which is made available in another CCR,</w:t>
      </w:r>
      <w:r>
        <w:t xml:space="preserve"> the TSOs taking control of the </w:t>
      </w:r>
      <w:r w:rsidR="001B5D9D">
        <w:t>RA</w:t>
      </w:r>
      <w:r>
        <w:t xml:space="preserve"> shall take care, when defining it, of a consistent use in its potential application in both regions to ensure </w:t>
      </w:r>
      <w:r w:rsidR="00035B05">
        <w:t>operational security</w:t>
      </w:r>
      <w:r>
        <w:t>.</w:t>
      </w:r>
      <w:r w:rsidR="00035B05">
        <w:t xml:space="preserve"> An exchange of foreseen RAs in each CCR, with sufficient impact on the cross-zonal capacity in other CCRs, shall be coordinated among CCCs. The SEE CCC shall take this information into account for the coordinated application of RAs in the SEE CCR.</w:t>
      </w:r>
      <w:r>
        <w:t xml:space="preserve"> </w:t>
      </w:r>
    </w:p>
    <w:p w14:paraId="47245F15" w14:textId="2F2DA1C6" w:rsidR="00075FF9" w:rsidRDefault="00075FF9" w:rsidP="00DF05D6">
      <w:pPr>
        <w:pStyle w:val="ListParagraph"/>
        <w:widowControl/>
        <w:numPr>
          <w:ilvl w:val="0"/>
          <w:numId w:val="29"/>
        </w:numPr>
        <w:spacing w:line="276" w:lineRule="auto"/>
        <w:ind w:left="426" w:right="0"/>
        <w:contextualSpacing/>
        <w:rPr>
          <w:rFonts w:cs="Arial"/>
        </w:rPr>
      </w:pPr>
      <w:r>
        <w:rPr>
          <w:rFonts w:cs="Arial"/>
        </w:rPr>
        <w:t>In accordance with Article 21(1)(b)(iv) of the CACM Regulation,</w:t>
      </w:r>
      <w:r w:rsidR="00980065">
        <w:rPr>
          <w:rFonts w:cs="Arial"/>
        </w:rPr>
        <w:t xml:space="preserve"> at</w:t>
      </w:r>
      <w:r>
        <w:rPr>
          <w:rFonts w:cs="Arial"/>
        </w:rPr>
        <w:t xml:space="preserve"> this day-ahead and intraday common capacity calculation methodology:</w:t>
      </w:r>
    </w:p>
    <w:p w14:paraId="59608491" w14:textId="19B96D4E" w:rsidR="00075FF9" w:rsidRDefault="00F23F84" w:rsidP="00F23F84">
      <w:pPr>
        <w:pStyle w:val="ListParagraph"/>
        <w:widowControl/>
        <w:numPr>
          <w:ilvl w:val="1"/>
          <w:numId w:val="39"/>
        </w:numPr>
        <w:spacing w:line="276" w:lineRule="auto"/>
        <w:ind w:left="1276" w:right="0" w:hanging="357"/>
        <w:contextualSpacing/>
        <w:rPr>
          <w:rFonts w:cs="Arial"/>
        </w:rPr>
      </w:pPr>
      <w:r>
        <w:rPr>
          <w:rFonts w:cs="Arial"/>
        </w:rPr>
        <w:t xml:space="preserve">an </w:t>
      </w:r>
      <w:r w:rsidR="00075FF9">
        <w:rPr>
          <w:rFonts w:cs="Arial"/>
        </w:rPr>
        <w:t xml:space="preserve">exchange of foreseen remedial actions in each CCR, with sufficient impact on the cross-zonal capacity in other CCRs, should be coordinated among CCCs. </w:t>
      </w:r>
    </w:p>
    <w:p w14:paraId="66CA83A4" w14:textId="77777777" w:rsidR="00075FF9" w:rsidRDefault="00075FF9" w:rsidP="00F23F84">
      <w:pPr>
        <w:pStyle w:val="ListParagraph"/>
        <w:widowControl/>
        <w:numPr>
          <w:ilvl w:val="1"/>
          <w:numId w:val="39"/>
        </w:numPr>
        <w:spacing w:line="276" w:lineRule="auto"/>
        <w:ind w:left="1276" w:right="0" w:hanging="357"/>
        <w:contextualSpacing/>
        <w:rPr>
          <w:rFonts w:cs="Arial"/>
        </w:rPr>
      </w:pPr>
      <w:r>
        <w:rPr>
          <w:rFonts w:cs="Arial"/>
        </w:rPr>
        <w:t>the coordinated application of RAs shall aim at increasing cross-zonal capacity in the SEE CCR in accordance with Article 29(4) of the CACM Regulation;</w:t>
      </w:r>
    </w:p>
    <w:p w14:paraId="1DFF3FB2" w14:textId="1DF75806" w:rsidR="00075FF9" w:rsidRPr="00075FF9" w:rsidRDefault="00075FF9" w:rsidP="00F23F84">
      <w:pPr>
        <w:pStyle w:val="ListParagraph"/>
        <w:widowControl/>
        <w:numPr>
          <w:ilvl w:val="1"/>
          <w:numId w:val="39"/>
        </w:numPr>
        <w:spacing w:after="200" w:line="276" w:lineRule="auto"/>
        <w:ind w:left="1276" w:right="0" w:hanging="357"/>
        <w:rPr>
          <w:rFonts w:cs="Arial"/>
        </w:rPr>
      </w:pPr>
      <w:r>
        <w:rPr>
          <w:rFonts w:cs="Arial"/>
        </w:rPr>
        <w:t>the applied RAs should be transparent to all TSOs, also of adjacent CCRs, and shall be an input to the coordinated operational security analysis established under SO GL Article 75.</w:t>
      </w:r>
    </w:p>
    <w:p w14:paraId="40BCB8AD" w14:textId="5AE5BA8F" w:rsidR="004329A2" w:rsidRPr="004329A2" w:rsidRDefault="003037D6" w:rsidP="00DF05D6">
      <w:pPr>
        <w:pStyle w:val="ListParagraph"/>
        <w:numPr>
          <w:ilvl w:val="0"/>
          <w:numId w:val="29"/>
        </w:numPr>
        <w:spacing w:line="276" w:lineRule="auto"/>
        <w:ind w:left="426" w:right="0"/>
        <w:rPr>
          <w:rFonts w:cs="Arial"/>
        </w:rPr>
      </w:pPr>
      <w:r>
        <w:rPr>
          <w:rFonts w:cs="Arial"/>
        </w:rPr>
        <w:t>SEE TSOs shall review and update r</w:t>
      </w:r>
      <w:r w:rsidR="004329A2" w:rsidRPr="004329A2">
        <w:rPr>
          <w:rFonts w:cs="Arial"/>
        </w:rPr>
        <w:t xml:space="preserve">emedial actions </w:t>
      </w:r>
      <w:r w:rsidR="00606029">
        <w:rPr>
          <w:rFonts w:cs="Arial"/>
        </w:rPr>
        <w:t xml:space="preserve">taken into account in capacity calculation, on a yearly basis in accordance </w:t>
      </w:r>
      <w:r w:rsidR="000A5596">
        <w:rPr>
          <w:rFonts w:cs="Arial"/>
        </w:rPr>
        <w:t>with</w:t>
      </w:r>
      <w:r w:rsidR="00606029">
        <w:rPr>
          <w:rFonts w:cs="Arial"/>
        </w:rPr>
        <w:t xml:space="preserve"> </w:t>
      </w:r>
      <w:r w:rsidR="00F460AE">
        <w:rPr>
          <w:rFonts w:cs="Arial"/>
        </w:rPr>
        <w:t>A</w:t>
      </w:r>
      <w:r w:rsidR="00606029">
        <w:rPr>
          <w:rFonts w:cs="Arial"/>
        </w:rPr>
        <w:t>rticle 15</w:t>
      </w:r>
      <w:r w:rsidR="004329A2" w:rsidRPr="004329A2">
        <w:rPr>
          <w:rFonts w:cs="Arial"/>
        </w:rPr>
        <w:t xml:space="preserve">. </w:t>
      </w:r>
    </w:p>
    <w:p w14:paraId="0B55EB2A" w14:textId="1C5194C9" w:rsidR="000C3BEA" w:rsidRPr="00F23F84" w:rsidRDefault="000C3BEA" w:rsidP="00457547">
      <w:pPr>
        <w:pStyle w:val="Title1"/>
        <w:rPr>
          <w:b w:val="0"/>
          <w:sz w:val="22"/>
          <w:szCs w:val="22"/>
        </w:rPr>
      </w:pPr>
    </w:p>
    <w:p w14:paraId="25C43805" w14:textId="77777777" w:rsidR="002A72C5" w:rsidRDefault="007F2107" w:rsidP="00457547">
      <w:pPr>
        <w:pStyle w:val="Title1"/>
      </w:pPr>
      <w:r>
        <w:t>Article 10</w:t>
      </w:r>
    </w:p>
    <w:p w14:paraId="73A5EB5C" w14:textId="77777777" w:rsidR="002A72C5" w:rsidRDefault="007F2107" w:rsidP="00457547">
      <w:pPr>
        <w:pStyle w:val="Title1"/>
      </w:pPr>
      <w:r>
        <w:t>Cross-zonal capacity validation methodology</w:t>
      </w:r>
    </w:p>
    <w:p w14:paraId="129B0C28" w14:textId="77777777" w:rsidR="00E730C9" w:rsidRDefault="00E730C9">
      <w:pPr>
        <w:spacing w:line="268" w:lineRule="exact"/>
        <w:ind w:left="468" w:right="858"/>
        <w:jc w:val="center"/>
        <w:rPr>
          <w:b/>
          <w:sz w:val="24"/>
        </w:rPr>
      </w:pPr>
    </w:p>
    <w:p w14:paraId="60E97EB2" w14:textId="43BDB287" w:rsidR="00B74D18" w:rsidRDefault="00B74D18" w:rsidP="00572555">
      <w:pPr>
        <w:pStyle w:val="ListParagraph"/>
        <w:widowControl/>
        <w:numPr>
          <w:ilvl w:val="0"/>
          <w:numId w:val="6"/>
        </w:numPr>
        <w:tabs>
          <w:tab w:val="left" w:pos="-4678"/>
        </w:tabs>
        <w:spacing w:after="200" w:line="276" w:lineRule="auto"/>
        <w:ind w:left="426" w:right="0" w:hanging="425"/>
        <w:contextualSpacing/>
        <w:rPr>
          <w:rFonts w:cs="Arial"/>
        </w:rPr>
      </w:pPr>
      <w:r>
        <w:rPr>
          <w:rFonts w:cs="Arial"/>
        </w:rPr>
        <w:t>Each TSO</w:t>
      </w:r>
      <w:r w:rsidR="00ED59DA">
        <w:rPr>
          <w:rFonts w:cs="Arial"/>
        </w:rPr>
        <w:t xml:space="preserve"> of the SEE CCR</w:t>
      </w:r>
      <w:r>
        <w:rPr>
          <w:rFonts w:cs="Arial"/>
        </w:rPr>
        <w:t xml:space="preserve"> shall, in accordance with Article 26(1) and 26(3) of the CACM Regulation, validate and have the right to correct cross-zonal capacity relevant to the TSO’s bidding zone borders for reasons of operational security during the validation process. In exceptional situations cross-zonal capacities can be decreased by TSOs. These situations are:</w:t>
      </w:r>
    </w:p>
    <w:p w14:paraId="78AE6DC5" w14:textId="5F76AACD" w:rsidR="00B74D18" w:rsidRDefault="00233C72" w:rsidP="00572555">
      <w:pPr>
        <w:pStyle w:val="ListParagraph"/>
        <w:widowControl/>
        <w:numPr>
          <w:ilvl w:val="1"/>
          <w:numId w:val="68"/>
        </w:numPr>
        <w:tabs>
          <w:tab w:val="left" w:pos="-4678"/>
        </w:tabs>
        <w:spacing w:after="200" w:line="276" w:lineRule="auto"/>
        <w:ind w:left="1276" w:right="0"/>
        <w:contextualSpacing/>
        <w:rPr>
          <w:rFonts w:cs="Arial"/>
        </w:rPr>
      </w:pPr>
      <w:r>
        <w:rPr>
          <w:rFonts w:cs="Arial"/>
        </w:rPr>
        <w:t>an occurrence of an exceptional contingency or forced outage pursuant to</w:t>
      </w:r>
      <w:r w:rsidR="00B74D18">
        <w:rPr>
          <w:rFonts w:cs="Arial"/>
        </w:rPr>
        <w:t xml:space="preserve"> Article 3 of SO GL</w:t>
      </w:r>
      <w:r w:rsidR="00B74D18">
        <w:rPr>
          <w:rFonts w:cs="Arial"/>
          <w:bCs/>
        </w:rPr>
        <w:t>;</w:t>
      </w:r>
    </w:p>
    <w:p w14:paraId="56B6091D" w14:textId="65FE6E7D" w:rsidR="00B74D18" w:rsidRDefault="00B74D18" w:rsidP="00572555">
      <w:pPr>
        <w:pStyle w:val="ListParagraph"/>
        <w:widowControl/>
        <w:numPr>
          <w:ilvl w:val="1"/>
          <w:numId w:val="68"/>
        </w:numPr>
        <w:tabs>
          <w:tab w:val="left" w:pos="-4678"/>
        </w:tabs>
        <w:spacing w:after="200" w:line="276" w:lineRule="auto"/>
        <w:ind w:left="1276" w:right="0"/>
        <w:contextualSpacing/>
        <w:rPr>
          <w:rFonts w:cs="Arial"/>
        </w:rPr>
      </w:pPr>
      <w:r>
        <w:rPr>
          <w:rFonts w:cs="Arial"/>
        </w:rPr>
        <w:t xml:space="preserve">when </w:t>
      </w:r>
      <w:r w:rsidR="00D6053A">
        <w:rPr>
          <w:rFonts w:cs="Arial"/>
        </w:rPr>
        <w:t xml:space="preserve">all available costly and non-costly </w:t>
      </w:r>
      <w:r w:rsidR="001B5D9D">
        <w:rPr>
          <w:rFonts w:cs="Arial"/>
        </w:rPr>
        <w:t>RAs</w:t>
      </w:r>
      <w:r>
        <w:rPr>
          <w:rFonts w:cs="Arial"/>
        </w:rPr>
        <w:t>, that are needed to ensure the calculated capacity, are not sufficient</w:t>
      </w:r>
      <w:r w:rsidR="00874E0E">
        <w:rPr>
          <w:rFonts w:cs="Arial"/>
        </w:rPr>
        <w:t xml:space="preserve"> to ensure operational security</w:t>
      </w:r>
      <w:r>
        <w:rPr>
          <w:rFonts w:cs="Arial"/>
        </w:rPr>
        <w:t>;</w:t>
      </w:r>
    </w:p>
    <w:p w14:paraId="362BF6D9" w14:textId="6326EF80" w:rsidR="007C1697" w:rsidRDefault="007C1697" w:rsidP="00572555">
      <w:pPr>
        <w:pStyle w:val="ListParagraph"/>
        <w:widowControl/>
        <w:numPr>
          <w:ilvl w:val="1"/>
          <w:numId w:val="68"/>
        </w:numPr>
        <w:tabs>
          <w:tab w:val="left" w:pos="-4678"/>
        </w:tabs>
        <w:spacing w:after="200" w:line="276" w:lineRule="auto"/>
        <w:ind w:left="1276" w:right="0"/>
        <w:contextualSpacing/>
        <w:rPr>
          <w:rFonts w:cs="Arial"/>
        </w:rPr>
      </w:pPr>
      <w:r>
        <w:rPr>
          <w:rFonts w:cs="Arial"/>
        </w:rPr>
        <w:t xml:space="preserve">extremely low demand of a TSO which leads to low system inertia and high voltage conditions and so require a minimum number of power plants on the grid; </w:t>
      </w:r>
    </w:p>
    <w:p w14:paraId="3125E28C" w14:textId="7CFC33BD" w:rsidR="00B74D18" w:rsidRDefault="00B74D18" w:rsidP="001F1F80">
      <w:pPr>
        <w:pStyle w:val="ListParagraph"/>
        <w:widowControl/>
        <w:numPr>
          <w:ilvl w:val="1"/>
          <w:numId w:val="68"/>
        </w:numPr>
        <w:tabs>
          <w:tab w:val="left" w:pos="-4678"/>
        </w:tabs>
        <w:spacing w:line="276" w:lineRule="auto"/>
        <w:ind w:left="1276" w:right="0" w:hanging="425"/>
        <w:rPr>
          <w:rFonts w:cs="Arial"/>
        </w:rPr>
      </w:pPr>
      <w:r>
        <w:rPr>
          <w:rFonts w:cs="Arial"/>
        </w:rPr>
        <w:lastRenderedPageBreak/>
        <w:t>a mistake in input data, that leads to an overestimation of cross-zonal capacity from an operational security perspective.</w:t>
      </w:r>
    </w:p>
    <w:p w14:paraId="5D211456" w14:textId="0F0FDC03" w:rsidR="00E11681" w:rsidRDefault="00E11681" w:rsidP="00572555">
      <w:pPr>
        <w:pStyle w:val="ListParagraph"/>
        <w:numPr>
          <w:ilvl w:val="0"/>
          <w:numId w:val="6"/>
        </w:numPr>
        <w:tabs>
          <w:tab w:val="left" w:pos="-4678"/>
        </w:tabs>
        <w:spacing w:after="200" w:line="259" w:lineRule="auto"/>
        <w:ind w:left="426" w:right="0" w:hanging="425"/>
      </w:pPr>
      <w:r>
        <w:t xml:space="preserve">Capacity validation shall consist of two steps. </w:t>
      </w:r>
      <w:r w:rsidR="00097A6E">
        <w:t xml:space="preserve">In the first step, the SEE TSOs shall analyse in a coordinated manner whether the cross-zonal capacity (i.e. </w:t>
      </w:r>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m:t>
            </m:r>
          </m:sub>
        </m:sSub>
      </m:oMath>
      <w:r w:rsidR="00097A6E">
        <w:t>) could violate operational security limits, and whether they have sufficient RAs to avoid such violations. In the second step, each SEE TSOs shall individually analyse whether the cross-zonal capacity could violate operational security in its own control area.</w:t>
      </w:r>
    </w:p>
    <w:p w14:paraId="02659B9F" w14:textId="7E3EFF30" w:rsidR="00097A6E" w:rsidRDefault="00097A6E" w:rsidP="00572555">
      <w:pPr>
        <w:pStyle w:val="ListParagraph"/>
        <w:numPr>
          <w:ilvl w:val="0"/>
          <w:numId w:val="6"/>
        </w:numPr>
        <w:tabs>
          <w:tab w:val="left" w:pos="-4678"/>
        </w:tabs>
        <w:spacing w:after="200" w:line="259" w:lineRule="auto"/>
        <w:ind w:left="426" w:right="0" w:hanging="425"/>
      </w:pPr>
      <w:r>
        <w:t xml:space="preserve">In the first step, the CCC in coordination with all SEE TSOs shall validate the </w:t>
      </w:r>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m:t>
            </m:r>
          </m:sub>
        </m:sSub>
      </m:oMath>
      <w:r>
        <w:t>. In this process they shall exchange information on all expected available (non-costly and costly) RAs in the SEE CCR, defined in accordance with Article 22 of the SO Regulation.</w:t>
      </w:r>
      <w:r w:rsidR="00C41B7F">
        <w:t xml:space="preserve"> In case the </w:t>
      </w:r>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m:t>
            </m:r>
          </m:sub>
        </m:sSub>
      </m:oMath>
      <w:r w:rsidR="00C41B7F">
        <w:t xml:space="preserve"> on CNECs could lead to violation of operational security, all SEE TSOs in coordination with the CCC shall verify whether such violation can be avoided with the application of RAs.</w:t>
      </w:r>
      <w:r w:rsidR="00D6053A">
        <w:t xml:space="preserve"> For those CNECs wh</w:t>
      </w:r>
      <w:r w:rsidR="00C6112D">
        <w:t>e</w:t>
      </w:r>
      <w:r w:rsidR="00D6053A">
        <w:t xml:space="preserve">re all available RAs are not sufficient to avoid the violation of operational security, the SEE TSOs in coordination with the CCC may reduce the </w:t>
      </w:r>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m:t>
            </m:r>
          </m:sub>
        </m:sSub>
      </m:oMath>
      <w:r w:rsidR="00D6053A">
        <w:t xml:space="preserve"> to the maximum value which avoids the violation of operational security. This reduction of the </w:t>
      </w:r>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m:t>
            </m:r>
          </m:sub>
        </m:sSub>
      </m:oMath>
      <w:r w:rsidR="00D6053A">
        <w:t xml:space="preserve"> is called coordinated validation adjustment (</w:t>
      </w:r>
      <w:r w:rsidR="00D6053A" w:rsidRPr="00D6053A">
        <w:rPr>
          <w:i/>
        </w:rPr>
        <w:t>CVA</w:t>
      </w:r>
      <w:r w:rsidR="00D6053A">
        <w:t>) and the adjusted NTC is called NTC after coordinated validation.</w:t>
      </w:r>
    </w:p>
    <w:p w14:paraId="4D832E20" w14:textId="5FD432B6" w:rsidR="00D6053A" w:rsidRDefault="00D6053A" w:rsidP="00572555">
      <w:pPr>
        <w:pStyle w:val="ListParagraph"/>
        <w:numPr>
          <w:ilvl w:val="0"/>
          <w:numId w:val="6"/>
        </w:numPr>
        <w:tabs>
          <w:tab w:val="left" w:pos="-4678"/>
        </w:tabs>
        <w:spacing w:after="200" w:line="259" w:lineRule="auto"/>
        <w:ind w:left="426" w:right="0" w:hanging="425"/>
      </w:pPr>
      <w:r>
        <w:t xml:space="preserve">After coordinated validation, each SEE TSO shall validate and have the right to decrease the NTC for reasons of operational security during the individual validation. The adjustment due to </w:t>
      </w:r>
      <w:r w:rsidR="00D90D33">
        <w:t>individual validation is called individual validation adjustment</w:t>
      </w:r>
      <w:r w:rsidR="00541E21">
        <w:t xml:space="preserve"> (</w:t>
      </w:r>
      <w:r w:rsidR="00541E21" w:rsidRPr="00541E21">
        <w:rPr>
          <w:i/>
        </w:rPr>
        <w:t>IVA</w:t>
      </w:r>
      <w:r w:rsidR="00541E21">
        <w:t>) and may reduce the NTC only to the minimum degree that is needed to ensure operational security considering all expected available costly and non-costly RAs, in accordance with Article 22 of the SO Regulation.</w:t>
      </w:r>
    </w:p>
    <w:p w14:paraId="26CA58BE" w14:textId="71018FAC" w:rsidR="00F14DDC" w:rsidRDefault="00F14DDC" w:rsidP="00572555">
      <w:pPr>
        <w:pStyle w:val="ListParagraph"/>
        <w:numPr>
          <w:ilvl w:val="0"/>
          <w:numId w:val="6"/>
        </w:numPr>
        <w:tabs>
          <w:tab w:val="left" w:pos="-4678"/>
        </w:tabs>
        <w:spacing w:after="200" w:line="259" w:lineRule="auto"/>
        <w:ind w:left="426" w:right="0" w:hanging="425"/>
      </w:pPr>
      <w:r>
        <w:t>When performing the validation, SEE TSOs may consider the operational security limits pursuant to Article 7. When considering such limits, they may consider additional grid models, and</w:t>
      </w:r>
      <w:r w:rsidR="00BD2E8D">
        <w:t xml:space="preserve">/or </w:t>
      </w:r>
      <w:r>
        <w:t>other relevant information</w:t>
      </w:r>
      <w:r w:rsidR="00BD2E8D">
        <w:t xml:space="preserve"> from the real time situation</w:t>
      </w:r>
      <w:r w:rsidR="00407084">
        <w:t>. Therefore, SEE TSOs shall use tools developed by the CCC for analysis, but may also employ verification tools not available to the CCC.</w:t>
      </w:r>
    </w:p>
    <w:p w14:paraId="099831AC" w14:textId="66A10C4A" w:rsidR="00D557D6" w:rsidRDefault="00D557D6" w:rsidP="00572555">
      <w:pPr>
        <w:pStyle w:val="ListParagraph"/>
        <w:numPr>
          <w:ilvl w:val="0"/>
          <w:numId w:val="6"/>
        </w:numPr>
        <w:tabs>
          <w:tab w:val="left" w:pos="-4678"/>
        </w:tabs>
        <w:spacing w:after="200" w:line="259" w:lineRule="auto"/>
        <w:ind w:left="426" w:right="0" w:hanging="425"/>
      </w:pPr>
      <w:r>
        <w:t>After coordinated and individual validation adjustments, the final NTC (</w:t>
      </w:r>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final</m:t>
            </m:r>
          </m:sub>
        </m:sSub>
      </m:oMath>
      <w:r>
        <w:t xml:space="preserve">) shall be calculated by CCC according </w:t>
      </w:r>
      <w:r w:rsidR="00F02240">
        <w:t xml:space="preserve">to </w:t>
      </w:r>
      <w:r>
        <w:t>the following equation:</w:t>
      </w:r>
    </w:p>
    <w:p w14:paraId="526CF1B5" w14:textId="49D9BC0C" w:rsidR="00D557D6" w:rsidRPr="00D557D6" w:rsidRDefault="00D557D6" w:rsidP="006D09F3">
      <w:pPr>
        <w:pStyle w:val="ListParagraph"/>
        <w:tabs>
          <w:tab w:val="left" w:pos="-4820"/>
        </w:tabs>
        <w:spacing w:line="276" w:lineRule="auto"/>
        <w:ind w:firstLine="0"/>
        <w:rPr>
          <w:rFonts w:cs="Arial"/>
        </w:rPr>
      </w:pPr>
      <m:oMathPara>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final</m:t>
              </m:r>
            </m:sub>
          </m:sSub>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m:t>
              </m:r>
            </m:sub>
          </m:sSub>
          <m:r>
            <w:rPr>
              <w:rFonts w:ascii="Cambria Math" w:hAnsi="Cambria Math" w:cs="Arial"/>
            </w:rPr>
            <m:t>-CVA-IVA</m:t>
          </m:r>
        </m:oMath>
      </m:oMathPara>
    </w:p>
    <w:p w14:paraId="70D2B185" w14:textId="73F81B45" w:rsidR="00B74D18" w:rsidRDefault="00572555" w:rsidP="00572555">
      <w:pPr>
        <w:pStyle w:val="ListParagraph"/>
        <w:numPr>
          <w:ilvl w:val="0"/>
          <w:numId w:val="6"/>
        </w:numPr>
        <w:tabs>
          <w:tab w:val="left" w:pos="-4678"/>
        </w:tabs>
        <w:spacing w:after="200" w:line="259" w:lineRule="auto"/>
        <w:ind w:left="426" w:right="0" w:hanging="425"/>
      </w:pPr>
      <w:r>
        <w:t>When</w:t>
      </w:r>
      <w:r>
        <w:rPr>
          <w:spacing w:val="-15"/>
        </w:rPr>
        <w:t xml:space="preserve"> </w:t>
      </w:r>
      <w:r w:rsidR="00B74D18">
        <w:t>one</w:t>
      </w:r>
      <w:r w:rsidR="00B74D18">
        <w:rPr>
          <w:spacing w:val="-15"/>
        </w:rPr>
        <w:t xml:space="preserve"> </w:t>
      </w:r>
      <w:r w:rsidR="00B74D18">
        <w:t>or</w:t>
      </w:r>
      <w:r w:rsidR="00B74D18">
        <w:rPr>
          <w:spacing w:val="-15"/>
        </w:rPr>
        <w:t xml:space="preserve"> </w:t>
      </w:r>
      <w:r w:rsidR="00B74D18">
        <w:t>more</w:t>
      </w:r>
      <w:r w:rsidR="00B74D18">
        <w:rPr>
          <w:spacing w:val="-15"/>
        </w:rPr>
        <w:t xml:space="preserve"> </w:t>
      </w:r>
      <w:r w:rsidR="00B74D18">
        <w:t>SEE TSOs</w:t>
      </w:r>
      <w:r w:rsidR="00B74D18">
        <w:rPr>
          <w:spacing w:val="-15"/>
        </w:rPr>
        <w:t xml:space="preserve"> </w:t>
      </w:r>
      <w:r w:rsidR="00B74D18">
        <w:t>do</w:t>
      </w:r>
      <w:r w:rsidR="00B74D18">
        <w:rPr>
          <w:spacing w:val="-16"/>
        </w:rPr>
        <w:t xml:space="preserve"> </w:t>
      </w:r>
      <w:r w:rsidR="00B74D18">
        <w:t>not</w:t>
      </w:r>
      <w:r w:rsidR="00B74D18">
        <w:rPr>
          <w:spacing w:val="-15"/>
        </w:rPr>
        <w:t xml:space="preserve"> </w:t>
      </w:r>
      <w:r w:rsidR="00B74D18">
        <w:t>validate</w:t>
      </w:r>
      <w:r w:rsidR="00B74D18">
        <w:rPr>
          <w:spacing w:val="-15"/>
        </w:rPr>
        <w:t xml:space="preserve"> </w:t>
      </w:r>
      <w:r w:rsidR="00B74D18">
        <w:t>the</w:t>
      </w:r>
      <w:r w:rsidR="00B74D18">
        <w:rPr>
          <w:spacing w:val="-15"/>
        </w:rPr>
        <w:t xml:space="preserve"> </w:t>
      </w:r>
      <w:r w:rsidR="00AE29C0">
        <w:rPr>
          <w:spacing w:val="-15"/>
        </w:rPr>
        <w:t xml:space="preserve">calculated </w:t>
      </w:r>
      <w:r w:rsidR="00B74D18">
        <w:t>cross-zonal</w:t>
      </w:r>
      <w:r w:rsidR="00B74D18">
        <w:rPr>
          <w:spacing w:val="-15"/>
        </w:rPr>
        <w:t xml:space="preserve"> </w:t>
      </w:r>
      <w:r w:rsidR="00B74D18">
        <w:t>capacity,</w:t>
      </w:r>
      <w:r w:rsidR="00B74D18">
        <w:rPr>
          <w:spacing w:val="-16"/>
        </w:rPr>
        <w:t xml:space="preserve"> </w:t>
      </w:r>
      <w:r w:rsidR="00B74D18">
        <w:t>the</w:t>
      </w:r>
      <w:r w:rsidR="00B74D18">
        <w:rPr>
          <w:spacing w:val="-15"/>
        </w:rPr>
        <w:t xml:space="preserve"> </w:t>
      </w:r>
      <w:r w:rsidR="00B74D18">
        <w:t>concerned</w:t>
      </w:r>
      <w:r w:rsidR="00B74D18">
        <w:rPr>
          <w:spacing w:val="-18"/>
        </w:rPr>
        <w:t xml:space="preserve"> </w:t>
      </w:r>
      <w:r w:rsidR="00B74D18">
        <w:t xml:space="preserve">TSO(s) shall provide the </w:t>
      </w:r>
      <w:r w:rsidR="007D1404">
        <w:t>CCC</w:t>
      </w:r>
      <w:r w:rsidR="00B74D18">
        <w:t xml:space="preserve"> the reasons for the reduction. The final cross-zonal capacity is the minimum value </w:t>
      </w:r>
      <w:r w:rsidR="00AE29C0">
        <w:t xml:space="preserve">set </w:t>
      </w:r>
      <w:r w:rsidR="00B74D18">
        <w:t xml:space="preserve">by the SEE TSOs of the </w:t>
      </w:r>
      <w:r w:rsidR="00AE29C0">
        <w:t xml:space="preserve">considered </w:t>
      </w:r>
      <w:r w:rsidR="00B74D18">
        <w:t>border.</w:t>
      </w:r>
    </w:p>
    <w:p w14:paraId="0B8B06A2" w14:textId="0053EA5B" w:rsidR="00B74D18" w:rsidRDefault="00B74D18" w:rsidP="00572555">
      <w:pPr>
        <w:pStyle w:val="ListParagraph"/>
        <w:widowControl/>
        <w:numPr>
          <w:ilvl w:val="0"/>
          <w:numId w:val="6"/>
        </w:numPr>
        <w:tabs>
          <w:tab w:val="left" w:pos="-4678"/>
        </w:tabs>
        <w:spacing w:after="200" w:line="276" w:lineRule="auto"/>
        <w:ind w:left="426" w:right="0" w:hanging="425"/>
        <w:rPr>
          <w:rFonts w:cs="Arial"/>
        </w:rPr>
      </w:pPr>
      <w:r>
        <w:rPr>
          <w:rFonts w:cs="Arial"/>
        </w:rPr>
        <w:t xml:space="preserve">Any reduction of cross-zonal capacities during the validation process shall be </w:t>
      </w:r>
      <w:r w:rsidR="007D1404">
        <w:rPr>
          <w:rFonts w:cs="Arial"/>
        </w:rPr>
        <w:t xml:space="preserve">communicated </w:t>
      </w:r>
      <w:r w:rsidR="00821B00">
        <w:rPr>
          <w:rFonts w:cs="Arial"/>
        </w:rPr>
        <w:t xml:space="preserve">and justified to market participants and to </w:t>
      </w:r>
      <w:r>
        <w:rPr>
          <w:rFonts w:cs="Arial"/>
        </w:rPr>
        <w:t>the SEE national regulatory authorities</w:t>
      </w:r>
      <w:r w:rsidR="007D1404">
        <w:rPr>
          <w:rFonts w:cs="Arial"/>
        </w:rPr>
        <w:t>.</w:t>
      </w:r>
      <w:r>
        <w:rPr>
          <w:rFonts w:cs="Arial"/>
        </w:rPr>
        <w:t xml:space="preserve"> The CCC shall issue </w:t>
      </w:r>
      <w:r w:rsidR="00980065">
        <w:rPr>
          <w:rFonts w:cs="Arial"/>
        </w:rPr>
        <w:t xml:space="preserve">a </w:t>
      </w:r>
      <w:r w:rsidR="004D3510">
        <w:rPr>
          <w:rFonts w:cs="Arial"/>
        </w:rPr>
        <w:t>quarterly</w:t>
      </w:r>
      <w:r w:rsidR="00980065">
        <w:rPr>
          <w:rFonts w:cs="Arial"/>
        </w:rPr>
        <w:t xml:space="preserve"> report to</w:t>
      </w:r>
      <w:r>
        <w:rPr>
          <w:rFonts w:cs="Arial"/>
        </w:rPr>
        <w:t xml:space="preserve"> regulatory authorities that shall include the amount of reduction in cross-zonal capacity and reason for reduction, pursuant to Article 26(5) of CACM. In cases of reduction the report shall </w:t>
      </w:r>
      <w:r w:rsidR="000B7246">
        <w:rPr>
          <w:rFonts w:cs="Arial"/>
        </w:rPr>
        <w:t xml:space="preserve">include information for each </w:t>
      </w:r>
      <w:r w:rsidR="000B7246" w:rsidRPr="00EC09D8">
        <w:rPr>
          <w:rFonts w:cs="Arial"/>
        </w:rPr>
        <w:t>bidding zone border and direction</w:t>
      </w:r>
      <w:r w:rsidR="00CD09C9" w:rsidRPr="00D0161F">
        <w:rPr>
          <w:rFonts w:cs="Arial"/>
          <w:u w:val="single"/>
        </w:rPr>
        <w:t xml:space="preserve"> </w:t>
      </w:r>
      <w:r w:rsidR="00CD09C9">
        <w:rPr>
          <w:rFonts w:cs="Arial"/>
        </w:rPr>
        <w:t xml:space="preserve">affected by a reduction and for each MTU (i.e. the identification of the </w:t>
      </w:r>
      <w:r w:rsidR="00727585">
        <w:rPr>
          <w:rFonts w:cs="Arial"/>
        </w:rPr>
        <w:t>border and direction</w:t>
      </w:r>
      <w:r w:rsidR="004B3BDD">
        <w:rPr>
          <w:rFonts w:cs="Arial"/>
        </w:rPr>
        <w:t>; the volume of reduction</w:t>
      </w:r>
      <w:r w:rsidR="004E3EE6">
        <w:rPr>
          <w:rFonts w:cs="Arial"/>
        </w:rPr>
        <w:t xml:space="preserve">; detailed reasons for reduction, including the security constraint violated, and under which circumstances it was violated; </w:t>
      </w:r>
      <w:r w:rsidR="004E3EE6" w:rsidRPr="00EC09D8">
        <w:rPr>
          <w:rFonts w:cs="Arial"/>
        </w:rPr>
        <w:t xml:space="preserve">the </w:t>
      </w:r>
      <w:r w:rsidR="00160CF1" w:rsidRPr="00EC09D8">
        <w:rPr>
          <w:rFonts w:cs="Arial"/>
        </w:rPr>
        <w:t>before and after the contingency values for the NTC;</w:t>
      </w:r>
      <w:r w:rsidR="00160CF1">
        <w:rPr>
          <w:rFonts w:cs="Arial"/>
        </w:rPr>
        <w:t xml:space="preserve"> the RAs included in CGM before capacity calculation; in case of reduction due to individual validation, the TSO invoking the reduction</w:t>
      </w:r>
      <w:r w:rsidR="00CD09C9">
        <w:rPr>
          <w:rFonts w:cs="Arial"/>
        </w:rPr>
        <w:t xml:space="preserve">) and </w:t>
      </w:r>
      <w:r w:rsidR="00160CF1">
        <w:rPr>
          <w:rFonts w:cs="Arial"/>
        </w:rPr>
        <w:t xml:space="preserve">the proposed </w:t>
      </w:r>
      <w:r>
        <w:rPr>
          <w:rFonts w:cs="Arial"/>
        </w:rPr>
        <w:t>meas</w:t>
      </w:r>
      <w:r w:rsidR="00980065">
        <w:rPr>
          <w:rFonts w:cs="Arial"/>
        </w:rPr>
        <w:t xml:space="preserve">ures to </w:t>
      </w:r>
      <w:r w:rsidR="00160CF1">
        <w:rPr>
          <w:rFonts w:cs="Arial"/>
        </w:rPr>
        <w:t xml:space="preserve">avoid </w:t>
      </w:r>
      <w:r w:rsidR="00980065">
        <w:rPr>
          <w:rFonts w:cs="Arial"/>
        </w:rPr>
        <w:t xml:space="preserve">similar </w:t>
      </w:r>
      <w:r w:rsidR="00160CF1">
        <w:rPr>
          <w:rFonts w:cs="Arial"/>
        </w:rPr>
        <w:t xml:space="preserve">reductions </w:t>
      </w:r>
      <w:r w:rsidR="00980065">
        <w:rPr>
          <w:rFonts w:cs="Arial"/>
        </w:rPr>
        <w:t>in the future</w:t>
      </w:r>
      <w:r>
        <w:rPr>
          <w:rFonts w:cs="Arial"/>
        </w:rPr>
        <w:t>.</w:t>
      </w:r>
      <w:r w:rsidR="00160CF1">
        <w:rPr>
          <w:rFonts w:cs="Arial"/>
        </w:rPr>
        <w:t xml:space="preserve"> The report shall also include at least the following aggregate information: statistics on the number, causes, volume and </w:t>
      </w:r>
      <w:r w:rsidR="00160CF1" w:rsidRPr="00F04706">
        <w:rPr>
          <w:rFonts w:cs="Arial"/>
        </w:rPr>
        <w:t xml:space="preserve">estimated </w:t>
      </w:r>
      <w:r w:rsidR="00160CF1" w:rsidRPr="00EC09D8">
        <w:rPr>
          <w:rFonts w:cs="Arial"/>
        </w:rPr>
        <w:t>loss of economic surplus of applied</w:t>
      </w:r>
      <w:r w:rsidR="00160CF1">
        <w:rPr>
          <w:rFonts w:cs="Arial"/>
        </w:rPr>
        <w:t xml:space="preserve"> of reductions by different TSOs and general measures to avoid capacity reduction in the future.</w:t>
      </w:r>
    </w:p>
    <w:p w14:paraId="551F7AC7" w14:textId="280A1238" w:rsidR="00A21CB0" w:rsidRPr="00EC09D8" w:rsidRDefault="00A21CB0" w:rsidP="00572555">
      <w:pPr>
        <w:pStyle w:val="ListParagraph"/>
        <w:widowControl/>
        <w:numPr>
          <w:ilvl w:val="0"/>
          <w:numId w:val="6"/>
        </w:numPr>
        <w:tabs>
          <w:tab w:val="left" w:pos="-4678"/>
        </w:tabs>
        <w:spacing w:after="200" w:line="276" w:lineRule="auto"/>
        <w:ind w:left="426" w:right="0" w:hanging="425"/>
        <w:rPr>
          <w:rFonts w:cs="Arial"/>
        </w:rPr>
      </w:pPr>
      <w:r w:rsidRPr="00EC09D8">
        <w:rPr>
          <w:rFonts w:cs="Arial"/>
        </w:rPr>
        <w:t xml:space="preserve">When a given SEE TSO reduced capacity for its </w:t>
      </w:r>
      <w:r w:rsidR="00625461" w:rsidRPr="00EC09D8">
        <w:rPr>
          <w:rFonts w:cs="Arial"/>
        </w:rPr>
        <w:t xml:space="preserve">border </w:t>
      </w:r>
      <w:r w:rsidRPr="00EC09D8">
        <w:rPr>
          <w:rFonts w:cs="Arial"/>
        </w:rPr>
        <w:t xml:space="preserve">in more than 1% of MTUs of </w:t>
      </w:r>
      <w:r w:rsidR="008E63DB" w:rsidRPr="00EC09D8">
        <w:rPr>
          <w:rFonts w:cs="Arial"/>
        </w:rPr>
        <w:t>analyzed</w:t>
      </w:r>
      <w:r w:rsidRPr="00EC09D8">
        <w:rPr>
          <w:rFonts w:cs="Arial"/>
        </w:rPr>
        <w:t xml:space="preserve"> quarter, the concerned TSO shall provide to CCC a detailed report and action plan describing how such deviations are </w:t>
      </w:r>
      <w:r w:rsidRPr="00EC09D8">
        <w:rPr>
          <w:rFonts w:cs="Arial"/>
        </w:rPr>
        <w:lastRenderedPageBreak/>
        <w:t>expected to be alleviated and solved in the future. This report and action plan shall be included as an annex to the quarterly report.</w:t>
      </w:r>
    </w:p>
    <w:p w14:paraId="6F8A2F4B" w14:textId="376FBFF0" w:rsidR="00B74D18" w:rsidRDefault="00B74D18" w:rsidP="00572555">
      <w:pPr>
        <w:pStyle w:val="ListParagraph"/>
        <w:widowControl/>
        <w:numPr>
          <w:ilvl w:val="0"/>
          <w:numId w:val="6"/>
        </w:numPr>
        <w:tabs>
          <w:tab w:val="left" w:pos="-4678"/>
        </w:tabs>
        <w:spacing w:after="200" w:line="276" w:lineRule="auto"/>
        <w:ind w:left="426" w:right="0" w:hanging="425"/>
        <w:contextualSpacing/>
      </w:pPr>
      <w:r>
        <w:rPr>
          <w:rFonts w:cs="Arial"/>
        </w:rPr>
        <w:t xml:space="preserve">The CCC shall coordinate with </w:t>
      </w:r>
      <w:r w:rsidR="001F721A">
        <w:rPr>
          <w:rFonts w:cs="Arial"/>
        </w:rPr>
        <w:t>neighboring</w:t>
      </w:r>
      <w:r>
        <w:rPr>
          <w:rFonts w:cs="Arial"/>
        </w:rPr>
        <w:t xml:space="preserve"> CCCs during the validation process, where at least the reductions in cross-zonal capacity are shared among them. Any information on decreased cross-zonal capacity from </w:t>
      </w:r>
      <w:r w:rsidR="001F721A">
        <w:rPr>
          <w:rFonts w:cs="Arial"/>
        </w:rPr>
        <w:t>neighboring</w:t>
      </w:r>
      <w:r>
        <w:rPr>
          <w:rFonts w:cs="Arial"/>
        </w:rPr>
        <w:t xml:space="preserve"> CCCs shall be provided to SEE TSOs. </w:t>
      </w:r>
    </w:p>
    <w:p w14:paraId="4A64B619" w14:textId="77777777" w:rsidR="00B74D18" w:rsidRDefault="00B74D18" w:rsidP="00AB2578">
      <w:pPr>
        <w:pStyle w:val="ListParagraph"/>
        <w:tabs>
          <w:tab w:val="left" w:pos="549"/>
        </w:tabs>
        <w:spacing w:line="259" w:lineRule="auto"/>
        <w:ind w:right="508" w:firstLine="0"/>
      </w:pPr>
    </w:p>
    <w:p w14:paraId="3B02C807" w14:textId="77777777" w:rsidR="002A72C5" w:rsidRDefault="007F2107" w:rsidP="00457547">
      <w:pPr>
        <w:pStyle w:val="Title1"/>
      </w:pPr>
      <w:r>
        <w:t>Article 11</w:t>
      </w:r>
    </w:p>
    <w:p w14:paraId="74C088AF" w14:textId="66AD8213" w:rsidR="002A72C5" w:rsidRDefault="000F577F" w:rsidP="002141FC">
      <w:pPr>
        <w:pStyle w:val="Title1"/>
        <w:ind w:left="465" w:right="0"/>
      </w:pPr>
      <w:r>
        <w:t xml:space="preserve">Mathematical </w:t>
      </w:r>
      <w:r w:rsidR="000103FD">
        <w:t>description</w:t>
      </w:r>
      <w:r w:rsidR="000103FD" w:rsidRPr="000103FD">
        <w:t xml:space="preserve"> </w:t>
      </w:r>
      <w:r w:rsidR="000103FD">
        <w:t xml:space="preserve">of the </w:t>
      </w:r>
      <w:r>
        <w:t xml:space="preserve">day-ahead and intraday </w:t>
      </w:r>
      <w:r w:rsidR="000103FD">
        <w:t>capacity calculation approach</w:t>
      </w:r>
    </w:p>
    <w:p w14:paraId="0753F312" w14:textId="77777777" w:rsidR="000103FD" w:rsidRDefault="000103FD" w:rsidP="00457547">
      <w:pPr>
        <w:pStyle w:val="Title1"/>
      </w:pPr>
    </w:p>
    <w:p w14:paraId="756C198C" w14:textId="05FA20D0" w:rsidR="00A31827" w:rsidRDefault="00A47150" w:rsidP="00A31827">
      <w:pPr>
        <w:pStyle w:val="ListParagraph"/>
        <w:numPr>
          <w:ilvl w:val="0"/>
          <w:numId w:val="72"/>
        </w:numPr>
        <w:tabs>
          <w:tab w:val="left" w:pos="-4820"/>
          <w:tab w:val="left" w:pos="-4678"/>
        </w:tabs>
        <w:spacing w:line="276" w:lineRule="auto"/>
        <w:ind w:left="425" w:right="0" w:hanging="425"/>
        <w:rPr>
          <w:rFonts w:cs="Arial"/>
        </w:rPr>
      </w:pPr>
      <w:r w:rsidRPr="00C86E6E">
        <w:rPr>
          <w:rFonts w:cs="Arial"/>
        </w:rPr>
        <w:t>The CNTC computation is a centralized calculation based on AC load flow which delivers the main pa</w:t>
      </w:r>
      <w:r w:rsidRPr="00753F64">
        <w:rPr>
          <w:rFonts w:cs="Arial"/>
        </w:rPr>
        <w:t>rameter needed for the definition of CNTC domain: TTC. The TTC represent the maximum power exchange on a bidding zone border and calculation</w:t>
      </w:r>
      <w:r w:rsidR="00D54A14">
        <w:rPr>
          <w:rFonts w:cs="Arial"/>
        </w:rPr>
        <w:t xml:space="preserve"> shall</w:t>
      </w:r>
      <w:r w:rsidRPr="00753F64">
        <w:rPr>
          <w:rFonts w:cs="Arial"/>
        </w:rPr>
        <w:t xml:space="preserve"> </w:t>
      </w:r>
      <w:r w:rsidR="00A31827">
        <w:rPr>
          <w:rFonts w:cs="Arial"/>
        </w:rPr>
        <w:t xml:space="preserve">according to the following procedure: </w:t>
      </w:r>
    </w:p>
    <w:p w14:paraId="514822FE" w14:textId="4589938D" w:rsidR="00A31827" w:rsidRDefault="00A31827" w:rsidP="00C925B0">
      <w:pPr>
        <w:pStyle w:val="ListParagraph"/>
        <w:tabs>
          <w:tab w:val="left" w:pos="-4820"/>
          <w:tab w:val="left" w:pos="-4678"/>
        </w:tabs>
        <w:spacing w:line="276" w:lineRule="auto"/>
        <w:ind w:left="993" w:right="0" w:hanging="284"/>
      </w:pPr>
      <w:r w:rsidRPr="00CD68F5">
        <w:t>(a) use the common grid model, generation shift keys</w:t>
      </w:r>
      <w:r w:rsidR="00D54A14">
        <w:t>,</w:t>
      </w:r>
      <w:r w:rsidRPr="00CD68F5">
        <w:t xml:space="preserve"> </w:t>
      </w:r>
      <w:r w:rsidR="00D54A14">
        <w:t>and list of CNECs defined in accordance with Article 7a</w:t>
      </w:r>
      <w:r w:rsidRPr="00CD68F5">
        <w:t xml:space="preserve"> to calculate maximum power exchange on bidding zone borders, which shall equal the maximum calculated exchange between two bidding zones on either side of the bidding zone border respecting operational security limits; </w:t>
      </w:r>
    </w:p>
    <w:p w14:paraId="7C567AB6" w14:textId="5EE2963C" w:rsidR="00A31827" w:rsidRDefault="00A31827" w:rsidP="00C925B0">
      <w:pPr>
        <w:pStyle w:val="ListParagraph"/>
        <w:tabs>
          <w:tab w:val="left" w:pos="-4820"/>
          <w:tab w:val="left" w:pos="-4678"/>
        </w:tabs>
        <w:spacing w:after="200" w:line="276" w:lineRule="auto"/>
        <w:ind w:left="993" w:right="0" w:hanging="284"/>
      </w:pPr>
      <w:r w:rsidRPr="00CD68F5">
        <w:t xml:space="preserve">(b) adjust maximum power exchange using remedial actions </w:t>
      </w:r>
      <w:r w:rsidR="0092332D">
        <w:t>in accordance with Article 9.</w:t>
      </w:r>
    </w:p>
    <w:p w14:paraId="667B1AD1" w14:textId="0913C5BD" w:rsidR="00E11681" w:rsidRDefault="00367C79" w:rsidP="001C179E">
      <w:pPr>
        <w:pStyle w:val="ListParagraph"/>
        <w:numPr>
          <w:ilvl w:val="0"/>
          <w:numId w:val="72"/>
        </w:numPr>
        <w:tabs>
          <w:tab w:val="left" w:pos="-4820"/>
          <w:tab w:val="left" w:pos="-4678"/>
        </w:tabs>
        <w:spacing w:after="200" w:line="276" w:lineRule="auto"/>
        <w:ind w:left="419" w:right="0" w:hanging="425"/>
        <w:rPr>
          <w:rFonts w:cs="Arial"/>
        </w:rPr>
      </w:pPr>
      <w:r w:rsidRPr="00C86E6E">
        <w:rPr>
          <w:rFonts w:cs="Arial"/>
        </w:rPr>
        <w:t xml:space="preserve">The </w:t>
      </w:r>
      <w:r w:rsidRPr="00C86E6E">
        <w:rPr>
          <w:rFonts w:cs="Arial"/>
          <w:i/>
        </w:rPr>
        <w:t>CCC</w:t>
      </w:r>
      <w:r w:rsidRPr="00C86E6E">
        <w:rPr>
          <w:rFonts w:cs="Arial"/>
        </w:rPr>
        <w:t xml:space="preserve"> shall define the values of </w:t>
      </w:r>
      <w:r w:rsidR="00541407">
        <w:rPr>
          <w:rFonts w:cs="Arial"/>
        </w:rPr>
        <w:t>T</w:t>
      </w:r>
      <w:r w:rsidRPr="00C86E6E">
        <w:rPr>
          <w:rFonts w:cs="Arial"/>
        </w:rPr>
        <w:t xml:space="preserve">TC for each </w:t>
      </w:r>
      <w:r w:rsidR="00C925B0">
        <w:rPr>
          <w:rFonts w:cs="Arial"/>
        </w:rPr>
        <w:t>MTU</w:t>
      </w:r>
      <w:r w:rsidRPr="00C86E6E">
        <w:rPr>
          <w:rFonts w:cs="Arial"/>
        </w:rPr>
        <w:t xml:space="preserve"> for the north Greek borders</w:t>
      </w:r>
      <w:r w:rsidR="00541407">
        <w:rPr>
          <w:rFonts w:cs="Arial"/>
        </w:rPr>
        <w:t xml:space="preserve"> and</w:t>
      </w:r>
      <w:r w:rsidRPr="00C86E6E">
        <w:rPr>
          <w:rFonts w:cs="Arial"/>
        </w:rPr>
        <w:t xml:space="preserve"> </w:t>
      </w:r>
      <w:r w:rsidRPr="00753F64">
        <w:rPr>
          <w:rFonts w:cs="Arial"/>
        </w:rPr>
        <w:t xml:space="preserve">south Romanian borders. </w:t>
      </w:r>
    </w:p>
    <w:p w14:paraId="71DF30BE" w14:textId="61670258" w:rsidR="00541407" w:rsidRDefault="00541407" w:rsidP="00E11681">
      <w:pPr>
        <w:pStyle w:val="ListParagraph"/>
        <w:numPr>
          <w:ilvl w:val="0"/>
          <w:numId w:val="72"/>
        </w:numPr>
        <w:tabs>
          <w:tab w:val="left" w:pos="-4820"/>
          <w:tab w:val="left" w:pos="-4678"/>
        </w:tabs>
        <w:spacing w:after="200" w:line="276" w:lineRule="auto"/>
        <w:ind w:left="426" w:right="0"/>
        <w:rPr>
          <w:rFonts w:cs="Arial"/>
        </w:rPr>
      </w:pPr>
      <w:r>
        <w:rPr>
          <w:rFonts w:cs="Arial"/>
        </w:rPr>
        <w:t xml:space="preserve">The NTC values for the north Greek borders and south Romanian borders </w:t>
      </w:r>
      <w:r w:rsidR="00E11681">
        <w:rPr>
          <w:rFonts w:cs="Arial"/>
        </w:rPr>
        <w:t xml:space="preserve">are </w:t>
      </w:r>
      <w:r w:rsidR="00E11681" w:rsidRPr="00E11681">
        <w:rPr>
          <w:rFonts w:cs="Arial"/>
        </w:rPr>
        <w:t>determined with the following equation</w:t>
      </w:r>
      <w:r w:rsidR="002347B3">
        <w:rPr>
          <w:rFonts w:cs="Arial"/>
        </w:rPr>
        <w:t>s</w:t>
      </w:r>
      <w:r w:rsidR="00E11681" w:rsidRPr="00E11681">
        <w:rPr>
          <w:rFonts w:cs="Arial"/>
        </w:rPr>
        <w:t>:</w:t>
      </w:r>
    </w:p>
    <w:p w14:paraId="19AD2AF9" w14:textId="16294907" w:rsidR="00363582" w:rsidRPr="00363582" w:rsidRDefault="00000000" w:rsidP="00363582">
      <w:pPr>
        <w:pStyle w:val="ListParagraph"/>
        <w:widowControl/>
        <w:spacing w:line="276" w:lineRule="auto"/>
        <w:ind w:left="426" w:right="0" w:firstLine="0"/>
        <w:jc w:val="center"/>
        <w:rPr>
          <w:rFonts w:cs="Arial"/>
          <w:i/>
          <w:color w:val="000000" w:themeColor="text1"/>
          <w:szCs w:val="24"/>
        </w:rPr>
      </w:pPr>
      <m:oMathPara>
        <m:oMathParaPr>
          <m:jc m:val="center"/>
        </m:oMathParaPr>
        <m:oMath>
          <m:sSub>
            <m:sSubPr>
              <m:ctrlPr>
                <w:rPr>
                  <w:rFonts w:ascii="Cambria Math" w:eastAsia="Calibri" w:hAnsi="Cambria Math"/>
                  <w:i/>
                  <w:color w:val="000000" w:themeColor="text1"/>
                  <w:szCs w:val="24"/>
                </w:rPr>
              </m:ctrlPr>
            </m:sSubPr>
            <m:e>
              <m:r>
                <w:rPr>
                  <w:rFonts w:ascii="Cambria Math" w:eastAsia="Calibri" w:hAnsi="Cambria Math"/>
                  <w:color w:val="000000" w:themeColor="text1"/>
                  <w:szCs w:val="24"/>
                </w:rPr>
                <m:t>NTC</m:t>
              </m:r>
            </m:e>
            <m:sub>
              <m:r>
                <w:rPr>
                  <w:rFonts w:ascii="Cambria Math" w:hAnsi="Cambria Math" w:cs="Arial"/>
                </w:rPr>
                <m:t>north Greek borders</m:t>
              </m:r>
            </m:sub>
          </m:sSub>
          <m:r>
            <w:rPr>
              <w:rFonts w:ascii="Cambria Math" w:eastAsia="Calibri" w:hAnsi="Cambria Math"/>
              <w:color w:val="000000" w:themeColor="text1"/>
              <w:szCs w:val="24"/>
            </w:rPr>
            <m:t>=</m:t>
          </m:r>
          <m:sSub>
            <m:sSubPr>
              <m:ctrlPr>
                <w:rPr>
                  <w:rFonts w:ascii="Cambria Math" w:eastAsia="Calibri" w:hAnsi="Cambria Math"/>
                  <w:i/>
                  <w:color w:val="000000" w:themeColor="text1"/>
                  <w:szCs w:val="24"/>
                </w:rPr>
              </m:ctrlPr>
            </m:sSubPr>
            <m:e>
              <m:r>
                <w:rPr>
                  <w:rFonts w:ascii="Cambria Math" w:eastAsia="Calibri" w:hAnsi="Cambria Math"/>
                  <w:color w:val="000000" w:themeColor="text1"/>
                  <w:szCs w:val="24"/>
                </w:rPr>
                <m:t>TTC</m:t>
              </m:r>
            </m:e>
            <m:sub>
              <m:r>
                <w:rPr>
                  <w:rFonts w:ascii="Cambria Math" w:hAnsi="Cambria Math" w:cs="Arial"/>
                </w:rPr>
                <m:t>north Greek borders</m:t>
              </m:r>
              <m:r>
                <w:rPr>
                  <w:rFonts w:ascii="Cambria Math" w:cs="Arial"/>
                </w:rPr>
                <m:t xml:space="preserve"> </m:t>
              </m:r>
            </m:sub>
          </m:sSub>
          <m:r>
            <w:rPr>
              <w:rFonts w:ascii="Cambria Math" w:eastAsia="Calibri" w:hAnsi="Cambria Math"/>
              <w:color w:val="000000" w:themeColor="text1"/>
              <w:szCs w:val="24"/>
            </w:rPr>
            <m:t>-</m:t>
          </m:r>
          <m:sSub>
            <m:sSubPr>
              <m:ctrlPr>
                <w:rPr>
                  <w:rFonts w:ascii="Cambria Math" w:eastAsia="Calibri" w:hAnsi="Cambria Math"/>
                  <w:i/>
                  <w:color w:val="000000" w:themeColor="text1"/>
                  <w:szCs w:val="24"/>
                </w:rPr>
              </m:ctrlPr>
            </m:sSubPr>
            <m:e>
              <m:r>
                <w:rPr>
                  <w:rFonts w:ascii="Cambria Math" w:eastAsia="Calibri" w:hAnsi="Cambria Math"/>
                  <w:color w:val="000000" w:themeColor="text1"/>
                  <w:szCs w:val="24"/>
                </w:rPr>
                <m:t>RM</m:t>
              </m:r>
            </m:e>
            <m:sub>
              <m:r>
                <w:rPr>
                  <w:rFonts w:ascii="Cambria Math" w:hAnsi="Cambria Math" w:cs="Arial"/>
                </w:rPr>
                <m:t>north Greek borders</m:t>
              </m:r>
              <m:r>
                <w:rPr>
                  <w:rFonts w:ascii="Cambria Math" w:eastAsia="Calibri" w:hAnsi="Cambria Math"/>
                  <w:color w:val="000000" w:themeColor="text1"/>
                  <w:szCs w:val="24"/>
                </w:rPr>
                <m:t xml:space="preserve"> </m:t>
              </m:r>
            </m:sub>
          </m:sSub>
        </m:oMath>
      </m:oMathPara>
    </w:p>
    <w:p w14:paraId="105AB2FF" w14:textId="2276A4AA" w:rsidR="00363582" w:rsidRPr="00363582" w:rsidRDefault="00000000" w:rsidP="00363582">
      <w:pPr>
        <w:pStyle w:val="ListParagraph"/>
        <w:widowControl/>
        <w:spacing w:after="200" w:line="276" w:lineRule="auto"/>
        <w:ind w:left="425" w:right="0" w:firstLine="0"/>
        <w:jc w:val="center"/>
        <w:rPr>
          <w:rFonts w:cs="Arial"/>
          <w:i/>
          <w:color w:val="000000" w:themeColor="text1"/>
          <w:szCs w:val="24"/>
        </w:rPr>
      </w:pPr>
      <m:oMathPara>
        <m:oMathParaPr>
          <m:jc m:val="center"/>
        </m:oMathParaPr>
        <m:oMath>
          <m:sSub>
            <m:sSubPr>
              <m:ctrlPr>
                <w:rPr>
                  <w:rFonts w:ascii="Cambria Math" w:eastAsia="Calibri" w:hAnsi="Cambria Math"/>
                  <w:i/>
                  <w:color w:val="000000" w:themeColor="text1"/>
                  <w:szCs w:val="24"/>
                </w:rPr>
              </m:ctrlPr>
            </m:sSubPr>
            <m:e>
              <m:r>
                <w:rPr>
                  <w:rFonts w:ascii="Cambria Math" w:eastAsia="Calibri" w:hAnsi="Cambria Math"/>
                  <w:color w:val="000000" w:themeColor="text1"/>
                  <w:szCs w:val="24"/>
                </w:rPr>
                <m:t>NTC</m:t>
              </m:r>
            </m:e>
            <m:sub>
              <m:r>
                <w:rPr>
                  <w:rFonts w:ascii="Cambria Math" w:hAnsi="Cambria Math" w:cs="Arial"/>
                </w:rPr>
                <m:t>south Romanian borders</m:t>
              </m:r>
            </m:sub>
          </m:sSub>
          <m:r>
            <w:rPr>
              <w:rFonts w:ascii="Cambria Math" w:eastAsia="Calibri" w:hAnsi="Cambria Math"/>
              <w:color w:val="000000" w:themeColor="text1"/>
              <w:szCs w:val="24"/>
            </w:rPr>
            <m:t>=</m:t>
          </m:r>
          <m:sSub>
            <m:sSubPr>
              <m:ctrlPr>
                <w:rPr>
                  <w:rFonts w:ascii="Cambria Math" w:eastAsia="Calibri" w:hAnsi="Cambria Math"/>
                  <w:i/>
                  <w:color w:val="000000" w:themeColor="text1"/>
                  <w:szCs w:val="24"/>
                </w:rPr>
              </m:ctrlPr>
            </m:sSubPr>
            <m:e>
              <m:r>
                <w:rPr>
                  <w:rFonts w:ascii="Cambria Math" w:eastAsia="Calibri" w:hAnsi="Cambria Math"/>
                  <w:color w:val="000000" w:themeColor="text1"/>
                  <w:szCs w:val="24"/>
                </w:rPr>
                <m:t>TTC</m:t>
              </m:r>
            </m:e>
            <m:sub>
              <m:r>
                <w:rPr>
                  <w:rFonts w:ascii="Cambria Math" w:hAnsi="Cambria Math" w:cs="Arial"/>
                </w:rPr>
                <m:t>south Romanian borders</m:t>
              </m:r>
              <m:r>
                <w:rPr>
                  <w:rFonts w:ascii="Cambria Math" w:cs="Arial"/>
                </w:rPr>
                <m:t xml:space="preserve"> </m:t>
              </m:r>
            </m:sub>
          </m:sSub>
          <m:r>
            <w:rPr>
              <w:rFonts w:ascii="Cambria Math" w:eastAsia="Calibri" w:hAnsi="Cambria Math"/>
              <w:color w:val="000000" w:themeColor="text1"/>
              <w:szCs w:val="24"/>
            </w:rPr>
            <m:t>-</m:t>
          </m:r>
          <m:sSub>
            <m:sSubPr>
              <m:ctrlPr>
                <w:rPr>
                  <w:rFonts w:ascii="Cambria Math" w:eastAsia="Calibri" w:hAnsi="Cambria Math"/>
                  <w:i/>
                  <w:color w:val="000000" w:themeColor="text1"/>
                  <w:szCs w:val="24"/>
                </w:rPr>
              </m:ctrlPr>
            </m:sSubPr>
            <m:e>
              <m:r>
                <w:rPr>
                  <w:rFonts w:ascii="Cambria Math" w:eastAsia="Calibri" w:hAnsi="Cambria Math"/>
                  <w:color w:val="000000" w:themeColor="text1"/>
                  <w:szCs w:val="24"/>
                </w:rPr>
                <m:t>RM</m:t>
              </m:r>
            </m:e>
            <m:sub>
              <m:r>
                <w:rPr>
                  <w:rFonts w:ascii="Cambria Math" w:hAnsi="Cambria Math" w:cs="Arial"/>
                </w:rPr>
                <m:t>south Romanian borders</m:t>
              </m:r>
              <m:r>
                <w:rPr>
                  <w:rFonts w:ascii="Cambria Math" w:eastAsia="Calibri" w:hAnsi="Cambria Math"/>
                  <w:color w:val="000000" w:themeColor="text1"/>
                  <w:szCs w:val="24"/>
                </w:rPr>
                <m:t xml:space="preserve"> </m:t>
              </m:r>
            </m:sub>
          </m:sSub>
        </m:oMath>
      </m:oMathPara>
    </w:p>
    <w:p w14:paraId="6D25E098" w14:textId="2E92DC4E" w:rsidR="00256875" w:rsidRPr="00256875" w:rsidRDefault="00256875" w:rsidP="00C056D6">
      <w:pPr>
        <w:pStyle w:val="ListParagraph"/>
        <w:widowControl/>
        <w:numPr>
          <w:ilvl w:val="0"/>
          <w:numId w:val="72"/>
        </w:numPr>
        <w:spacing w:after="200" w:line="276" w:lineRule="auto"/>
        <w:ind w:left="425" w:right="0" w:hanging="425"/>
        <w:rPr>
          <w:rFonts w:cs="Arial"/>
        </w:rPr>
      </w:pPr>
      <w:r w:rsidRPr="00256875">
        <w:rPr>
          <w:rFonts w:cs="Arial"/>
        </w:rPr>
        <w:t xml:space="preserve">The splitting factor </w:t>
      </w:r>
      <w:r>
        <w:rPr>
          <w:rFonts w:cs="Arial"/>
        </w:rPr>
        <w:t xml:space="preserve">used for day-ahead and intraday capacity calculation in the </w:t>
      </w:r>
      <w:r w:rsidRPr="00256875">
        <w:rPr>
          <w:rFonts w:cs="Arial"/>
        </w:rPr>
        <w:t xml:space="preserve">year </w:t>
      </w:r>
      <w:r w:rsidRPr="00C056D6">
        <w:rPr>
          <w:rFonts w:cs="Arial"/>
          <w:i/>
        </w:rPr>
        <w:t>Y</w:t>
      </w:r>
      <w:r w:rsidR="00C056D6">
        <w:rPr>
          <w:rFonts w:cs="Arial"/>
        </w:rPr>
        <w:t xml:space="preserve"> </w:t>
      </w:r>
      <w:r w:rsidRPr="00256875">
        <w:rPr>
          <w:rFonts w:cs="Arial"/>
        </w:rPr>
        <w:t>will be based on the NTC</w:t>
      </w:r>
      <w:r>
        <w:rPr>
          <w:rFonts w:cs="Arial"/>
        </w:rPr>
        <w:t xml:space="preserve"> values </w:t>
      </w:r>
      <w:r w:rsidRPr="00256875">
        <w:rPr>
          <w:rFonts w:cs="Arial"/>
        </w:rPr>
        <w:t>f</w:t>
      </w:r>
      <w:r>
        <w:rPr>
          <w:rFonts w:cs="Arial"/>
        </w:rPr>
        <w:t>rom</w:t>
      </w:r>
      <w:r w:rsidRPr="00256875">
        <w:rPr>
          <w:rFonts w:cs="Arial"/>
        </w:rPr>
        <w:t xml:space="preserve"> the </w:t>
      </w:r>
      <w:r w:rsidR="00C056D6">
        <w:rPr>
          <w:rFonts w:cs="Arial"/>
        </w:rPr>
        <w:t xml:space="preserve">last two </w:t>
      </w:r>
      <w:r w:rsidR="006F5394">
        <w:rPr>
          <w:rFonts w:cs="Arial"/>
        </w:rPr>
        <w:t xml:space="preserve">calendar </w:t>
      </w:r>
      <w:r w:rsidRPr="00256875">
        <w:rPr>
          <w:rFonts w:cs="Arial"/>
        </w:rPr>
        <w:t>year</w:t>
      </w:r>
      <w:r w:rsidR="00C056D6">
        <w:rPr>
          <w:rFonts w:cs="Arial"/>
        </w:rPr>
        <w:t>s</w:t>
      </w:r>
      <w:r w:rsidR="006F5394">
        <w:rPr>
          <w:rFonts w:cs="Arial"/>
        </w:rPr>
        <w:t xml:space="preserve"> before the implementation of the methodology</w:t>
      </w:r>
      <w:r w:rsidRPr="00256875">
        <w:rPr>
          <w:rFonts w:cs="Arial"/>
        </w:rPr>
        <w:t xml:space="preserve">. </w:t>
      </w:r>
      <w:r>
        <w:rPr>
          <w:rFonts w:cs="Arial"/>
        </w:rPr>
        <w:t>This approach is b</w:t>
      </w:r>
      <w:r w:rsidRPr="00256875">
        <w:rPr>
          <w:rFonts w:cs="Arial"/>
        </w:rPr>
        <w:t xml:space="preserve">ased on </w:t>
      </w:r>
      <w:r>
        <w:rPr>
          <w:rFonts w:cs="Arial"/>
        </w:rPr>
        <w:t xml:space="preserve">the </w:t>
      </w:r>
      <w:r w:rsidRPr="00256875">
        <w:rPr>
          <w:rFonts w:cs="Arial"/>
        </w:rPr>
        <w:t>Article 3</w:t>
      </w:r>
      <w:r>
        <w:rPr>
          <w:rFonts w:cs="Arial"/>
        </w:rPr>
        <w:t>(h)</w:t>
      </w:r>
      <w:r w:rsidRPr="00256875">
        <w:rPr>
          <w:rFonts w:cs="Arial"/>
        </w:rPr>
        <w:t xml:space="preserve"> of </w:t>
      </w:r>
      <w:r>
        <w:rPr>
          <w:rFonts w:cs="Arial"/>
        </w:rPr>
        <w:t xml:space="preserve">the </w:t>
      </w:r>
      <w:r w:rsidRPr="00256875">
        <w:rPr>
          <w:rFonts w:cs="Arial"/>
        </w:rPr>
        <w:t>CACM</w:t>
      </w:r>
      <w:r>
        <w:rPr>
          <w:rFonts w:cs="Arial"/>
        </w:rPr>
        <w:t xml:space="preserve"> Regulation</w:t>
      </w:r>
      <w:r w:rsidRPr="00256875">
        <w:rPr>
          <w:rFonts w:cs="Arial"/>
        </w:rPr>
        <w:t xml:space="preserve"> that contributes to the objective of respecting the need for a fair and orderly market and price formation and ensures a fair distribution of costs and benefits between the involved TSOs. </w:t>
      </w:r>
      <w:r w:rsidR="0052672E" w:rsidRPr="00256875">
        <w:rPr>
          <w:rFonts w:cs="Arial"/>
        </w:rPr>
        <w:t>Moreover,</w:t>
      </w:r>
      <w:r w:rsidRPr="00256875">
        <w:rPr>
          <w:rFonts w:cs="Arial"/>
        </w:rPr>
        <w:t xml:space="preserve"> </w:t>
      </w:r>
      <w:r w:rsidR="00C514D8">
        <w:rPr>
          <w:rFonts w:cs="Arial"/>
        </w:rPr>
        <w:t>the approach</w:t>
      </w:r>
      <w:r w:rsidR="00C514D8" w:rsidRPr="00256875">
        <w:rPr>
          <w:rFonts w:cs="Arial"/>
        </w:rPr>
        <w:t xml:space="preserve"> </w:t>
      </w:r>
      <w:r w:rsidRPr="00256875">
        <w:rPr>
          <w:rFonts w:cs="Arial"/>
        </w:rPr>
        <w:t xml:space="preserve">is in line with the distribution of the congestion income (as defined </w:t>
      </w:r>
      <w:r w:rsidR="00C514D8">
        <w:rPr>
          <w:rFonts w:cs="Arial"/>
        </w:rPr>
        <w:t>in the Article</w:t>
      </w:r>
      <w:r w:rsidRPr="00256875">
        <w:rPr>
          <w:rFonts w:cs="Arial"/>
        </w:rPr>
        <w:t xml:space="preserve"> 73 of CACM Regulation and </w:t>
      </w:r>
      <w:r w:rsidR="00C514D8">
        <w:rPr>
          <w:rFonts w:cs="Arial"/>
        </w:rPr>
        <w:t>Article</w:t>
      </w:r>
      <w:r w:rsidRPr="00256875">
        <w:rPr>
          <w:rFonts w:cs="Arial"/>
        </w:rPr>
        <w:t xml:space="preserve"> 57 of FCA Regulation) collected by the TSOs, and thus do not alter the signals for investments to TSOs given by the </w:t>
      </w:r>
      <w:r w:rsidR="009706A3">
        <w:rPr>
          <w:rFonts w:cs="Arial"/>
        </w:rPr>
        <w:t>c</w:t>
      </w:r>
      <w:r w:rsidR="009706A3" w:rsidRPr="00256875">
        <w:rPr>
          <w:rFonts w:cs="Arial"/>
        </w:rPr>
        <w:t xml:space="preserve">ongestion </w:t>
      </w:r>
      <w:r w:rsidRPr="00256875">
        <w:rPr>
          <w:rFonts w:cs="Arial"/>
        </w:rPr>
        <w:t>income. The splitting factors used at the NTC computation will comply with the security operation</w:t>
      </w:r>
      <w:r w:rsidR="009706A3">
        <w:rPr>
          <w:rFonts w:cs="Arial"/>
        </w:rPr>
        <w:t xml:space="preserve"> in accordance with Article 3(c) of the CACM Regulation,</w:t>
      </w:r>
      <w:r w:rsidRPr="00256875">
        <w:rPr>
          <w:rFonts w:cs="Arial"/>
        </w:rPr>
        <w:t xml:space="preserve"> will not alter the signals for investments to TSOs given by the congestion income and allow reasonable financial planning</w:t>
      </w:r>
      <w:r w:rsidR="009706A3">
        <w:rPr>
          <w:rFonts w:cs="Arial"/>
        </w:rPr>
        <w:t xml:space="preserve"> according with Article 73 of the CACM Regulation</w:t>
      </w:r>
      <w:r w:rsidRPr="00256875">
        <w:rPr>
          <w:rFonts w:cs="Arial"/>
        </w:rPr>
        <w:t>.</w:t>
      </w:r>
      <w:r w:rsidR="006F5394">
        <w:rPr>
          <w:rFonts w:cs="Arial"/>
        </w:rPr>
        <w:t xml:space="preserve"> TSOs can </w:t>
      </w:r>
      <w:r w:rsidR="00ED5D8D">
        <w:rPr>
          <w:rFonts w:cs="Arial"/>
        </w:rPr>
        <w:t>amend</w:t>
      </w:r>
      <w:r w:rsidR="006F5394">
        <w:rPr>
          <w:rFonts w:cs="Arial"/>
        </w:rPr>
        <w:t xml:space="preserve"> the splitting factors with values other than described above with justification to NRAs</w:t>
      </w:r>
      <w:r w:rsidR="0052672E">
        <w:rPr>
          <w:rFonts w:cs="Arial"/>
        </w:rPr>
        <w:t xml:space="preserve"> </w:t>
      </w:r>
      <w:r w:rsidR="008B04F4">
        <w:rPr>
          <w:rFonts w:cs="Arial"/>
        </w:rPr>
        <w:t xml:space="preserve">(for example when new tie lines will be in operation, when market and system conditions justify changes after agreement of all concerned TSOs). </w:t>
      </w:r>
    </w:p>
    <w:p w14:paraId="01301B08" w14:textId="77777777" w:rsidR="00B33B17" w:rsidRPr="00B33B17" w:rsidRDefault="00B33B17" w:rsidP="00B06D08">
      <w:pPr>
        <w:pStyle w:val="ListParagraph"/>
        <w:widowControl/>
        <w:numPr>
          <w:ilvl w:val="0"/>
          <w:numId w:val="72"/>
        </w:numPr>
        <w:tabs>
          <w:tab w:val="left" w:pos="-4820"/>
        </w:tabs>
        <w:spacing w:line="276" w:lineRule="auto"/>
        <w:ind w:left="426" w:right="0"/>
        <w:rPr>
          <w:rFonts w:cs="Arial"/>
        </w:rPr>
      </w:pPr>
      <w:r w:rsidRPr="00B33B17">
        <w:rPr>
          <w:rFonts w:cs="Arial"/>
        </w:rPr>
        <w:t>The splitting factor for BG-GR direction is determined with the following equation:</w:t>
      </w:r>
    </w:p>
    <w:p w14:paraId="533F444C" w14:textId="6A9A24DC" w:rsidR="00B33B17" w:rsidRDefault="00000000" w:rsidP="00972BD0">
      <w:pPr>
        <w:pStyle w:val="ListParagraph"/>
        <w:widowControl/>
        <w:spacing w:line="276" w:lineRule="auto"/>
        <w:ind w:left="425" w:right="0" w:firstLine="0"/>
        <w:jc w:val="center"/>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SF</m:t>
              </m:r>
            </m:e>
            <m:sub>
              <m:r>
                <w:rPr>
                  <w:rFonts w:ascii="Cambria Math" w:eastAsia="Calibri" w:hAnsi="Cambria Math"/>
                  <w:color w:val="000000" w:themeColor="text1"/>
                  <w:szCs w:val="24"/>
                </w:rPr>
                <m:t>BG-GR</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BG-GR</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 xml:space="preserve">north GR systems-GR </m:t>
              </m:r>
            </m:sub>
          </m:sSub>
        </m:oMath>
      </m:oMathPara>
    </w:p>
    <w:p w14:paraId="41B565CE" w14:textId="77777777" w:rsidR="00B33B17" w:rsidRDefault="00B33B17" w:rsidP="00B33B17">
      <w:pPr>
        <w:pStyle w:val="ListParagraph"/>
        <w:widowControl/>
        <w:spacing w:line="276" w:lineRule="auto"/>
        <w:ind w:left="425" w:right="0" w:firstLine="0"/>
        <w:rPr>
          <w:rFonts w:cs="Arial"/>
          <w:color w:val="000000" w:themeColor="text1"/>
          <w:szCs w:val="24"/>
        </w:rPr>
      </w:pPr>
      <w:r>
        <w:rPr>
          <w:rFonts w:cs="Arial"/>
          <w:color w:val="000000" w:themeColor="text1"/>
          <w:szCs w:val="24"/>
        </w:rPr>
        <w:t>where:</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7028"/>
      </w:tblGrid>
      <w:tr w:rsidR="00B33B17" w:rsidRPr="000A604D" w14:paraId="3468FD3A" w14:textId="77777777" w:rsidTr="009706A3">
        <w:tc>
          <w:tcPr>
            <w:tcW w:w="2180" w:type="dxa"/>
          </w:tcPr>
          <w:p w14:paraId="7652211F" w14:textId="3684F173" w:rsidR="00B33B17" w:rsidRPr="006B5715" w:rsidRDefault="00000000" w:rsidP="009706A3">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SF</m:t>
                    </m:r>
                  </m:e>
                  <m:sub>
                    <m:r>
                      <w:rPr>
                        <w:rFonts w:ascii="Cambria Math" w:eastAsia="Calibri" w:hAnsi="Cambria Math"/>
                        <w:color w:val="000000" w:themeColor="text1"/>
                        <w:szCs w:val="24"/>
                      </w:rPr>
                      <m:t>BG-GR</m:t>
                    </m:r>
                  </m:sub>
                </m:sSub>
              </m:oMath>
            </m:oMathPara>
          </w:p>
        </w:tc>
        <w:tc>
          <w:tcPr>
            <w:tcW w:w="7028" w:type="dxa"/>
          </w:tcPr>
          <w:p w14:paraId="47CD920E" w14:textId="399A2DD1" w:rsidR="00B33B17" w:rsidRPr="000A604D" w:rsidRDefault="008942D7" w:rsidP="00972BD0">
            <w:pPr>
              <w:spacing w:line="276" w:lineRule="auto"/>
              <w:jc w:val="both"/>
              <w:rPr>
                <w:rFonts w:cs="Arial"/>
              </w:rPr>
            </w:pPr>
            <w:r>
              <w:t>splitting factor as</w:t>
            </w:r>
            <w:r w:rsidR="00B33B17">
              <w:t xml:space="preserve"> percentage to be applied for</w:t>
            </w:r>
            <w:r w:rsidR="00972BD0">
              <w:t xml:space="preserve"> BG-GR direction for</w:t>
            </w:r>
            <w:r>
              <w:t xml:space="preserve"> day-ahead and intraday capacity calculation in</w:t>
            </w:r>
            <w:r w:rsidR="00B33B17">
              <w:t xml:space="preserve"> the year Y</w:t>
            </w:r>
          </w:p>
        </w:tc>
      </w:tr>
      <w:tr w:rsidR="00B33B17" w:rsidRPr="000A604D" w14:paraId="025B950B" w14:textId="77777777" w:rsidTr="009706A3">
        <w:tc>
          <w:tcPr>
            <w:tcW w:w="2180" w:type="dxa"/>
          </w:tcPr>
          <w:p w14:paraId="3AC76141" w14:textId="4F265581" w:rsidR="00B33B17" w:rsidRPr="006B5715" w:rsidRDefault="00000000" w:rsidP="009706A3">
            <w:pPr>
              <w:spacing w:line="276" w:lineRule="auto"/>
              <w:rPr>
                <w:rFonts w:cs="Arial"/>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BG-GR</m:t>
                    </m:r>
                  </m:sub>
                </m:sSub>
              </m:oMath>
            </m:oMathPara>
          </w:p>
        </w:tc>
        <w:tc>
          <w:tcPr>
            <w:tcW w:w="7028" w:type="dxa"/>
          </w:tcPr>
          <w:p w14:paraId="0DEAC386" w14:textId="2BFFE70E" w:rsidR="00B33B17" w:rsidRPr="000A604D" w:rsidRDefault="00B33B17" w:rsidP="0070020A">
            <w:pPr>
              <w:spacing w:line="276" w:lineRule="auto"/>
              <w:jc w:val="both"/>
              <w:rPr>
                <w:rFonts w:cs="Arial"/>
              </w:rPr>
            </w:pPr>
            <w:r>
              <w:t xml:space="preserve">Average value of the NTC for the direction BG-GR in the </w:t>
            </w:r>
            <w:r w:rsidR="00C056D6">
              <w:t xml:space="preserve">last two </w:t>
            </w:r>
            <w:r>
              <w:t>year</w:t>
            </w:r>
            <w:r w:rsidR="00C056D6">
              <w:t>s</w:t>
            </w:r>
            <w:r w:rsidR="006F5394" w:rsidRPr="006F5394">
              <w:rPr>
                <w:rFonts w:cs="Arial"/>
                <w:sz w:val="22"/>
                <w:szCs w:val="22"/>
              </w:rPr>
              <w:t xml:space="preserve"> </w:t>
            </w:r>
            <w:r w:rsidR="006F5394" w:rsidRPr="006F5394">
              <w:t>before the implementation of the methodology</w:t>
            </w:r>
          </w:p>
        </w:tc>
      </w:tr>
      <w:tr w:rsidR="00B33B17" w:rsidRPr="000A604D" w14:paraId="47086303" w14:textId="77777777" w:rsidTr="009706A3">
        <w:tc>
          <w:tcPr>
            <w:tcW w:w="2180" w:type="dxa"/>
          </w:tcPr>
          <w:p w14:paraId="0E7184AA" w14:textId="313230D3" w:rsidR="00B33B17" w:rsidRPr="000A604D" w:rsidRDefault="00000000" w:rsidP="009706A3">
            <w:pPr>
              <w:spacing w:line="276" w:lineRule="auto"/>
              <w:rPr>
                <w:rFonts w:cs="Arial"/>
                <w:b/>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 xml:space="preserve">north GR systems-GR </m:t>
                    </m:r>
                  </m:sub>
                </m:sSub>
              </m:oMath>
            </m:oMathPara>
          </w:p>
        </w:tc>
        <w:tc>
          <w:tcPr>
            <w:tcW w:w="7028" w:type="dxa"/>
          </w:tcPr>
          <w:p w14:paraId="33FB340B" w14:textId="65B40951" w:rsidR="00B33B17" w:rsidRPr="000A604D" w:rsidRDefault="00B33B17" w:rsidP="00C056D6">
            <w:pPr>
              <w:spacing w:after="200" w:line="276" w:lineRule="auto"/>
              <w:jc w:val="both"/>
              <w:rPr>
                <w:rFonts w:cs="Arial"/>
              </w:rPr>
            </w:pPr>
            <w:r>
              <w:t xml:space="preserve">Average value of the total NTC for the direction </w:t>
            </w:r>
            <w:r w:rsidR="00972BD0">
              <w:t>north GR systems -</w:t>
            </w:r>
            <w:r>
              <w:t xml:space="preserve">GR in the </w:t>
            </w:r>
            <w:r w:rsidR="00C056D6">
              <w:t xml:space="preserve">last two </w:t>
            </w:r>
            <w:r>
              <w:t>year</w:t>
            </w:r>
            <w:r w:rsidR="00C056D6">
              <w:t>s</w:t>
            </w:r>
            <w:r w:rsidR="006F5394" w:rsidRPr="006F5394">
              <w:rPr>
                <w:rFonts w:cs="Arial"/>
                <w:sz w:val="22"/>
                <w:szCs w:val="22"/>
              </w:rPr>
              <w:t xml:space="preserve"> </w:t>
            </w:r>
            <w:r w:rsidR="006F5394" w:rsidRPr="006F5394">
              <w:t>before the implementation of the methodology</w:t>
            </w:r>
          </w:p>
        </w:tc>
      </w:tr>
    </w:tbl>
    <w:p w14:paraId="63780E42" w14:textId="5319D4DD" w:rsidR="00972BD0" w:rsidRPr="00B33B17" w:rsidRDefault="00972BD0" w:rsidP="00C056D6">
      <w:pPr>
        <w:pStyle w:val="ListParagraph"/>
        <w:widowControl/>
        <w:numPr>
          <w:ilvl w:val="0"/>
          <w:numId w:val="72"/>
        </w:numPr>
        <w:tabs>
          <w:tab w:val="left" w:pos="-4820"/>
        </w:tabs>
        <w:spacing w:line="276" w:lineRule="auto"/>
        <w:ind w:left="425" w:right="0" w:hanging="425"/>
        <w:rPr>
          <w:rFonts w:cs="Arial"/>
        </w:rPr>
      </w:pPr>
      <w:r w:rsidRPr="00B33B17">
        <w:rPr>
          <w:rFonts w:cs="Arial"/>
        </w:rPr>
        <w:lastRenderedPageBreak/>
        <w:t>The splitting factor for GR</w:t>
      </w:r>
      <w:r>
        <w:rPr>
          <w:rFonts w:cs="Arial"/>
        </w:rPr>
        <w:t>-BG</w:t>
      </w:r>
      <w:r w:rsidRPr="00B33B17">
        <w:rPr>
          <w:rFonts w:cs="Arial"/>
        </w:rPr>
        <w:t xml:space="preserve"> direction is determined with the following equation:</w:t>
      </w:r>
    </w:p>
    <w:p w14:paraId="0FC7F816" w14:textId="46D6597E" w:rsidR="00972BD0" w:rsidRDefault="00000000" w:rsidP="00972BD0">
      <w:pPr>
        <w:pStyle w:val="ListParagraph"/>
        <w:widowControl/>
        <w:spacing w:line="276" w:lineRule="auto"/>
        <w:ind w:left="425" w:right="0" w:firstLine="0"/>
        <w:jc w:val="center"/>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SF</m:t>
              </m:r>
            </m:e>
            <m:sub>
              <m:r>
                <w:rPr>
                  <w:rFonts w:ascii="Cambria Math" w:eastAsia="Calibri" w:hAnsi="Cambria Math"/>
                  <w:color w:val="000000" w:themeColor="text1"/>
                  <w:szCs w:val="24"/>
                </w:rPr>
                <m:t>GR-BG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GR-BG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 xml:space="preserve">GR-north GR systems </m:t>
              </m:r>
            </m:sub>
          </m:sSub>
        </m:oMath>
      </m:oMathPara>
    </w:p>
    <w:p w14:paraId="05850C02" w14:textId="77777777" w:rsidR="00972BD0" w:rsidRDefault="00972BD0" w:rsidP="00972BD0">
      <w:pPr>
        <w:pStyle w:val="ListParagraph"/>
        <w:widowControl/>
        <w:spacing w:line="276" w:lineRule="auto"/>
        <w:ind w:left="425" w:right="0" w:firstLine="0"/>
        <w:rPr>
          <w:rFonts w:cs="Arial"/>
          <w:color w:val="000000" w:themeColor="text1"/>
          <w:szCs w:val="24"/>
        </w:rPr>
      </w:pPr>
      <w:r>
        <w:rPr>
          <w:rFonts w:cs="Arial"/>
          <w:color w:val="000000" w:themeColor="text1"/>
          <w:szCs w:val="24"/>
        </w:rPr>
        <w:t>where:</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7028"/>
      </w:tblGrid>
      <w:tr w:rsidR="00972BD0" w:rsidRPr="000A604D" w14:paraId="6B6881EB" w14:textId="77777777" w:rsidTr="009706A3">
        <w:tc>
          <w:tcPr>
            <w:tcW w:w="2180" w:type="dxa"/>
          </w:tcPr>
          <w:p w14:paraId="5C2A5C0D" w14:textId="28341449" w:rsidR="00972BD0" w:rsidRPr="006B5715" w:rsidRDefault="00000000" w:rsidP="00972BD0">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SF</m:t>
                    </m:r>
                  </m:e>
                  <m:sub>
                    <m:r>
                      <w:rPr>
                        <w:rFonts w:ascii="Cambria Math" w:eastAsia="Calibri" w:hAnsi="Cambria Math"/>
                        <w:color w:val="000000" w:themeColor="text1"/>
                        <w:szCs w:val="24"/>
                      </w:rPr>
                      <m:t>GR-BG</m:t>
                    </m:r>
                  </m:sub>
                </m:sSub>
              </m:oMath>
            </m:oMathPara>
          </w:p>
        </w:tc>
        <w:tc>
          <w:tcPr>
            <w:tcW w:w="7028" w:type="dxa"/>
          </w:tcPr>
          <w:p w14:paraId="601A48D2" w14:textId="2CA4B0B2" w:rsidR="00972BD0" w:rsidRPr="000A604D" w:rsidRDefault="00972BD0" w:rsidP="00972BD0">
            <w:pPr>
              <w:spacing w:line="276" w:lineRule="auto"/>
              <w:jc w:val="both"/>
              <w:rPr>
                <w:rFonts w:cs="Arial"/>
              </w:rPr>
            </w:pPr>
            <w:r>
              <w:t>splitting factor as percentage to be applied for GR-BG direction for day-ahead and intraday capacity calculation in the year Y</w:t>
            </w:r>
          </w:p>
        </w:tc>
      </w:tr>
      <w:tr w:rsidR="00972BD0" w:rsidRPr="000A604D" w14:paraId="1ADABB14" w14:textId="77777777" w:rsidTr="009706A3">
        <w:tc>
          <w:tcPr>
            <w:tcW w:w="2180" w:type="dxa"/>
          </w:tcPr>
          <w:p w14:paraId="234D0836" w14:textId="0D722377" w:rsidR="00972BD0" w:rsidRPr="006B5715" w:rsidRDefault="00000000" w:rsidP="00972BD0">
            <w:pPr>
              <w:spacing w:line="276" w:lineRule="auto"/>
              <w:rPr>
                <w:rFonts w:cs="Arial"/>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GR-BG</m:t>
                    </m:r>
                  </m:sub>
                </m:sSub>
              </m:oMath>
            </m:oMathPara>
          </w:p>
        </w:tc>
        <w:tc>
          <w:tcPr>
            <w:tcW w:w="7028" w:type="dxa"/>
          </w:tcPr>
          <w:p w14:paraId="5D40D290" w14:textId="70FB025E" w:rsidR="00972BD0" w:rsidRPr="000A604D" w:rsidRDefault="00596AE1" w:rsidP="0070020A">
            <w:pPr>
              <w:spacing w:line="276" w:lineRule="auto"/>
              <w:jc w:val="both"/>
              <w:rPr>
                <w:rFonts w:cs="Arial"/>
              </w:rPr>
            </w:pPr>
            <w:r>
              <w:t xml:space="preserve">Average </w:t>
            </w:r>
            <w:r w:rsidR="00972BD0">
              <w:t xml:space="preserve">value of the NTC for the direction GR-BG in the </w:t>
            </w:r>
            <w:r w:rsidR="0043655D">
              <w:t xml:space="preserve">last two </w:t>
            </w:r>
            <w:r w:rsidR="00972BD0">
              <w:t>year</w:t>
            </w:r>
            <w:r w:rsidR="0043655D">
              <w:t>s</w:t>
            </w:r>
            <w:r w:rsidR="006F5394" w:rsidRPr="006F5394">
              <w:rPr>
                <w:sz w:val="22"/>
                <w:szCs w:val="22"/>
              </w:rPr>
              <w:t xml:space="preserve"> </w:t>
            </w:r>
            <w:r w:rsidR="006F5394" w:rsidRPr="006F5394">
              <w:t>before the implementation of the methodology</w:t>
            </w:r>
          </w:p>
        </w:tc>
      </w:tr>
      <w:tr w:rsidR="00972BD0" w:rsidRPr="000A604D" w14:paraId="59168445" w14:textId="77777777" w:rsidTr="009706A3">
        <w:tc>
          <w:tcPr>
            <w:tcW w:w="2180" w:type="dxa"/>
          </w:tcPr>
          <w:p w14:paraId="54479CCC" w14:textId="7C20F4B4" w:rsidR="00972BD0" w:rsidRPr="000A604D" w:rsidRDefault="00000000" w:rsidP="00972BD0">
            <w:pPr>
              <w:spacing w:line="276" w:lineRule="auto"/>
              <w:rPr>
                <w:rFonts w:cs="Arial"/>
                <w:b/>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 xml:space="preserve">GR-north GR systems </m:t>
                    </m:r>
                  </m:sub>
                </m:sSub>
              </m:oMath>
            </m:oMathPara>
          </w:p>
        </w:tc>
        <w:tc>
          <w:tcPr>
            <w:tcW w:w="7028" w:type="dxa"/>
          </w:tcPr>
          <w:p w14:paraId="5A57103B" w14:textId="26C2D94F" w:rsidR="00972BD0" w:rsidRPr="000A604D" w:rsidRDefault="00B87C0D" w:rsidP="00C056D6">
            <w:pPr>
              <w:spacing w:after="200" w:line="276" w:lineRule="auto"/>
              <w:jc w:val="both"/>
              <w:rPr>
                <w:rFonts w:cs="Arial"/>
              </w:rPr>
            </w:pPr>
            <w:r>
              <w:t xml:space="preserve">Average </w:t>
            </w:r>
            <w:r w:rsidR="00972BD0">
              <w:t xml:space="preserve">value of the total NTC for the direction </w:t>
            </w:r>
            <w:r w:rsidR="00BE6E75">
              <w:t>GR-</w:t>
            </w:r>
            <w:r w:rsidR="00972BD0">
              <w:t xml:space="preserve">north GR systems in the </w:t>
            </w:r>
            <w:r w:rsidR="00C056D6">
              <w:t xml:space="preserve">last two </w:t>
            </w:r>
            <w:r w:rsidR="00972BD0">
              <w:t>year</w:t>
            </w:r>
            <w:r w:rsidR="00C056D6">
              <w:t>s</w:t>
            </w:r>
            <w:r w:rsidR="00972BD0">
              <w:t xml:space="preserve"> </w:t>
            </w:r>
            <w:r w:rsidR="006F5394" w:rsidRPr="006F5394">
              <w:t>before the implementation of the methodology</w:t>
            </w:r>
          </w:p>
        </w:tc>
      </w:tr>
    </w:tbl>
    <w:p w14:paraId="3594BE32" w14:textId="27B42EFC" w:rsidR="00BE6E75" w:rsidRPr="00B33B17" w:rsidRDefault="00BE6E75" w:rsidP="00C056D6">
      <w:pPr>
        <w:pStyle w:val="ListParagraph"/>
        <w:widowControl/>
        <w:numPr>
          <w:ilvl w:val="0"/>
          <w:numId w:val="72"/>
        </w:numPr>
        <w:tabs>
          <w:tab w:val="left" w:pos="-4820"/>
        </w:tabs>
        <w:spacing w:line="276" w:lineRule="auto"/>
        <w:ind w:left="425" w:right="0" w:hanging="425"/>
        <w:rPr>
          <w:rFonts w:cs="Arial"/>
        </w:rPr>
      </w:pPr>
      <w:r w:rsidRPr="00B33B17">
        <w:rPr>
          <w:rFonts w:cs="Arial"/>
        </w:rPr>
        <w:t>The splitting factor for BG-</w:t>
      </w:r>
      <w:r>
        <w:rPr>
          <w:rFonts w:cs="Arial"/>
        </w:rPr>
        <w:t>RO</w:t>
      </w:r>
      <w:r w:rsidRPr="00B33B17">
        <w:rPr>
          <w:rFonts w:cs="Arial"/>
        </w:rPr>
        <w:t xml:space="preserve"> direction is determined with the following equation:</w:t>
      </w:r>
    </w:p>
    <w:p w14:paraId="26515B62" w14:textId="7B2E90C0" w:rsidR="00BE6E75" w:rsidRDefault="00000000" w:rsidP="00BE6E75">
      <w:pPr>
        <w:pStyle w:val="ListParagraph"/>
        <w:widowControl/>
        <w:spacing w:line="276" w:lineRule="auto"/>
        <w:ind w:left="425" w:right="0" w:firstLine="0"/>
        <w:jc w:val="center"/>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SF</m:t>
              </m:r>
            </m:e>
            <m:sub>
              <m:r>
                <w:rPr>
                  <w:rFonts w:ascii="Cambria Math" w:eastAsia="Calibri" w:hAnsi="Cambria Math"/>
                  <w:color w:val="000000" w:themeColor="text1"/>
                  <w:szCs w:val="24"/>
                </w:rPr>
                <m:t>BG-RO</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BG-RO</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 xml:space="preserve">south RO systems-RO </m:t>
              </m:r>
            </m:sub>
          </m:sSub>
        </m:oMath>
      </m:oMathPara>
    </w:p>
    <w:p w14:paraId="1A2B8290" w14:textId="77777777" w:rsidR="00BE6E75" w:rsidRDefault="00BE6E75" w:rsidP="00BE6E75">
      <w:pPr>
        <w:pStyle w:val="ListParagraph"/>
        <w:widowControl/>
        <w:spacing w:line="276" w:lineRule="auto"/>
        <w:ind w:left="425" w:right="0" w:firstLine="0"/>
        <w:rPr>
          <w:rFonts w:cs="Arial"/>
          <w:color w:val="000000" w:themeColor="text1"/>
          <w:szCs w:val="24"/>
        </w:rPr>
      </w:pPr>
      <w:r>
        <w:rPr>
          <w:rFonts w:cs="Arial"/>
          <w:color w:val="000000" w:themeColor="text1"/>
          <w:szCs w:val="24"/>
        </w:rPr>
        <w:t>where:</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7028"/>
      </w:tblGrid>
      <w:tr w:rsidR="00BE6E75" w:rsidRPr="000A604D" w14:paraId="1637029A" w14:textId="77777777" w:rsidTr="009706A3">
        <w:tc>
          <w:tcPr>
            <w:tcW w:w="2180" w:type="dxa"/>
          </w:tcPr>
          <w:p w14:paraId="123C9E7D" w14:textId="447402B2" w:rsidR="00BE6E75" w:rsidRPr="006B5715" w:rsidRDefault="00000000" w:rsidP="00BE6E75">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SF</m:t>
                    </m:r>
                  </m:e>
                  <m:sub>
                    <m:r>
                      <w:rPr>
                        <w:rFonts w:ascii="Cambria Math" w:eastAsia="Calibri" w:hAnsi="Cambria Math"/>
                        <w:color w:val="000000" w:themeColor="text1"/>
                        <w:szCs w:val="24"/>
                      </w:rPr>
                      <m:t>BG-RO</m:t>
                    </m:r>
                  </m:sub>
                </m:sSub>
              </m:oMath>
            </m:oMathPara>
          </w:p>
        </w:tc>
        <w:tc>
          <w:tcPr>
            <w:tcW w:w="7028" w:type="dxa"/>
          </w:tcPr>
          <w:p w14:paraId="3A98E286" w14:textId="602D38C1" w:rsidR="00BE6E75" w:rsidRPr="000A604D" w:rsidRDefault="00BE6E75" w:rsidP="00BE6E75">
            <w:pPr>
              <w:spacing w:line="276" w:lineRule="auto"/>
              <w:jc w:val="both"/>
              <w:rPr>
                <w:rFonts w:cs="Arial"/>
              </w:rPr>
            </w:pPr>
            <w:r>
              <w:t>splitting factor as percentage to be applied for BG-RO direction for day-ahead and intraday capacity calculation in the year Y</w:t>
            </w:r>
          </w:p>
        </w:tc>
      </w:tr>
      <w:tr w:rsidR="00BE6E75" w:rsidRPr="000A604D" w14:paraId="00FA8E2F" w14:textId="77777777" w:rsidTr="009706A3">
        <w:tc>
          <w:tcPr>
            <w:tcW w:w="2180" w:type="dxa"/>
          </w:tcPr>
          <w:p w14:paraId="576B9234" w14:textId="5FF40126" w:rsidR="00BE6E75" w:rsidRPr="006B5715" w:rsidRDefault="00000000" w:rsidP="00BE6E75">
            <w:pPr>
              <w:spacing w:line="276" w:lineRule="auto"/>
              <w:rPr>
                <w:rFonts w:cs="Arial"/>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BG-RO</m:t>
                    </m:r>
                  </m:sub>
                </m:sSub>
              </m:oMath>
            </m:oMathPara>
          </w:p>
        </w:tc>
        <w:tc>
          <w:tcPr>
            <w:tcW w:w="7028" w:type="dxa"/>
          </w:tcPr>
          <w:p w14:paraId="54D4C0F0" w14:textId="50FCC9FD" w:rsidR="00BE6E75" w:rsidRPr="000A604D" w:rsidRDefault="00BE6E75" w:rsidP="0043655D">
            <w:pPr>
              <w:spacing w:line="276" w:lineRule="auto"/>
              <w:jc w:val="both"/>
              <w:rPr>
                <w:rFonts w:cs="Arial"/>
              </w:rPr>
            </w:pPr>
            <w:r>
              <w:t xml:space="preserve">Average value of the NTC for the direction BG-RO in the </w:t>
            </w:r>
            <w:r w:rsidR="0043655D">
              <w:t xml:space="preserve">last two </w:t>
            </w:r>
            <w:r>
              <w:t>year</w:t>
            </w:r>
            <w:r w:rsidR="0043655D">
              <w:t>s</w:t>
            </w:r>
            <w:r w:rsidR="00702C68" w:rsidRPr="00702C68">
              <w:rPr>
                <w:sz w:val="22"/>
                <w:szCs w:val="22"/>
              </w:rPr>
              <w:t xml:space="preserve"> </w:t>
            </w:r>
            <w:r w:rsidR="00702C68" w:rsidRPr="00702C68">
              <w:t>before the implementation of the methodology</w:t>
            </w:r>
          </w:p>
        </w:tc>
      </w:tr>
      <w:tr w:rsidR="00BE6E75" w:rsidRPr="000A604D" w14:paraId="7BD0AC88" w14:textId="77777777" w:rsidTr="009706A3">
        <w:tc>
          <w:tcPr>
            <w:tcW w:w="2180" w:type="dxa"/>
          </w:tcPr>
          <w:p w14:paraId="272D5022" w14:textId="09000750" w:rsidR="00BE6E75" w:rsidRPr="000A604D" w:rsidRDefault="00000000" w:rsidP="00BE6E75">
            <w:pPr>
              <w:spacing w:line="276" w:lineRule="auto"/>
              <w:rPr>
                <w:rFonts w:cs="Arial"/>
                <w:b/>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 xml:space="preserve">south RO systems-RO </m:t>
                    </m:r>
                  </m:sub>
                </m:sSub>
              </m:oMath>
            </m:oMathPara>
          </w:p>
        </w:tc>
        <w:tc>
          <w:tcPr>
            <w:tcW w:w="7028" w:type="dxa"/>
          </w:tcPr>
          <w:p w14:paraId="1067DE87" w14:textId="6BC85A56" w:rsidR="00BE6E75" w:rsidRPr="000A604D" w:rsidRDefault="00BE6E75" w:rsidP="00C056D6">
            <w:pPr>
              <w:spacing w:after="200" w:line="276" w:lineRule="auto"/>
              <w:jc w:val="both"/>
              <w:rPr>
                <w:rFonts w:cs="Arial"/>
              </w:rPr>
            </w:pPr>
            <w:r>
              <w:t xml:space="preserve">Average value of the total NTC for the direction south RO systems-RO in the </w:t>
            </w:r>
            <w:r w:rsidR="00C056D6">
              <w:t xml:space="preserve">last two </w:t>
            </w:r>
            <w:r>
              <w:t>year</w:t>
            </w:r>
            <w:r w:rsidR="00C056D6">
              <w:t>s</w:t>
            </w:r>
            <w:r w:rsidR="00702C68" w:rsidRPr="00702C68">
              <w:rPr>
                <w:sz w:val="22"/>
                <w:szCs w:val="22"/>
              </w:rPr>
              <w:t xml:space="preserve"> </w:t>
            </w:r>
            <w:r w:rsidR="00702C68" w:rsidRPr="00702C68">
              <w:t>before the implementation of the methodology</w:t>
            </w:r>
          </w:p>
        </w:tc>
      </w:tr>
    </w:tbl>
    <w:p w14:paraId="6CFD3661" w14:textId="1EF0EF47" w:rsidR="00BE6E75" w:rsidRPr="00B33B17" w:rsidRDefault="00BE6E75" w:rsidP="00C056D6">
      <w:pPr>
        <w:pStyle w:val="ListParagraph"/>
        <w:widowControl/>
        <w:numPr>
          <w:ilvl w:val="0"/>
          <w:numId w:val="72"/>
        </w:numPr>
        <w:tabs>
          <w:tab w:val="left" w:pos="-4820"/>
        </w:tabs>
        <w:spacing w:line="276" w:lineRule="auto"/>
        <w:ind w:left="425" w:right="0" w:hanging="425"/>
        <w:rPr>
          <w:rFonts w:cs="Arial"/>
        </w:rPr>
      </w:pPr>
      <w:r w:rsidRPr="00B33B17">
        <w:rPr>
          <w:rFonts w:cs="Arial"/>
        </w:rPr>
        <w:t xml:space="preserve">The splitting factor for </w:t>
      </w:r>
      <w:r>
        <w:rPr>
          <w:rFonts w:cs="Arial"/>
        </w:rPr>
        <w:t>RO-BG</w:t>
      </w:r>
      <w:r w:rsidRPr="00B33B17">
        <w:rPr>
          <w:rFonts w:cs="Arial"/>
        </w:rPr>
        <w:t xml:space="preserve"> direction is determined with the following equation:</w:t>
      </w:r>
    </w:p>
    <w:p w14:paraId="491C20D9" w14:textId="319844B3" w:rsidR="00BE6E75" w:rsidRDefault="00000000" w:rsidP="00BE6E75">
      <w:pPr>
        <w:pStyle w:val="ListParagraph"/>
        <w:widowControl/>
        <w:spacing w:line="276" w:lineRule="auto"/>
        <w:ind w:left="425" w:right="0" w:firstLine="0"/>
        <w:jc w:val="center"/>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SF</m:t>
              </m:r>
            </m:e>
            <m:sub>
              <m:r>
                <w:rPr>
                  <w:rFonts w:ascii="Cambria Math" w:eastAsia="Calibri" w:hAnsi="Cambria Math"/>
                  <w:color w:val="000000" w:themeColor="text1"/>
                  <w:szCs w:val="24"/>
                </w:rPr>
                <m:t>RO-BG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RO-BG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 xml:space="preserve">RO-south RO systems </m:t>
              </m:r>
            </m:sub>
          </m:sSub>
        </m:oMath>
      </m:oMathPara>
    </w:p>
    <w:p w14:paraId="5724F72D" w14:textId="77777777" w:rsidR="00BE6E75" w:rsidRDefault="00BE6E75" w:rsidP="00BE6E75">
      <w:pPr>
        <w:pStyle w:val="ListParagraph"/>
        <w:widowControl/>
        <w:spacing w:line="276" w:lineRule="auto"/>
        <w:ind w:left="425" w:right="0" w:firstLine="0"/>
        <w:rPr>
          <w:rFonts w:cs="Arial"/>
          <w:color w:val="000000" w:themeColor="text1"/>
          <w:szCs w:val="24"/>
        </w:rPr>
      </w:pPr>
      <w:r>
        <w:rPr>
          <w:rFonts w:cs="Arial"/>
          <w:color w:val="000000" w:themeColor="text1"/>
          <w:szCs w:val="24"/>
        </w:rPr>
        <w:t>where:</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7028"/>
      </w:tblGrid>
      <w:tr w:rsidR="00BE6E75" w:rsidRPr="000A604D" w14:paraId="1ED140AF" w14:textId="77777777" w:rsidTr="009706A3">
        <w:tc>
          <w:tcPr>
            <w:tcW w:w="2180" w:type="dxa"/>
          </w:tcPr>
          <w:p w14:paraId="402B6B17" w14:textId="39905F4B" w:rsidR="00BE6E75" w:rsidRPr="006B5715" w:rsidRDefault="00000000" w:rsidP="00BE6E75">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SF</m:t>
                    </m:r>
                  </m:e>
                  <m:sub>
                    <m:r>
                      <w:rPr>
                        <w:rFonts w:ascii="Cambria Math" w:eastAsia="Calibri" w:hAnsi="Cambria Math"/>
                        <w:color w:val="000000" w:themeColor="text1"/>
                        <w:szCs w:val="24"/>
                      </w:rPr>
                      <m:t>RO-BG</m:t>
                    </m:r>
                  </m:sub>
                </m:sSub>
              </m:oMath>
            </m:oMathPara>
          </w:p>
        </w:tc>
        <w:tc>
          <w:tcPr>
            <w:tcW w:w="7028" w:type="dxa"/>
          </w:tcPr>
          <w:p w14:paraId="5CB820DA" w14:textId="538842B9" w:rsidR="00BE6E75" w:rsidRPr="000A604D" w:rsidRDefault="00BE6E75" w:rsidP="00BE6E75">
            <w:pPr>
              <w:spacing w:line="276" w:lineRule="auto"/>
              <w:jc w:val="both"/>
              <w:rPr>
                <w:rFonts w:cs="Arial"/>
              </w:rPr>
            </w:pPr>
            <w:r>
              <w:t>splitting factor as percentage to be applied for RO-BG direction for day-ahead and intraday capacity calculation in the year Y</w:t>
            </w:r>
          </w:p>
        </w:tc>
      </w:tr>
      <w:tr w:rsidR="00BE6E75" w:rsidRPr="000A604D" w14:paraId="089C979A" w14:textId="77777777" w:rsidTr="009706A3">
        <w:tc>
          <w:tcPr>
            <w:tcW w:w="2180" w:type="dxa"/>
          </w:tcPr>
          <w:p w14:paraId="5CAB4C38" w14:textId="1DD6C75A" w:rsidR="00BE6E75" w:rsidRPr="006B5715" w:rsidRDefault="00000000" w:rsidP="00BE6E75">
            <w:pPr>
              <w:spacing w:line="276" w:lineRule="auto"/>
              <w:rPr>
                <w:rFonts w:cs="Arial"/>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RO-BG</m:t>
                    </m:r>
                  </m:sub>
                </m:sSub>
              </m:oMath>
            </m:oMathPara>
          </w:p>
        </w:tc>
        <w:tc>
          <w:tcPr>
            <w:tcW w:w="7028" w:type="dxa"/>
          </w:tcPr>
          <w:p w14:paraId="3297E799" w14:textId="46652B6A" w:rsidR="00BE6E75" w:rsidRPr="000A604D" w:rsidRDefault="00BE6E75" w:rsidP="0043655D">
            <w:pPr>
              <w:spacing w:line="276" w:lineRule="auto"/>
              <w:jc w:val="both"/>
              <w:rPr>
                <w:rFonts w:cs="Arial"/>
              </w:rPr>
            </w:pPr>
            <w:r>
              <w:t xml:space="preserve">Average value of the NTC for the direction RO-BG in the </w:t>
            </w:r>
            <w:r w:rsidR="0043655D">
              <w:t xml:space="preserve">last two </w:t>
            </w:r>
            <w:r>
              <w:t>year</w:t>
            </w:r>
            <w:r w:rsidR="0043655D">
              <w:t>s</w:t>
            </w:r>
            <w:r w:rsidR="00702C68" w:rsidRPr="00702C68">
              <w:rPr>
                <w:sz w:val="22"/>
                <w:szCs w:val="22"/>
              </w:rPr>
              <w:t xml:space="preserve"> </w:t>
            </w:r>
            <w:r w:rsidR="00702C68" w:rsidRPr="00702C68">
              <w:t>before the implementation of the methodology</w:t>
            </w:r>
          </w:p>
        </w:tc>
      </w:tr>
      <w:tr w:rsidR="00BE6E75" w:rsidRPr="000A604D" w14:paraId="6EECEF31" w14:textId="77777777" w:rsidTr="009706A3">
        <w:tc>
          <w:tcPr>
            <w:tcW w:w="2180" w:type="dxa"/>
          </w:tcPr>
          <w:p w14:paraId="7A709934" w14:textId="450BAA01" w:rsidR="00BE6E75" w:rsidRPr="000A604D" w:rsidRDefault="00000000" w:rsidP="009706A3">
            <w:pPr>
              <w:spacing w:line="276" w:lineRule="auto"/>
              <w:rPr>
                <w:rFonts w:cs="Arial"/>
                <w:b/>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 xml:space="preserve">RO-south RO systems </m:t>
                    </m:r>
                  </m:sub>
                </m:sSub>
              </m:oMath>
            </m:oMathPara>
          </w:p>
        </w:tc>
        <w:tc>
          <w:tcPr>
            <w:tcW w:w="7028" w:type="dxa"/>
          </w:tcPr>
          <w:p w14:paraId="4CB24AD0" w14:textId="6E8B161B" w:rsidR="00BE6E75" w:rsidRPr="000A604D" w:rsidRDefault="00BE6E75" w:rsidP="0043655D">
            <w:pPr>
              <w:spacing w:after="200" w:line="276" w:lineRule="auto"/>
              <w:jc w:val="both"/>
              <w:rPr>
                <w:rFonts w:cs="Arial"/>
              </w:rPr>
            </w:pPr>
            <w:r>
              <w:t xml:space="preserve">Average value of the total NTC for the direction RO-south RO systems in the </w:t>
            </w:r>
            <w:r w:rsidR="0043655D">
              <w:t xml:space="preserve">last two </w:t>
            </w:r>
            <w:r>
              <w:t>year</w:t>
            </w:r>
            <w:r w:rsidR="0043655D">
              <w:t>s</w:t>
            </w:r>
            <w:r w:rsidR="00702C68" w:rsidRPr="00702C68">
              <w:rPr>
                <w:sz w:val="22"/>
                <w:szCs w:val="22"/>
              </w:rPr>
              <w:t xml:space="preserve"> </w:t>
            </w:r>
            <w:r w:rsidR="00702C68" w:rsidRPr="00702C68">
              <w:t>before the implementation of the methodology</w:t>
            </w:r>
          </w:p>
        </w:tc>
      </w:tr>
    </w:tbl>
    <w:p w14:paraId="35D85F35" w14:textId="42F6EC02" w:rsidR="009706A3" w:rsidRDefault="009706A3" w:rsidP="00C056D6">
      <w:pPr>
        <w:pStyle w:val="ListParagraph"/>
        <w:numPr>
          <w:ilvl w:val="0"/>
          <w:numId w:val="72"/>
        </w:numPr>
        <w:tabs>
          <w:tab w:val="left" w:pos="-4820"/>
        </w:tabs>
        <w:spacing w:after="200" w:line="276" w:lineRule="auto"/>
        <w:ind w:left="419" w:right="0" w:hanging="425"/>
        <w:rPr>
          <w:rFonts w:cs="Arial"/>
        </w:rPr>
      </w:pPr>
      <w:r w:rsidRPr="000F577F">
        <w:rPr>
          <w:rFonts w:cs="Arial"/>
        </w:rPr>
        <w:t xml:space="preserve">The </w:t>
      </w:r>
      <w:r w:rsidRPr="00A47150">
        <w:rPr>
          <w:rFonts w:cs="Arial"/>
          <w:i/>
        </w:rPr>
        <w:t>CCC</w:t>
      </w:r>
      <w:r w:rsidRPr="000F577F">
        <w:rPr>
          <w:rFonts w:cs="Arial"/>
        </w:rPr>
        <w:t xml:space="preserve"> of the SEE </w:t>
      </w:r>
      <w:r>
        <w:rPr>
          <w:rFonts w:cs="Arial"/>
        </w:rPr>
        <w:t>CCR</w:t>
      </w:r>
      <w:r w:rsidRPr="000F577F">
        <w:rPr>
          <w:rFonts w:cs="Arial"/>
        </w:rPr>
        <w:t xml:space="preserve"> shall provide </w:t>
      </w:r>
      <w:r>
        <w:rPr>
          <w:rFonts w:cs="Arial"/>
        </w:rPr>
        <w:t xml:space="preserve">to </w:t>
      </w:r>
      <w:r w:rsidRPr="000F577F">
        <w:rPr>
          <w:rFonts w:cs="Arial"/>
        </w:rPr>
        <w:t xml:space="preserve">the SEE TSOs with the validated </w:t>
      </w:r>
      <w:r w:rsidRPr="00A47150">
        <w:rPr>
          <w:rFonts w:cs="Arial"/>
          <w:i/>
        </w:rPr>
        <w:t>NTCs</w:t>
      </w:r>
      <w:r w:rsidRPr="000F577F">
        <w:rPr>
          <w:rFonts w:cs="Arial"/>
        </w:rPr>
        <w:t xml:space="preserve"> </w:t>
      </w:r>
      <w:r>
        <w:rPr>
          <w:rFonts w:cs="Arial"/>
        </w:rPr>
        <w:t xml:space="preserve">values </w:t>
      </w:r>
      <w:r w:rsidRPr="000F577F">
        <w:rPr>
          <w:rFonts w:cs="Arial"/>
        </w:rPr>
        <w:t xml:space="preserve">after application of the </w:t>
      </w:r>
      <w:r w:rsidRPr="00A47150">
        <w:rPr>
          <w:rFonts w:cs="Arial"/>
          <w:i/>
        </w:rPr>
        <w:t>RM</w:t>
      </w:r>
      <w:r>
        <w:rPr>
          <w:rFonts w:cs="Arial"/>
        </w:rPr>
        <w:t>s</w:t>
      </w:r>
      <w:r w:rsidRPr="000F577F">
        <w:rPr>
          <w:rFonts w:cs="Arial"/>
        </w:rPr>
        <w:t xml:space="preserve"> defined in accordance with Article 6 for the BG-RO</w:t>
      </w:r>
      <w:r>
        <w:rPr>
          <w:rFonts w:cs="Arial"/>
        </w:rPr>
        <w:t xml:space="preserve"> and</w:t>
      </w:r>
      <w:r w:rsidRPr="000F577F">
        <w:rPr>
          <w:rFonts w:cs="Arial"/>
        </w:rPr>
        <w:t xml:space="preserve"> BG-GR borders.</w:t>
      </w:r>
    </w:p>
    <w:p w14:paraId="77A8C479" w14:textId="13814DBD" w:rsidR="00730618" w:rsidRDefault="00730618" w:rsidP="00E11681">
      <w:pPr>
        <w:pStyle w:val="ListParagraph"/>
        <w:numPr>
          <w:ilvl w:val="0"/>
          <w:numId w:val="72"/>
        </w:numPr>
        <w:tabs>
          <w:tab w:val="left" w:pos="-4820"/>
        </w:tabs>
        <w:spacing w:after="200" w:line="276" w:lineRule="auto"/>
        <w:ind w:left="419" w:right="0" w:hanging="425"/>
        <w:rPr>
          <w:rFonts w:cs="Arial"/>
        </w:rPr>
      </w:pPr>
      <w:r>
        <w:rPr>
          <w:rFonts w:cs="Arial"/>
        </w:rPr>
        <w:t xml:space="preserve">In accordance </w:t>
      </w:r>
      <w:r w:rsidRPr="00B74A0A">
        <w:rPr>
          <w:rFonts w:cs="Arial"/>
        </w:rPr>
        <w:t>with Article 16(8), of the Regulation (EC) 2019/</w:t>
      </w:r>
      <w:r>
        <w:rPr>
          <w:rFonts w:cs="Arial"/>
        </w:rPr>
        <w:t>943</w:t>
      </w:r>
      <w:r w:rsidRPr="00B74A0A">
        <w:rPr>
          <w:rFonts w:cs="Arial"/>
        </w:rPr>
        <w:t>, SEE TSOs shall monitor the margin available for cross-zonal trade</w:t>
      </w:r>
      <w:r w:rsidR="00363582">
        <w:rPr>
          <w:rFonts w:cs="Arial"/>
        </w:rPr>
        <w:t xml:space="preserve"> in the day-ahead capacity calculation</w:t>
      </w:r>
      <w:r w:rsidRPr="00B74A0A">
        <w:rPr>
          <w:rFonts w:cs="Arial"/>
        </w:rPr>
        <w:t>.</w:t>
      </w:r>
    </w:p>
    <w:p w14:paraId="73B8F0C9" w14:textId="2E3F52D3" w:rsidR="00730618" w:rsidRDefault="00730618" w:rsidP="00E11681">
      <w:pPr>
        <w:pStyle w:val="ListParagraph"/>
        <w:numPr>
          <w:ilvl w:val="0"/>
          <w:numId w:val="72"/>
        </w:numPr>
        <w:tabs>
          <w:tab w:val="left" w:pos="-4820"/>
        </w:tabs>
        <w:spacing w:after="200" w:line="276" w:lineRule="auto"/>
        <w:ind w:left="419" w:right="0" w:hanging="425"/>
        <w:rPr>
          <w:rFonts w:cs="Arial"/>
        </w:rPr>
      </w:pPr>
      <w:r>
        <w:rPr>
          <w:rFonts w:cs="Arial"/>
        </w:rPr>
        <w:t xml:space="preserve">The </w:t>
      </w:r>
      <w:r w:rsidRPr="00B74A0A">
        <w:rPr>
          <w:rFonts w:cs="Arial"/>
        </w:rPr>
        <w:t xml:space="preserve">coordinated capacity calculator </w:t>
      </w:r>
      <w:r>
        <w:rPr>
          <w:rFonts w:cs="Arial"/>
        </w:rPr>
        <w:t>shall ensure that the computed N</w:t>
      </w:r>
      <w:r w:rsidRPr="00B74A0A">
        <w:rPr>
          <w:rFonts w:cs="Arial"/>
        </w:rPr>
        <w:t>TC reaches the minimum capacity requirements according to Article 16(8) of the Regulation (EC) 2019/43, using remedial actions committed by the SEE TSOs</w:t>
      </w:r>
      <w:r>
        <w:rPr>
          <w:rFonts w:cs="Arial"/>
        </w:rPr>
        <w:t xml:space="preserve"> or possibly proposed by CCC</w:t>
      </w:r>
      <w:r w:rsidRPr="00B74A0A">
        <w:rPr>
          <w:rFonts w:cs="Arial"/>
        </w:rPr>
        <w:t>. In accordance with article 16(3) of the Regulation (EC) 2019/43, where the available remedial actions are not sufficient to reach the above-mentioned minimum capacities while respecting the operational security limits, the coordinated capacity calculator may, as a measure of last resort, set out coordinated actions reducing the cross-zonal capacities accordingly.</w:t>
      </w:r>
    </w:p>
    <w:p w14:paraId="5A934C70" w14:textId="7D1E7928" w:rsidR="00730618" w:rsidRDefault="00730618" w:rsidP="00E11681">
      <w:pPr>
        <w:pStyle w:val="ListParagraph"/>
        <w:numPr>
          <w:ilvl w:val="0"/>
          <w:numId w:val="72"/>
        </w:numPr>
        <w:tabs>
          <w:tab w:val="left" w:pos="-4820"/>
        </w:tabs>
        <w:spacing w:after="200" w:line="276" w:lineRule="auto"/>
        <w:ind w:left="419" w:right="0" w:hanging="425"/>
        <w:rPr>
          <w:rFonts w:cs="Arial"/>
        </w:rPr>
      </w:pPr>
      <w:r>
        <w:rPr>
          <w:rFonts w:cs="Arial"/>
        </w:rPr>
        <w:t xml:space="preserve">The </w:t>
      </w:r>
      <w:r w:rsidRPr="00B74A0A">
        <w:rPr>
          <w:rFonts w:cs="Arial"/>
        </w:rPr>
        <w:t xml:space="preserve">minimum capacity shall be 70% of the transmission capacity respecting operational security limits after deduction of contingencies, except for those for which a derogation has been granted or an action plan to address structural congestions has been set in accordance with Articles 15 and 16 of the Regulation (EC) 2019/943. SEE TSOs affected by such derogations or action plans shall inform all the NRAs of the SEE CCR about the values of minimum capacity </w:t>
      </w:r>
      <w:r>
        <w:rPr>
          <w:rFonts w:cs="Arial"/>
        </w:rPr>
        <w:t xml:space="preserve">(if any) </w:t>
      </w:r>
      <w:r w:rsidRPr="00B74A0A">
        <w:rPr>
          <w:rFonts w:cs="Arial"/>
        </w:rPr>
        <w:t>applicable during the period covered by the derogation or the action plan.</w:t>
      </w:r>
    </w:p>
    <w:p w14:paraId="091CEFED" w14:textId="151AF9A8" w:rsidR="00730618" w:rsidRPr="00730618" w:rsidRDefault="00730618" w:rsidP="00E11681">
      <w:pPr>
        <w:pStyle w:val="ListParagraph"/>
        <w:numPr>
          <w:ilvl w:val="0"/>
          <w:numId w:val="72"/>
        </w:numPr>
        <w:tabs>
          <w:tab w:val="left" w:pos="-4820"/>
        </w:tabs>
        <w:spacing w:after="200" w:line="276" w:lineRule="auto"/>
        <w:ind w:left="419" w:right="0" w:hanging="425"/>
        <w:rPr>
          <w:rFonts w:cs="Arial"/>
        </w:rPr>
      </w:pPr>
      <w:r>
        <w:rPr>
          <w:rFonts w:cs="Arial"/>
        </w:rPr>
        <w:t xml:space="preserve">The </w:t>
      </w:r>
      <w:r w:rsidRPr="00B74A0A">
        <w:rPr>
          <w:rFonts w:cs="Arial"/>
        </w:rPr>
        <w:t>minimum level of capacity, as set in the article 16(8) of the Regulation (EC) 2019/</w:t>
      </w:r>
      <w:r>
        <w:rPr>
          <w:rFonts w:cs="Arial"/>
        </w:rPr>
        <w:t>9</w:t>
      </w:r>
      <w:r w:rsidRPr="00B74A0A">
        <w:rPr>
          <w:rFonts w:cs="Arial"/>
        </w:rPr>
        <w:t>43, is translated on the margin on a limiting CNEC. The margin on a limiting CNEC is computed for each hour as follows:</w:t>
      </w:r>
    </w:p>
    <w:p w14:paraId="5FE83C0D" w14:textId="798C38D6" w:rsidR="00730618" w:rsidRPr="00B74A0A" w:rsidRDefault="00730618" w:rsidP="00E11681">
      <w:pPr>
        <w:tabs>
          <w:tab w:val="left" w:pos="-4820"/>
        </w:tabs>
        <w:spacing w:line="276" w:lineRule="auto"/>
        <w:ind w:left="428"/>
        <w:jc w:val="both"/>
        <w:rPr>
          <w:rFonts w:cs="Arial"/>
        </w:rPr>
      </w:pPr>
    </w:p>
    <w:p w14:paraId="6B54B6FB" w14:textId="628FFBB0" w:rsidR="00730618" w:rsidRPr="00B74A0A" w:rsidRDefault="00730618" w:rsidP="00730618">
      <w:pPr>
        <w:tabs>
          <w:tab w:val="left" w:pos="-4820"/>
        </w:tabs>
        <w:spacing w:line="276" w:lineRule="auto"/>
        <w:rPr>
          <w:rFonts w:cs="Arial"/>
        </w:rPr>
      </w:pPr>
      <m:oMathPara>
        <m:oMath>
          <m:r>
            <w:rPr>
              <w:rFonts w:ascii="Cambria Math" w:hAnsi="Cambria Math" w:cs="Arial"/>
            </w:rPr>
            <m:t>Margin=</m:t>
          </m:r>
          <m:nary>
            <m:naryPr>
              <m:chr m:val="∑"/>
              <m:limLoc m:val="undOvr"/>
              <m:supHide m:val="1"/>
              <m:ctrlPr>
                <w:rPr>
                  <w:rFonts w:ascii="Cambria Math" w:hAnsi="Cambria Math" w:cs="Arial"/>
                  <w:i/>
                </w:rPr>
              </m:ctrlPr>
            </m:naryPr>
            <m:sub>
              <m:r>
                <w:rPr>
                  <w:rFonts w:ascii="Cambria Math" w:hAnsi="Cambria Math" w:cs="Arial"/>
                </w:rPr>
                <m:t>b</m:t>
              </m:r>
            </m:sub>
            <m:sup/>
            <m:e>
              <m:r>
                <w:rPr>
                  <w:rFonts w:ascii="Cambria Math" w:hAnsi="Cambria Math" w:cs="Arial"/>
                </w:rPr>
                <m:t>pPTD</m:t>
              </m:r>
              <m:sSub>
                <m:sSubPr>
                  <m:ctrlPr>
                    <w:rPr>
                      <w:rFonts w:ascii="Cambria Math" w:hAnsi="Cambria Math" w:cs="Arial"/>
                      <w:i/>
                    </w:rPr>
                  </m:ctrlPr>
                </m:sSubPr>
                <m:e>
                  <m:r>
                    <w:rPr>
                      <w:rFonts w:ascii="Cambria Math" w:hAnsi="Cambria Math" w:cs="Arial"/>
                    </w:rPr>
                    <m:t>F</m:t>
                  </m:r>
                </m:e>
                <m:sub>
                  <m:r>
                    <w:rPr>
                      <w:rFonts w:ascii="Cambria Math" w:hAnsi="Cambria Math" w:cs="Arial"/>
                    </w:rPr>
                    <m:t>i,z2z,b</m:t>
                  </m:r>
                </m:sub>
              </m:sSub>
              <m:r>
                <w:rPr>
                  <w:rFonts w:ascii="Cambria Math" w:hAnsi="Cambria Math" w:cs="Arial"/>
                </w:rPr>
                <m:t xml:space="preserve"> S</m:t>
              </m:r>
              <m:sSub>
                <m:sSubPr>
                  <m:ctrlPr>
                    <w:rPr>
                      <w:rFonts w:ascii="Cambria Math" w:hAnsi="Cambria Math" w:cs="Arial"/>
                      <w:i/>
                    </w:rPr>
                  </m:ctrlPr>
                </m:sSubPr>
                <m:e>
                  <m:r>
                    <w:rPr>
                      <w:rFonts w:ascii="Cambria Math" w:hAnsi="Cambria Math" w:cs="Arial"/>
                    </w:rPr>
                    <m:t>F</m:t>
                  </m:r>
                </m:e>
                <m:sub>
                  <m:r>
                    <w:rPr>
                      <w:rFonts w:ascii="Cambria Math" w:hAnsi="Cambria Math" w:cs="Arial"/>
                    </w:rPr>
                    <m:t>b</m:t>
                  </m:r>
                </m:sub>
              </m:sSub>
              <m:r>
                <w:rPr>
                  <w:rFonts w:ascii="Cambria Math" w:hAnsi="Cambria Math" w:cs="Arial"/>
                </w:rPr>
                <m:t xml:space="preserve"> NTC</m:t>
              </m:r>
            </m:e>
          </m:nary>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n</m:t>
              </m:r>
            </m:sub>
            <m:sup/>
            <m:e>
              <m:r>
                <w:rPr>
                  <w:rFonts w:ascii="Cambria Math" w:hAnsi="Cambria Math" w:cs="Arial"/>
                </w:rPr>
                <m:t>PTD</m:t>
              </m:r>
              <m:sSub>
                <m:sSubPr>
                  <m:ctrlPr>
                    <w:rPr>
                      <w:rFonts w:ascii="Cambria Math" w:hAnsi="Cambria Math" w:cs="Arial"/>
                      <w:i/>
                    </w:rPr>
                  </m:ctrlPr>
                </m:sSubPr>
                <m:e>
                  <m:r>
                    <w:rPr>
                      <w:rFonts w:ascii="Cambria Math" w:hAnsi="Cambria Math" w:cs="Arial"/>
                    </w:rPr>
                    <m:t>F</m:t>
                  </m:r>
                </m:e>
                <m:sub>
                  <m:r>
                    <w:rPr>
                      <w:rFonts w:ascii="Cambria Math" w:hAnsi="Cambria Math" w:cs="Arial"/>
                    </w:rPr>
                    <m:t>z2z</m:t>
                  </m:r>
                </m:sub>
              </m:sSub>
              <m:r>
                <w:rPr>
                  <w:rFonts w:ascii="Cambria Math" w:hAnsi="Cambria Math" w:cs="Arial"/>
                </w:rPr>
                <m:t>CGM</m:t>
              </m:r>
              <m:sSub>
                <m:sSubPr>
                  <m:ctrlPr>
                    <w:rPr>
                      <w:rFonts w:ascii="Cambria Math" w:hAnsi="Cambria Math" w:cs="Arial"/>
                      <w:i/>
                    </w:rPr>
                  </m:ctrlPr>
                </m:sSubPr>
                <m:e>
                  <m:r>
                    <w:rPr>
                      <w:rFonts w:ascii="Cambria Math" w:hAnsi="Cambria Math" w:cs="Arial"/>
                    </w:rPr>
                    <m:t>E</m:t>
                  </m:r>
                </m:e>
                <m:sub>
                  <m:r>
                    <w:rPr>
                      <w:rFonts w:ascii="Cambria Math" w:hAnsi="Cambria Math" w:cs="Arial"/>
                    </w:rPr>
                    <m:t>n</m:t>
                  </m:r>
                </m:sub>
              </m:sSub>
              <m:r>
                <w:rPr>
                  <w:rFonts w:ascii="Cambria Math" w:hAnsi="Cambria Math" w:cs="Arial"/>
                </w:rPr>
                <m:t xml:space="preserve"> </m:t>
              </m:r>
            </m:e>
          </m:nary>
        </m:oMath>
      </m:oMathPara>
    </w:p>
    <w:p w14:paraId="2BFCA97B" w14:textId="71F62C59" w:rsidR="00730618" w:rsidRPr="00B74A0A" w:rsidRDefault="00394C33" w:rsidP="00730618">
      <w:pPr>
        <w:tabs>
          <w:tab w:val="left" w:pos="-4820"/>
        </w:tabs>
        <w:spacing w:line="276" w:lineRule="auto"/>
        <w:rPr>
          <w:rFonts w:cs="Arial"/>
        </w:rPr>
      </w:pPr>
      <w:r>
        <w:rPr>
          <w:rFonts w:cs="Arial"/>
        </w:rPr>
        <w:t xml:space="preserve">      w</w:t>
      </w:r>
      <w:r w:rsidR="00730618" w:rsidRPr="00B74A0A">
        <w:rPr>
          <w:rFonts w:cs="Arial"/>
        </w:rPr>
        <w:t>here</w:t>
      </w:r>
      <w:r>
        <w:rPr>
          <w:rFonts w:cs="Arial"/>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7028"/>
      </w:tblGrid>
      <w:tr w:rsidR="00730618" w:rsidRPr="00B74A0A" w14:paraId="26DC5C13" w14:textId="77777777" w:rsidTr="00B457C4">
        <w:tc>
          <w:tcPr>
            <w:tcW w:w="2022" w:type="dxa"/>
            <w:hideMark/>
          </w:tcPr>
          <w:p w14:paraId="16FE958C" w14:textId="77777777" w:rsidR="00730618" w:rsidRPr="00394C33" w:rsidRDefault="00730618" w:rsidP="00B457C4">
            <w:pPr>
              <w:widowControl w:val="0"/>
              <w:tabs>
                <w:tab w:val="left" w:pos="-4820"/>
              </w:tabs>
              <w:spacing w:line="276" w:lineRule="auto"/>
              <w:rPr>
                <w:rFonts w:cs="Arial"/>
                <w:i/>
                <w:sz w:val="22"/>
                <w:szCs w:val="22"/>
              </w:rPr>
            </w:pPr>
            <m:oMathPara>
              <m:oMath>
                <m:r>
                  <w:rPr>
                    <w:rFonts w:ascii="Cambria Math" w:hAnsi="Cambria Math" w:cs="Arial"/>
                    <w:lang w:val="ro-RO"/>
                  </w:rPr>
                  <m:t>b</m:t>
                </m:r>
              </m:oMath>
            </m:oMathPara>
          </w:p>
        </w:tc>
        <w:tc>
          <w:tcPr>
            <w:tcW w:w="7028" w:type="dxa"/>
            <w:hideMark/>
          </w:tcPr>
          <w:p w14:paraId="3FBBE8BC" w14:textId="77777777" w:rsidR="00730618" w:rsidRPr="00B74A0A" w:rsidRDefault="00730618" w:rsidP="00B457C4">
            <w:pPr>
              <w:widowControl w:val="0"/>
              <w:tabs>
                <w:tab w:val="left" w:pos="-4820"/>
              </w:tabs>
              <w:spacing w:line="276" w:lineRule="auto"/>
              <w:rPr>
                <w:rFonts w:cs="Arial"/>
                <w:i/>
                <w:sz w:val="22"/>
                <w:szCs w:val="22"/>
              </w:rPr>
            </w:pPr>
            <w:r w:rsidRPr="00B74A0A">
              <w:rPr>
                <w:rFonts w:cs="Arial"/>
                <w:i/>
                <w:sz w:val="22"/>
                <w:szCs w:val="22"/>
              </w:rPr>
              <w:t>Oriented bidding-zone border which belongs to the coordination area</w:t>
            </w:r>
          </w:p>
        </w:tc>
      </w:tr>
      <w:tr w:rsidR="00730618" w:rsidRPr="00B74A0A" w14:paraId="25D16013" w14:textId="77777777" w:rsidTr="00B457C4">
        <w:tc>
          <w:tcPr>
            <w:tcW w:w="2022" w:type="dxa"/>
          </w:tcPr>
          <w:p w14:paraId="6EC50E54" w14:textId="77777777" w:rsidR="00730618" w:rsidRPr="00B74A0A" w:rsidRDefault="00730618" w:rsidP="00B457C4">
            <w:pPr>
              <w:widowControl w:val="0"/>
              <w:tabs>
                <w:tab w:val="left" w:pos="-4820"/>
              </w:tabs>
              <w:spacing w:line="276" w:lineRule="auto"/>
              <w:rPr>
                <w:rFonts w:cs="Arial"/>
                <w:sz w:val="22"/>
                <w:szCs w:val="22"/>
                <w:lang w:val="ro-RO"/>
              </w:rPr>
            </w:pPr>
            <m:oMathPara>
              <m:oMathParaPr>
                <m:jc m:val="right"/>
              </m:oMathParaPr>
              <m:oMath>
                <m:r>
                  <w:rPr>
                    <w:rFonts w:ascii="Cambria Math" w:hAnsi="Cambria Math" w:cs="Arial"/>
                    <w:lang w:val="ro-RO"/>
                  </w:rPr>
                  <m:t>pPTD</m:t>
                </m:r>
                <m:sSub>
                  <m:sSubPr>
                    <m:ctrlPr>
                      <w:rPr>
                        <w:rFonts w:ascii="Cambria Math" w:hAnsi="Cambria Math" w:cs="Arial"/>
                        <w:i/>
                        <w:sz w:val="22"/>
                        <w:szCs w:val="22"/>
                        <w:lang w:val="ro-RO"/>
                      </w:rPr>
                    </m:ctrlPr>
                  </m:sSubPr>
                  <m:e>
                    <m:r>
                      <w:rPr>
                        <w:rFonts w:ascii="Cambria Math" w:hAnsi="Cambria Math" w:cs="Arial"/>
                        <w:lang w:val="ro-RO"/>
                      </w:rPr>
                      <m:t>F</m:t>
                    </m:r>
                  </m:e>
                  <m:sub>
                    <m:r>
                      <w:rPr>
                        <w:rFonts w:ascii="Cambria Math" w:hAnsi="Cambria Math" w:cs="Arial"/>
                        <w:lang w:val="ro-RO"/>
                      </w:rPr>
                      <m:t>z2z,b</m:t>
                    </m:r>
                  </m:sub>
                </m:sSub>
                <m:r>
                  <w:rPr>
                    <w:rFonts w:ascii="Cambria Math" w:hAnsi="Cambria Math" w:cs="Arial"/>
                    <w:lang w:val="ro-RO"/>
                  </w:rPr>
                  <m:t>=</m:t>
                </m:r>
                <m:r>
                  <m:rPr>
                    <m:sty m:val="p"/>
                  </m:rPr>
                  <w:rPr>
                    <w:rFonts w:ascii="Cambria Math" w:hAnsi="Cambria Math" w:cs="Arial"/>
                    <w:lang w:val="ro-RO"/>
                  </w:rPr>
                  <m:t>max⁡</m:t>
                </m:r>
                <m:r>
                  <w:rPr>
                    <w:rFonts w:ascii="Cambria Math" w:hAnsi="Cambria Math" w:cs="Arial"/>
                    <w:lang w:val="ro-RO"/>
                  </w:rPr>
                  <m:t>(0,PTD</m:t>
                </m:r>
                <m:sSub>
                  <m:sSubPr>
                    <m:ctrlPr>
                      <w:rPr>
                        <w:rFonts w:ascii="Cambria Math" w:hAnsi="Cambria Math" w:cs="Arial"/>
                        <w:i/>
                        <w:sz w:val="22"/>
                        <w:szCs w:val="22"/>
                        <w:lang w:val="ro-RO"/>
                      </w:rPr>
                    </m:ctrlPr>
                  </m:sSubPr>
                  <m:e>
                    <m:r>
                      <w:rPr>
                        <w:rFonts w:ascii="Cambria Math" w:hAnsi="Cambria Math" w:cs="Arial"/>
                        <w:lang w:val="ro-RO"/>
                      </w:rPr>
                      <m:t>F</m:t>
                    </m:r>
                  </m:e>
                  <m:sub>
                    <m:r>
                      <w:rPr>
                        <w:rFonts w:ascii="Cambria Math" w:hAnsi="Cambria Math" w:cs="Arial"/>
                        <w:lang w:val="ro-RO"/>
                      </w:rPr>
                      <m:t>z2z,b</m:t>
                    </m:r>
                  </m:sub>
                </m:sSub>
                <m:r>
                  <w:rPr>
                    <w:rFonts w:ascii="Cambria Math" w:hAnsi="Cambria Math" w:cs="Arial"/>
                    <w:lang w:val="ro-RO"/>
                  </w:rPr>
                  <m:t>)</m:t>
                </m:r>
              </m:oMath>
            </m:oMathPara>
          </w:p>
        </w:tc>
        <w:tc>
          <w:tcPr>
            <w:tcW w:w="7028" w:type="dxa"/>
          </w:tcPr>
          <w:p w14:paraId="18C3AD05" w14:textId="77777777" w:rsidR="00730618" w:rsidRPr="00B74A0A" w:rsidRDefault="00730618" w:rsidP="00B457C4">
            <w:pPr>
              <w:widowControl w:val="0"/>
              <w:tabs>
                <w:tab w:val="left" w:pos="-4820"/>
              </w:tabs>
              <w:spacing w:line="276" w:lineRule="auto"/>
              <w:rPr>
                <w:rFonts w:cs="Arial"/>
                <w:i/>
                <w:sz w:val="22"/>
                <w:szCs w:val="22"/>
              </w:rPr>
            </w:pPr>
            <w:r w:rsidRPr="00B74A0A">
              <w:rPr>
                <w:rFonts w:cs="Arial"/>
                <w:i/>
                <w:sz w:val="22"/>
                <w:szCs w:val="22"/>
              </w:rPr>
              <w:t>Positive zone-to-zone PTDF associated with the oriented bidding-zone border b (0 for a negative zone-to-zone PTDF)</w:t>
            </w:r>
          </w:p>
        </w:tc>
      </w:tr>
      <w:tr w:rsidR="00730618" w:rsidRPr="00B74A0A" w14:paraId="636206AB" w14:textId="77777777" w:rsidTr="00B457C4">
        <w:tc>
          <w:tcPr>
            <w:tcW w:w="2022" w:type="dxa"/>
          </w:tcPr>
          <w:p w14:paraId="6C5F88C6" w14:textId="77777777" w:rsidR="00730618" w:rsidRPr="00B74A0A" w:rsidRDefault="00730618" w:rsidP="00B457C4">
            <w:pPr>
              <w:widowControl w:val="0"/>
              <w:tabs>
                <w:tab w:val="left" w:pos="-4820"/>
              </w:tabs>
              <w:spacing w:line="276" w:lineRule="auto"/>
              <w:rPr>
                <w:rFonts w:cs="Arial"/>
                <w:sz w:val="22"/>
                <w:szCs w:val="22"/>
                <w:lang w:val="ro-RO"/>
              </w:rPr>
            </w:pPr>
            <m:oMathPara>
              <m:oMath>
                <m:r>
                  <w:rPr>
                    <w:rFonts w:ascii="Cambria Math" w:hAnsi="Cambria Math" w:cs="Arial"/>
                    <w:lang w:val="ro-RO"/>
                  </w:rPr>
                  <m:t>NTC</m:t>
                </m:r>
              </m:oMath>
            </m:oMathPara>
          </w:p>
        </w:tc>
        <w:tc>
          <w:tcPr>
            <w:tcW w:w="7028" w:type="dxa"/>
          </w:tcPr>
          <w:p w14:paraId="280F05E6" w14:textId="77777777" w:rsidR="00730618" w:rsidRPr="00B74A0A" w:rsidRDefault="00730618" w:rsidP="00B457C4">
            <w:pPr>
              <w:widowControl w:val="0"/>
              <w:tabs>
                <w:tab w:val="left" w:pos="-4820"/>
              </w:tabs>
              <w:spacing w:line="276" w:lineRule="auto"/>
              <w:rPr>
                <w:rFonts w:cs="Arial"/>
                <w:i/>
                <w:sz w:val="22"/>
                <w:szCs w:val="22"/>
              </w:rPr>
            </w:pPr>
            <w:r w:rsidRPr="00B74A0A">
              <w:rPr>
                <w:rFonts w:cs="Arial"/>
                <w:i/>
                <w:sz w:val="22"/>
                <w:szCs w:val="22"/>
              </w:rPr>
              <w:t>Net transfer capacity computed for all the North Greek Borders and South Romanian Borders</w:t>
            </w:r>
          </w:p>
        </w:tc>
      </w:tr>
      <w:tr w:rsidR="00730618" w:rsidRPr="00B74A0A" w14:paraId="42E9E48D" w14:textId="77777777" w:rsidTr="00B457C4">
        <w:tc>
          <w:tcPr>
            <w:tcW w:w="2022" w:type="dxa"/>
          </w:tcPr>
          <w:p w14:paraId="42A6BE37" w14:textId="77777777" w:rsidR="00730618" w:rsidRPr="00B74A0A" w:rsidRDefault="00730618" w:rsidP="00B457C4">
            <w:pPr>
              <w:widowControl w:val="0"/>
              <w:tabs>
                <w:tab w:val="left" w:pos="-4820"/>
              </w:tabs>
              <w:spacing w:line="276" w:lineRule="auto"/>
              <w:rPr>
                <w:rFonts w:cs="Arial"/>
                <w:sz w:val="22"/>
                <w:szCs w:val="22"/>
                <w:lang w:val="ro-RO"/>
              </w:rPr>
            </w:pPr>
            <m:oMathPara>
              <m:oMath>
                <m:r>
                  <w:rPr>
                    <w:rFonts w:ascii="Cambria Math" w:hAnsi="Cambria Math" w:cs="Arial"/>
                    <w:lang w:val="ro-RO"/>
                  </w:rPr>
                  <m:t>S</m:t>
                </m:r>
                <m:sSub>
                  <m:sSubPr>
                    <m:ctrlPr>
                      <w:rPr>
                        <w:rFonts w:ascii="Cambria Math" w:hAnsi="Cambria Math" w:cs="Arial"/>
                        <w:i/>
                        <w:sz w:val="22"/>
                        <w:szCs w:val="22"/>
                        <w:lang w:val="ro-RO"/>
                      </w:rPr>
                    </m:ctrlPr>
                  </m:sSubPr>
                  <m:e>
                    <m:r>
                      <w:rPr>
                        <w:rFonts w:ascii="Cambria Math" w:hAnsi="Cambria Math" w:cs="Arial"/>
                        <w:lang w:val="ro-RO"/>
                      </w:rPr>
                      <m:t>F</m:t>
                    </m:r>
                  </m:e>
                  <m:sub>
                    <m:r>
                      <w:rPr>
                        <w:rFonts w:ascii="Cambria Math" w:hAnsi="Cambria Math" w:cs="Arial"/>
                        <w:lang w:val="ro-RO"/>
                      </w:rPr>
                      <m:t>b</m:t>
                    </m:r>
                  </m:sub>
                </m:sSub>
              </m:oMath>
            </m:oMathPara>
          </w:p>
        </w:tc>
        <w:tc>
          <w:tcPr>
            <w:tcW w:w="7028" w:type="dxa"/>
          </w:tcPr>
          <w:p w14:paraId="11DC13A2" w14:textId="77777777" w:rsidR="00730618" w:rsidRPr="00B74A0A" w:rsidRDefault="00730618" w:rsidP="00B457C4">
            <w:pPr>
              <w:widowControl w:val="0"/>
              <w:tabs>
                <w:tab w:val="left" w:pos="-4820"/>
              </w:tabs>
              <w:spacing w:line="276" w:lineRule="auto"/>
              <w:rPr>
                <w:rFonts w:cs="Arial"/>
                <w:i/>
                <w:sz w:val="22"/>
                <w:szCs w:val="22"/>
                <w:lang w:val="ro-RO"/>
              </w:rPr>
            </w:pPr>
            <w:r w:rsidRPr="00B74A0A">
              <w:rPr>
                <w:rFonts w:cs="Arial"/>
                <w:i/>
                <w:sz w:val="22"/>
                <w:szCs w:val="22"/>
                <w:lang w:val="ro-RO"/>
              </w:rPr>
              <w:t>Splitting Factor for the oriented bidding zone border b in the computed direction</w:t>
            </w:r>
          </w:p>
        </w:tc>
      </w:tr>
      <w:tr w:rsidR="00730618" w:rsidRPr="00B74A0A" w14:paraId="12D5BAF6" w14:textId="77777777" w:rsidTr="00B457C4">
        <w:tc>
          <w:tcPr>
            <w:tcW w:w="2022" w:type="dxa"/>
          </w:tcPr>
          <w:p w14:paraId="21F1BFA1" w14:textId="77777777" w:rsidR="00730618" w:rsidRPr="00B74A0A" w:rsidRDefault="00730618" w:rsidP="00B457C4">
            <w:pPr>
              <w:widowControl w:val="0"/>
              <w:tabs>
                <w:tab w:val="left" w:pos="-4820"/>
              </w:tabs>
              <w:spacing w:line="276" w:lineRule="auto"/>
              <w:rPr>
                <w:rFonts w:cs="Arial"/>
                <w:sz w:val="22"/>
                <w:szCs w:val="22"/>
                <w:lang w:val="ro-RO"/>
              </w:rPr>
            </w:pPr>
            <m:oMathPara>
              <m:oMath>
                <m:r>
                  <w:rPr>
                    <w:rFonts w:ascii="Cambria Math" w:hAnsi="Cambria Math" w:cs="Arial"/>
                    <w:lang w:val="ro-RO"/>
                  </w:rPr>
                  <m:t>n</m:t>
                </m:r>
              </m:oMath>
            </m:oMathPara>
          </w:p>
        </w:tc>
        <w:tc>
          <w:tcPr>
            <w:tcW w:w="7028" w:type="dxa"/>
          </w:tcPr>
          <w:p w14:paraId="52514520" w14:textId="77777777" w:rsidR="00730618" w:rsidRPr="00B74A0A" w:rsidRDefault="00730618" w:rsidP="00B457C4">
            <w:pPr>
              <w:widowControl w:val="0"/>
              <w:tabs>
                <w:tab w:val="left" w:pos="-4820"/>
              </w:tabs>
              <w:spacing w:line="276" w:lineRule="auto"/>
              <w:rPr>
                <w:rFonts w:cs="Arial"/>
                <w:i/>
                <w:sz w:val="22"/>
                <w:szCs w:val="22"/>
              </w:rPr>
            </w:pPr>
            <w:r w:rsidRPr="00B74A0A">
              <w:rPr>
                <w:rFonts w:cs="Arial"/>
                <w:i/>
                <w:sz w:val="22"/>
                <w:szCs w:val="22"/>
              </w:rPr>
              <w:t>Oriented bidding-zone border, which does not belong to the coordination area</w:t>
            </w:r>
          </w:p>
        </w:tc>
      </w:tr>
      <w:tr w:rsidR="00730618" w:rsidRPr="00B74A0A" w14:paraId="68DE9017" w14:textId="77777777" w:rsidTr="00B457C4">
        <w:tc>
          <w:tcPr>
            <w:tcW w:w="2022" w:type="dxa"/>
          </w:tcPr>
          <w:p w14:paraId="2C723D25" w14:textId="77777777" w:rsidR="00730618" w:rsidRPr="00B74A0A" w:rsidRDefault="00730618" w:rsidP="00B457C4">
            <w:pPr>
              <w:widowControl w:val="0"/>
              <w:tabs>
                <w:tab w:val="left" w:pos="-4820"/>
              </w:tabs>
              <w:spacing w:line="276" w:lineRule="auto"/>
              <w:rPr>
                <w:rFonts w:cs="Arial"/>
                <w:sz w:val="22"/>
                <w:szCs w:val="22"/>
                <w:lang w:val="ro-RO"/>
              </w:rPr>
            </w:pPr>
            <m:oMathPara>
              <m:oMath>
                <m:r>
                  <w:rPr>
                    <w:rFonts w:ascii="Cambria Math" w:hAnsi="Cambria Math" w:cs="Arial"/>
                    <w:lang w:val="ro-RO"/>
                  </w:rPr>
                  <m:t>PTD</m:t>
                </m:r>
                <m:sSub>
                  <m:sSubPr>
                    <m:ctrlPr>
                      <w:rPr>
                        <w:rFonts w:ascii="Cambria Math" w:hAnsi="Cambria Math" w:cs="Arial"/>
                        <w:i/>
                        <w:sz w:val="22"/>
                        <w:szCs w:val="22"/>
                        <w:lang w:val="ro-RO"/>
                      </w:rPr>
                    </m:ctrlPr>
                  </m:sSubPr>
                  <m:e>
                    <m:r>
                      <w:rPr>
                        <w:rFonts w:ascii="Cambria Math" w:hAnsi="Cambria Math" w:cs="Arial"/>
                        <w:lang w:val="ro-RO"/>
                      </w:rPr>
                      <m:t>F</m:t>
                    </m:r>
                  </m:e>
                  <m:sub>
                    <m:r>
                      <w:rPr>
                        <w:rFonts w:ascii="Cambria Math" w:hAnsi="Cambria Math" w:cs="Arial"/>
                        <w:lang w:val="ro-RO"/>
                      </w:rPr>
                      <m:t>z2z,n</m:t>
                    </m:r>
                  </m:sub>
                </m:sSub>
              </m:oMath>
            </m:oMathPara>
          </w:p>
        </w:tc>
        <w:tc>
          <w:tcPr>
            <w:tcW w:w="7028" w:type="dxa"/>
          </w:tcPr>
          <w:p w14:paraId="35A07CC0" w14:textId="77777777" w:rsidR="00730618" w:rsidRPr="00B74A0A" w:rsidRDefault="00730618" w:rsidP="00B457C4">
            <w:pPr>
              <w:widowControl w:val="0"/>
              <w:tabs>
                <w:tab w:val="left" w:pos="-4820"/>
              </w:tabs>
              <w:spacing w:line="276" w:lineRule="auto"/>
              <w:rPr>
                <w:rFonts w:cs="Arial"/>
                <w:i/>
                <w:sz w:val="22"/>
                <w:szCs w:val="22"/>
              </w:rPr>
            </w:pPr>
            <w:r w:rsidRPr="00B74A0A">
              <w:rPr>
                <w:rFonts w:cs="Arial"/>
                <w:i/>
                <w:sz w:val="22"/>
                <w:szCs w:val="22"/>
              </w:rPr>
              <w:t>(Positive or negative) zone-to-zone PTDF associated with the oriented bidding-zone border n</w:t>
            </w:r>
          </w:p>
        </w:tc>
      </w:tr>
      <w:tr w:rsidR="00730618" w:rsidRPr="00B74A0A" w14:paraId="1FA29323" w14:textId="77777777" w:rsidTr="00B457C4">
        <w:tc>
          <w:tcPr>
            <w:tcW w:w="2022" w:type="dxa"/>
          </w:tcPr>
          <w:p w14:paraId="3D4AA0FE" w14:textId="77777777" w:rsidR="00730618" w:rsidRPr="00B74A0A" w:rsidRDefault="00730618" w:rsidP="00B457C4">
            <w:pPr>
              <w:widowControl w:val="0"/>
              <w:tabs>
                <w:tab w:val="left" w:pos="-4820"/>
              </w:tabs>
              <w:spacing w:line="276" w:lineRule="auto"/>
              <w:rPr>
                <w:rFonts w:cs="Arial"/>
                <w:sz w:val="22"/>
                <w:szCs w:val="22"/>
                <w:lang w:val="ro-RO"/>
              </w:rPr>
            </w:pPr>
            <m:oMathPara>
              <m:oMath>
                <m:r>
                  <w:rPr>
                    <w:rFonts w:ascii="Cambria Math" w:hAnsi="Cambria Math" w:cs="Arial"/>
                    <w:lang w:val="ro-RO"/>
                  </w:rPr>
                  <m:t>CGM</m:t>
                </m:r>
                <m:sSub>
                  <m:sSubPr>
                    <m:ctrlPr>
                      <w:rPr>
                        <w:rFonts w:ascii="Cambria Math" w:hAnsi="Cambria Math" w:cs="Arial"/>
                        <w:i/>
                        <w:sz w:val="22"/>
                        <w:szCs w:val="22"/>
                        <w:lang w:val="ro-RO"/>
                      </w:rPr>
                    </m:ctrlPr>
                  </m:sSubPr>
                  <m:e>
                    <m:r>
                      <w:rPr>
                        <w:rFonts w:ascii="Cambria Math" w:hAnsi="Cambria Math" w:cs="Arial"/>
                        <w:lang w:val="ro-RO"/>
                      </w:rPr>
                      <m:t>E</m:t>
                    </m:r>
                  </m:e>
                  <m:sub>
                    <m:r>
                      <w:rPr>
                        <w:rFonts w:ascii="Cambria Math" w:hAnsi="Cambria Math" w:cs="Arial"/>
                        <w:lang w:val="ro-RO"/>
                      </w:rPr>
                      <m:t>n</m:t>
                    </m:r>
                  </m:sub>
                </m:sSub>
              </m:oMath>
            </m:oMathPara>
          </w:p>
        </w:tc>
        <w:tc>
          <w:tcPr>
            <w:tcW w:w="7028" w:type="dxa"/>
          </w:tcPr>
          <w:p w14:paraId="730EF38E" w14:textId="77777777" w:rsidR="00730618" w:rsidRPr="00B74A0A" w:rsidRDefault="00730618" w:rsidP="00B457C4">
            <w:pPr>
              <w:widowControl w:val="0"/>
              <w:tabs>
                <w:tab w:val="left" w:pos="-4820"/>
              </w:tabs>
              <w:spacing w:line="276" w:lineRule="auto"/>
              <w:rPr>
                <w:rFonts w:cs="Arial"/>
                <w:i/>
                <w:sz w:val="22"/>
                <w:szCs w:val="22"/>
              </w:rPr>
            </w:pPr>
            <w:r w:rsidRPr="00B74A0A">
              <w:rPr>
                <w:rFonts w:cs="Arial"/>
                <w:i/>
                <w:sz w:val="22"/>
                <w:szCs w:val="22"/>
              </w:rPr>
              <w:t>CGM forecast of the net exchange on the oriented bidding-zone border n.</w:t>
            </w:r>
          </w:p>
        </w:tc>
      </w:tr>
    </w:tbl>
    <w:p w14:paraId="3AF365A1" w14:textId="77777777" w:rsidR="00730618" w:rsidRPr="00B74A0A" w:rsidRDefault="00730618" w:rsidP="00730618">
      <w:pPr>
        <w:tabs>
          <w:tab w:val="left" w:pos="-4820"/>
        </w:tabs>
        <w:spacing w:line="276" w:lineRule="auto"/>
        <w:rPr>
          <w:rFonts w:cs="Arial"/>
        </w:rPr>
      </w:pPr>
    </w:p>
    <w:p w14:paraId="268EA902" w14:textId="0286CEC4" w:rsidR="00730618" w:rsidRDefault="00181B83" w:rsidP="00730618">
      <w:pPr>
        <w:tabs>
          <w:tab w:val="left" w:pos="-4820"/>
        </w:tabs>
        <w:spacing w:line="276" w:lineRule="auto"/>
        <w:jc w:val="both"/>
        <w:rPr>
          <w:rFonts w:cs="Arial"/>
        </w:rPr>
      </w:pPr>
      <w:r>
        <w:rPr>
          <w:rFonts w:cs="Arial"/>
        </w:rPr>
        <w:t>I</w:t>
      </w:r>
      <w:r w:rsidR="00730618" w:rsidRPr="00B74A0A">
        <w:rPr>
          <w:rFonts w:cs="Arial"/>
        </w:rPr>
        <w:t xml:space="preserve">f the margin of a limiting CNEC is below the minimum margin, an additional net transfer capacity </w:t>
      </w:r>
      <m:oMath>
        <m:r>
          <w:rPr>
            <w:rFonts w:ascii="Cambria Math" w:hAnsi="Cambria Math" w:cs="Arial"/>
          </w:rPr>
          <m:t>ANT</m:t>
        </m:r>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oMath>
      <w:r w:rsidR="00730618" w:rsidRPr="00B74A0A">
        <w:rPr>
          <w:rFonts w:cs="Arial"/>
        </w:rPr>
        <w:t xml:space="preserve"> is computed to reach the minimum margin:</w:t>
      </w:r>
    </w:p>
    <w:p w14:paraId="6E24230C" w14:textId="77777777" w:rsidR="00CC34AA" w:rsidRPr="00B74A0A" w:rsidRDefault="00CC34AA" w:rsidP="00730618">
      <w:pPr>
        <w:tabs>
          <w:tab w:val="left" w:pos="-4820"/>
        </w:tabs>
        <w:spacing w:line="276" w:lineRule="auto"/>
        <w:jc w:val="both"/>
        <w:rPr>
          <w:rFonts w:cs="Arial"/>
        </w:rPr>
      </w:pPr>
    </w:p>
    <w:p w14:paraId="49F66B32" w14:textId="77777777" w:rsidR="00730618" w:rsidRPr="00B74A0A" w:rsidRDefault="00730618" w:rsidP="00730618">
      <w:pPr>
        <w:tabs>
          <w:tab w:val="left" w:pos="-4820"/>
        </w:tabs>
        <w:spacing w:line="276" w:lineRule="auto"/>
        <w:rPr>
          <w:rFonts w:cs="Arial"/>
        </w:rPr>
      </w:pPr>
      <m:oMathPara>
        <m:oMath>
          <m:r>
            <w:rPr>
              <w:rFonts w:ascii="Cambria Math" w:hAnsi="Cambria Math" w:cs="Arial"/>
            </w:rPr>
            <m:t>ANT</m:t>
          </m:r>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r>
            <w:rPr>
              <w:rFonts w:ascii="Cambria Math" w:hAnsi="Cambria Math" w:cs="Arial"/>
            </w:rPr>
            <m:t>=</m:t>
          </m:r>
          <m:f>
            <m:fPr>
              <m:ctrlPr>
                <w:rPr>
                  <w:rFonts w:ascii="Cambria Math" w:hAnsi="Cambria Math" w:cs="Arial"/>
                  <w:i/>
                </w:rPr>
              </m:ctrlPr>
            </m:fPr>
            <m:num>
              <m:r>
                <w:rPr>
                  <w:rFonts w:ascii="Cambria Math" w:hAnsi="Cambria Math" w:cs="Arial"/>
                </w:rPr>
                <m:t>minMargin-Margin</m:t>
              </m:r>
            </m:num>
            <m:den>
              <m:nary>
                <m:naryPr>
                  <m:chr m:val="∑"/>
                  <m:limLoc m:val="subSup"/>
                  <m:supHide m:val="1"/>
                  <m:ctrlPr>
                    <w:rPr>
                      <w:rFonts w:ascii="Cambria Math" w:hAnsi="Cambria Math" w:cs="Arial"/>
                      <w:i/>
                    </w:rPr>
                  </m:ctrlPr>
                </m:naryPr>
                <m:sub>
                  <m:r>
                    <w:rPr>
                      <w:rFonts w:ascii="Cambria Math" w:hAnsi="Cambria Math" w:cs="Arial"/>
                    </w:rPr>
                    <m:t>b</m:t>
                  </m:r>
                  <m:r>
                    <m:rPr>
                      <m:sty m:val="p"/>
                    </m:rPr>
                    <w:rPr>
                      <w:rFonts w:ascii="Cambria Math" w:hAnsi="Cambria Math" w:cs="Arial"/>
                    </w:rPr>
                    <m:t>∈</m:t>
                  </m:r>
                  <m:r>
                    <w:rPr>
                      <w:rFonts w:ascii="Cambria Math" w:hAnsi="Cambria Math" w:cs="Arial"/>
                    </w:rPr>
                    <m:t>coordination area</m:t>
                  </m:r>
                  <m:r>
                    <m:rPr>
                      <m:sty m:val="p"/>
                    </m:rPr>
                    <w:rPr>
                      <w:rFonts w:ascii="Cambria Math" w:hAnsi="Cambria Math" w:cs="Arial"/>
                    </w:rPr>
                    <m:t>∩</m:t>
                  </m:r>
                  <m:r>
                    <w:rPr>
                      <w:rFonts w:ascii="Cambria Math" w:hAnsi="Cambria Math" w:cs="Arial"/>
                    </w:rPr>
                    <m:t>computed direction</m:t>
                  </m:r>
                </m:sub>
                <m:sup/>
                <m:e>
                  <m:r>
                    <w:rPr>
                      <w:rFonts w:ascii="Cambria Math" w:hAnsi="Cambria Math" w:cs="Arial"/>
                    </w:rPr>
                    <m:t>pPTD</m:t>
                  </m:r>
                  <m:sSub>
                    <m:sSubPr>
                      <m:ctrlPr>
                        <w:rPr>
                          <w:rFonts w:ascii="Cambria Math" w:hAnsi="Cambria Math" w:cs="Arial"/>
                          <w:i/>
                        </w:rPr>
                      </m:ctrlPr>
                    </m:sSubPr>
                    <m:e>
                      <m:r>
                        <w:rPr>
                          <w:rFonts w:ascii="Cambria Math" w:hAnsi="Cambria Math" w:cs="Arial"/>
                        </w:rPr>
                        <m:t>F</m:t>
                      </m:r>
                    </m:e>
                    <m:sub>
                      <m:r>
                        <w:rPr>
                          <w:rFonts w:ascii="Cambria Math" w:hAnsi="Cambria Math" w:cs="Arial"/>
                        </w:rPr>
                        <m:t>z2z,b</m:t>
                      </m:r>
                    </m:sub>
                  </m:sSub>
                  <m:r>
                    <w:rPr>
                      <w:rFonts w:ascii="Cambria Math" w:hAnsi="Cambria Math" w:cs="Arial"/>
                    </w:rPr>
                    <m:t>*S</m:t>
                  </m:r>
                  <m:sSub>
                    <m:sSubPr>
                      <m:ctrlPr>
                        <w:rPr>
                          <w:rFonts w:ascii="Cambria Math" w:hAnsi="Cambria Math" w:cs="Arial"/>
                          <w:i/>
                        </w:rPr>
                      </m:ctrlPr>
                    </m:sSubPr>
                    <m:e>
                      <m:r>
                        <w:rPr>
                          <w:rFonts w:ascii="Cambria Math" w:hAnsi="Cambria Math" w:cs="Arial"/>
                        </w:rPr>
                        <m:t>F</m:t>
                      </m:r>
                    </m:e>
                    <m:sub>
                      <m:r>
                        <w:rPr>
                          <w:rFonts w:ascii="Cambria Math" w:hAnsi="Cambria Math" w:cs="Arial"/>
                        </w:rPr>
                        <m:t>b</m:t>
                      </m:r>
                    </m:sub>
                  </m:sSub>
                </m:e>
              </m:nary>
            </m:den>
          </m:f>
        </m:oMath>
      </m:oMathPara>
    </w:p>
    <w:p w14:paraId="0D7B4338" w14:textId="77777777" w:rsidR="00730618" w:rsidRPr="00B74A0A" w:rsidRDefault="00730618" w:rsidP="00730618">
      <w:pPr>
        <w:tabs>
          <w:tab w:val="left" w:pos="-4820"/>
        </w:tabs>
        <w:spacing w:line="276" w:lineRule="auto"/>
        <w:rPr>
          <w:rFonts w:cs="Arial"/>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7028"/>
      </w:tblGrid>
      <w:tr w:rsidR="00730618" w:rsidRPr="00B74A0A" w14:paraId="57F827AB" w14:textId="77777777" w:rsidTr="00B457C4">
        <w:tc>
          <w:tcPr>
            <w:tcW w:w="2022" w:type="dxa"/>
            <w:hideMark/>
          </w:tcPr>
          <w:p w14:paraId="4CCE7DF4" w14:textId="77777777" w:rsidR="00730618" w:rsidRPr="00B74A0A" w:rsidRDefault="00730618" w:rsidP="00B457C4">
            <w:pPr>
              <w:widowControl w:val="0"/>
              <w:tabs>
                <w:tab w:val="left" w:pos="-4820"/>
              </w:tabs>
              <w:spacing w:line="276" w:lineRule="auto"/>
              <w:rPr>
                <w:rFonts w:cs="Arial"/>
                <w:i/>
                <w:sz w:val="22"/>
                <w:szCs w:val="22"/>
              </w:rPr>
            </w:pPr>
            <m:oMathPara>
              <m:oMathParaPr>
                <m:jc m:val="right"/>
              </m:oMathParaPr>
              <m:oMath>
                <m:r>
                  <w:rPr>
                    <w:rFonts w:ascii="Cambria Math" w:hAnsi="Cambria Math" w:cs="Arial"/>
                  </w:rPr>
                  <m:t>ANT</m:t>
                </m:r>
                <m:sSub>
                  <m:sSubPr>
                    <m:ctrlPr>
                      <w:rPr>
                        <w:rFonts w:ascii="Cambria Math" w:hAnsi="Cambria Math" w:cs="Arial"/>
                        <w:i/>
                        <w:sz w:val="22"/>
                        <w:szCs w:val="22"/>
                      </w:rPr>
                    </m:ctrlPr>
                  </m:sSubPr>
                  <m:e>
                    <m:r>
                      <w:rPr>
                        <w:rFonts w:ascii="Cambria Math" w:hAnsi="Cambria Math" w:cs="Arial"/>
                      </w:rPr>
                      <m:t>C</m:t>
                    </m:r>
                  </m:e>
                  <m:sub>
                    <m:r>
                      <w:rPr>
                        <w:rFonts w:ascii="Cambria Math" w:hAnsi="Cambria Math" w:cs="Arial"/>
                      </w:rPr>
                      <m:t>i</m:t>
                    </m:r>
                  </m:sub>
                </m:sSub>
              </m:oMath>
            </m:oMathPara>
          </w:p>
        </w:tc>
        <w:tc>
          <w:tcPr>
            <w:tcW w:w="7028" w:type="dxa"/>
            <w:hideMark/>
          </w:tcPr>
          <w:p w14:paraId="28C2E5D7" w14:textId="77777777" w:rsidR="00730618" w:rsidRPr="00B74A0A" w:rsidRDefault="00730618" w:rsidP="00B457C4">
            <w:pPr>
              <w:widowControl w:val="0"/>
              <w:tabs>
                <w:tab w:val="left" w:pos="-4820"/>
              </w:tabs>
              <w:spacing w:line="276" w:lineRule="auto"/>
              <w:rPr>
                <w:rFonts w:cs="Arial"/>
                <w:i/>
                <w:sz w:val="22"/>
                <w:szCs w:val="22"/>
              </w:rPr>
            </w:pPr>
            <w:r w:rsidRPr="00B74A0A">
              <w:rPr>
                <w:rFonts w:cs="Arial"/>
                <w:i/>
                <w:sz w:val="22"/>
                <w:szCs w:val="22"/>
              </w:rPr>
              <w:t>Additional net transfer capacity related to CNEC i</w:t>
            </w:r>
          </w:p>
        </w:tc>
      </w:tr>
      <w:tr w:rsidR="00730618" w:rsidRPr="00B74A0A" w14:paraId="6F8019F3" w14:textId="77777777" w:rsidTr="00B457C4">
        <w:tc>
          <w:tcPr>
            <w:tcW w:w="2022" w:type="dxa"/>
          </w:tcPr>
          <w:p w14:paraId="6616BEA9" w14:textId="77777777" w:rsidR="00730618" w:rsidRPr="00B74A0A" w:rsidRDefault="00730618" w:rsidP="00B457C4">
            <w:pPr>
              <w:widowControl w:val="0"/>
              <w:tabs>
                <w:tab w:val="left" w:pos="-4820"/>
              </w:tabs>
              <w:spacing w:line="276" w:lineRule="auto"/>
              <w:rPr>
                <w:rFonts w:cs="Arial"/>
                <w:sz w:val="22"/>
                <w:szCs w:val="22"/>
                <w:lang w:val="ro-RO"/>
              </w:rPr>
            </w:pPr>
            <m:oMathPara>
              <m:oMathParaPr>
                <m:jc m:val="right"/>
              </m:oMathParaPr>
              <m:oMath>
                <m:r>
                  <w:rPr>
                    <w:rFonts w:ascii="Cambria Math" w:hAnsi="Cambria Math" w:cs="Arial"/>
                    <w:lang w:val="ro-RO"/>
                  </w:rPr>
                  <m:t>minMargin</m:t>
                </m:r>
              </m:oMath>
            </m:oMathPara>
          </w:p>
        </w:tc>
        <w:tc>
          <w:tcPr>
            <w:tcW w:w="7028" w:type="dxa"/>
          </w:tcPr>
          <w:p w14:paraId="119D36AF" w14:textId="77777777" w:rsidR="00730618" w:rsidRPr="00B74A0A" w:rsidRDefault="00730618" w:rsidP="00B457C4">
            <w:pPr>
              <w:widowControl w:val="0"/>
              <w:tabs>
                <w:tab w:val="left" w:pos="-4820"/>
              </w:tabs>
              <w:spacing w:line="276" w:lineRule="auto"/>
              <w:rPr>
                <w:rFonts w:cs="Arial"/>
                <w:i/>
                <w:sz w:val="22"/>
                <w:szCs w:val="22"/>
              </w:rPr>
            </w:pPr>
            <w:r w:rsidRPr="00B74A0A">
              <w:rPr>
                <w:rFonts w:cs="Arial"/>
                <w:i/>
                <w:sz w:val="22"/>
                <w:szCs w:val="22"/>
              </w:rPr>
              <w:t xml:space="preserve">Minimum Margin Available for Cross-Zonal </w:t>
            </w:r>
            <w:r>
              <w:rPr>
                <w:rFonts w:cs="Arial"/>
                <w:i/>
                <w:sz w:val="22"/>
                <w:szCs w:val="22"/>
              </w:rPr>
              <w:t>Trade</w:t>
            </w:r>
          </w:p>
          <w:p w14:paraId="57479085" w14:textId="77777777" w:rsidR="00730618" w:rsidRPr="00B74A0A" w:rsidRDefault="00730618" w:rsidP="00B457C4">
            <w:pPr>
              <w:widowControl w:val="0"/>
              <w:tabs>
                <w:tab w:val="left" w:pos="-4820"/>
              </w:tabs>
              <w:spacing w:line="276" w:lineRule="auto"/>
              <w:rPr>
                <w:rFonts w:cs="Arial"/>
                <w:i/>
                <w:sz w:val="22"/>
                <w:szCs w:val="22"/>
              </w:rPr>
            </w:pPr>
          </w:p>
        </w:tc>
      </w:tr>
    </w:tbl>
    <w:p w14:paraId="2070851A" w14:textId="77777777" w:rsidR="00730618" w:rsidRPr="00B74A0A" w:rsidRDefault="00730618" w:rsidP="0029797E">
      <w:pPr>
        <w:tabs>
          <w:tab w:val="left" w:pos="-4820"/>
        </w:tabs>
        <w:spacing w:after="200" w:line="276" w:lineRule="auto"/>
        <w:jc w:val="both"/>
        <w:rPr>
          <w:rFonts w:cs="Arial"/>
        </w:rPr>
      </w:pPr>
      <w:r w:rsidRPr="00B74A0A">
        <w:rPr>
          <w:rFonts w:cs="Arial"/>
        </w:rPr>
        <w:t>If the margin of a limiting CNEC is equal or above the minimum margin, the additional net transfer capacity associated to that CNEC is equal to 0.</w:t>
      </w:r>
    </w:p>
    <w:p w14:paraId="17AEF9CF" w14:textId="77777777" w:rsidR="00730618" w:rsidRPr="00B74A0A" w:rsidRDefault="00730618" w:rsidP="00730618">
      <w:pPr>
        <w:tabs>
          <w:tab w:val="left" w:pos="-4820"/>
        </w:tabs>
        <w:spacing w:line="276" w:lineRule="auto"/>
        <w:jc w:val="both"/>
        <w:rPr>
          <w:rFonts w:cs="Arial"/>
        </w:rPr>
      </w:pPr>
      <w:r w:rsidRPr="00B74A0A">
        <w:rPr>
          <w:rFonts w:cs="Arial"/>
        </w:rPr>
        <w:t xml:space="preserve">The adjusted net transfer capacity </w:t>
      </w:r>
      <w:r>
        <w:rPr>
          <w:rFonts w:cs="Arial"/>
        </w:rPr>
        <w:t xml:space="preserve">ANTC for all the North Greek and South Romanian borders </w:t>
      </w:r>
      <w:r w:rsidRPr="00B74A0A">
        <w:rPr>
          <w:rFonts w:cs="Arial"/>
        </w:rPr>
        <w:t>is then equal to:</w:t>
      </w:r>
    </w:p>
    <w:p w14:paraId="2EB238FE" w14:textId="6E37D1C7" w:rsidR="00730618" w:rsidRPr="001A4460" w:rsidRDefault="00730618" w:rsidP="00730618">
      <w:pPr>
        <w:tabs>
          <w:tab w:val="left" w:pos="-4820"/>
        </w:tabs>
        <w:spacing w:line="276" w:lineRule="auto"/>
        <w:rPr>
          <w:rFonts w:cs="Arial"/>
        </w:rPr>
      </w:pPr>
      <m:oMathPara>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m:t>
              </m:r>
            </m:sub>
          </m:sSub>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initial</m:t>
              </m:r>
            </m:sub>
          </m:sSub>
          <m:r>
            <w:rPr>
              <w:rFonts w:ascii="Cambria Math" w:hAnsi="Cambria Math" w:cs="Arial"/>
            </w:rPr>
            <m:t>+ANTC</m:t>
          </m:r>
        </m:oMath>
      </m:oMathPara>
    </w:p>
    <w:p w14:paraId="6DE4415E" w14:textId="336A47EF" w:rsidR="00D96612" w:rsidRPr="00CD5A1A" w:rsidRDefault="00D96612" w:rsidP="00730618">
      <w:pPr>
        <w:tabs>
          <w:tab w:val="left" w:pos="-4820"/>
        </w:tabs>
        <w:spacing w:line="276" w:lineRule="auto"/>
        <w:rPr>
          <w:rFonts w:cs="Arial"/>
        </w:rPr>
      </w:pPr>
      <w:r>
        <w:rPr>
          <w:rFonts w:cs="Arial"/>
        </w:rPr>
        <w:t xml:space="preserve">where  </w:t>
      </w:r>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initial</m:t>
            </m:r>
          </m:sub>
        </m:sSub>
      </m:oMath>
      <w:r w:rsidR="001329BB">
        <w:rPr>
          <w:rFonts w:cs="Arial"/>
        </w:rPr>
        <w:t xml:space="preserve"> </w:t>
      </w:r>
      <w:r>
        <w:rPr>
          <w:rFonts w:cs="Arial"/>
        </w:rPr>
        <w:t xml:space="preserve">is the total NTC value on the North Greek borders/South Romanian borders </w:t>
      </w:r>
      <w:r w:rsidR="00CD5A1A">
        <w:rPr>
          <w:rFonts w:cs="Arial"/>
        </w:rPr>
        <w:t xml:space="preserve">for either imports or exports </w:t>
      </w:r>
      <w:r>
        <w:rPr>
          <w:rFonts w:cs="Arial"/>
        </w:rPr>
        <w:t xml:space="preserve">respectively </w:t>
      </w:r>
      <w:r w:rsidR="00CD5A1A">
        <w:rPr>
          <w:rFonts w:cs="Arial"/>
        </w:rPr>
        <w:t>as evaluated from the</w:t>
      </w:r>
      <w:r w:rsidR="00CD5A1A" w:rsidRPr="005074C9">
        <w:rPr>
          <w:rFonts w:cs="Arial"/>
        </w:rPr>
        <w:t xml:space="preserve"> </w:t>
      </w:r>
      <w:r w:rsidR="00CD5A1A">
        <w:rPr>
          <w:rFonts w:cs="Arial"/>
        </w:rPr>
        <w:t>section (</w:t>
      </w:r>
      <w:r w:rsidR="00CF445F">
        <w:rPr>
          <w:rFonts w:cs="Arial"/>
        </w:rPr>
        <w:t>3</w:t>
      </w:r>
      <w:r w:rsidR="00CD5A1A">
        <w:rPr>
          <w:rFonts w:cs="Arial"/>
        </w:rPr>
        <w:t xml:space="preserve">) of this article. </w:t>
      </w:r>
    </w:p>
    <w:p w14:paraId="410DDC09" w14:textId="77777777" w:rsidR="00D96612" w:rsidRDefault="00D96612" w:rsidP="00730618">
      <w:pPr>
        <w:tabs>
          <w:tab w:val="left" w:pos="-4820"/>
        </w:tabs>
        <w:spacing w:line="276" w:lineRule="auto"/>
        <w:rPr>
          <w:rFonts w:cs="Arial"/>
        </w:rPr>
      </w:pPr>
    </w:p>
    <w:p w14:paraId="0C0E9833" w14:textId="68AC9CF2" w:rsidR="00730618" w:rsidRDefault="00730618" w:rsidP="00730618">
      <w:pPr>
        <w:tabs>
          <w:tab w:val="left" w:pos="-4820"/>
        </w:tabs>
        <w:spacing w:line="276" w:lineRule="auto"/>
        <w:rPr>
          <w:rFonts w:cs="Arial"/>
        </w:rPr>
      </w:pPr>
      <w:r>
        <w:rPr>
          <w:rFonts w:cs="Arial"/>
        </w:rPr>
        <w:t xml:space="preserve">For the individual borders (i) of the </w:t>
      </w:r>
      <w:r w:rsidRPr="001A4460">
        <w:rPr>
          <w:rFonts w:cs="Arial"/>
        </w:rPr>
        <w:t>North Greek and South Romanian borders</w:t>
      </w:r>
      <w:r>
        <w:rPr>
          <w:rFonts w:cs="Arial"/>
        </w:rPr>
        <w:t xml:space="preserve">, the adjusted net transfer capacity is given by the following equation. </w:t>
      </w:r>
    </w:p>
    <w:p w14:paraId="26F19699" w14:textId="77777777" w:rsidR="00730618" w:rsidRDefault="00730618" w:rsidP="00730618">
      <w:pPr>
        <w:tabs>
          <w:tab w:val="left" w:pos="-4820"/>
        </w:tabs>
        <w:spacing w:line="276" w:lineRule="auto"/>
        <w:rPr>
          <w:rFonts w:cs="Arial"/>
        </w:rPr>
      </w:pPr>
    </w:p>
    <w:p w14:paraId="1D2B3CA8" w14:textId="19C692ED" w:rsidR="00730618" w:rsidRPr="001A4460" w:rsidRDefault="00730618" w:rsidP="00730618">
      <w:pPr>
        <w:tabs>
          <w:tab w:val="left" w:pos="-4820"/>
        </w:tabs>
        <w:spacing w:line="276" w:lineRule="auto"/>
        <w:rPr>
          <w:rFonts w:cs="Arial"/>
        </w:rPr>
      </w:pPr>
      <m:oMathPara>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adj,i</m:t>
              </m:r>
            </m:sub>
          </m:sSub>
          <m:r>
            <w:rPr>
              <w:rFonts w:ascii="Cambria Math" w:hAnsi="Cambria Math" w:cs="Arial"/>
            </w:rPr>
            <m:t>=</m:t>
          </m:r>
          <m:sSub>
            <m:sSubPr>
              <m:ctrlPr>
                <w:rPr>
                  <w:rFonts w:ascii="Cambria Math" w:hAnsi="Cambria Math" w:cs="Arial"/>
                  <w:i/>
                </w:rPr>
              </m:ctrlPr>
            </m:sSubPr>
            <m:e>
              <m:r>
                <w:rPr>
                  <w:rFonts w:ascii="Cambria Math" w:hAnsi="Cambria Math" w:cs="Arial"/>
                </w:rPr>
                <m:t>SF</m:t>
              </m:r>
            </m:e>
            <m:sub>
              <m:r>
                <w:rPr>
                  <w:rFonts w:ascii="Cambria Math" w:hAnsi="Cambria Math" w:cs="Arial"/>
                </w:rPr>
                <m:t>i</m:t>
              </m:r>
            </m:sub>
          </m:sSub>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m:t>
              </m:r>
            </m:sub>
          </m:sSub>
        </m:oMath>
      </m:oMathPara>
    </w:p>
    <w:p w14:paraId="5EFAB698" w14:textId="7A7ECEDC" w:rsidR="00730618" w:rsidRDefault="00D34126" w:rsidP="005074C9">
      <w:pPr>
        <w:tabs>
          <w:tab w:val="left" w:pos="-4820"/>
        </w:tabs>
        <w:spacing w:after="200" w:line="276" w:lineRule="auto"/>
        <w:rPr>
          <w:rFonts w:cs="Arial"/>
        </w:rPr>
      </w:pPr>
      <w:r w:rsidRPr="00D34126">
        <w:rPr>
          <w:rFonts w:cs="Arial"/>
        </w:rPr>
        <w:t xml:space="preserve">where </w:t>
      </w:r>
      <m:oMath>
        <m:sSub>
          <m:sSubPr>
            <m:ctrlPr>
              <w:rPr>
                <w:rFonts w:ascii="Cambria Math" w:hAnsi="Cambria Math" w:cs="Arial"/>
                <w:i/>
              </w:rPr>
            </m:ctrlPr>
          </m:sSubPr>
          <m:e>
            <m:r>
              <w:rPr>
                <w:rFonts w:ascii="Cambria Math" w:hAnsi="Cambria Math" w:cs="Arial"/>
              </w:rPr>
              <m:t>SF</m:t>
            </m:r>
          </m:e>
          <m:sub>
            <m:r>
              <w:rPr>
                <w:rFonts w:ascii="Cambria Math" w:hAnsi="Cambria Math" w:cs="Arial"/>
              </w:rPr>
              <m:t>i</m:t>
            </m:r>
          </m:sub>
        </m:sSub>
      </m:oMath>
      <w:r w:rsidRPr="00D34126">
        <w:rPr>
          <w:rFonts w:cs="Arial"/>
        </w:rPr>
        <w:t xml:space="preserve"> is the splitting factor </w:t>
      </w:r>
      <w:r>
        <w:rPr>
          <w:rFonts w:cs="Arial"/>
        </w:rPr>
        <w:t xml:space="preserve">for the concerned border. </w:t>
      </w:r>
    </w:p>
    <w:p w14:paraId="42F60994" w14:textId="6DD2B5EB" w:rsidR="00AC44D3" w:rsidRDefault="00AC44D3" w:rsidP="0029797E">
      <w:pPr>
        <w:tabs>
          <w:tab w:val="left" w:pos="-4820"/>
        </w:tabs>
        <w:spacing w:line="276" w:lineRule="auto"/>
        <w:rPr>
          <w:rFonts w:cs="Arial"/>
        </w:rPr>
      </w:pPr>
      <w:r>
        <w:rPr>
          <w:rFonts w:cs="Arial"/>
        </w:rPr>
        <w:t>For the BG-GR and BG-RO borders the following equations shall apply respectively</w:t>
      </w:r>
      <w:r w:rsidR="00126B3A">
        <w:rPr>
          <w:rFonts w:cs="Arial"/>
        </w:rPr>
        <w:t>,</w:t>
      </w:r>
      <w:r w:rsidR="008F01BD">
        <w:rPr>
          <w:rFonts w:cs="Arial"/>
        </w:rPr>
        <w:t xml:space="preserve"> according to </w:t>
      </w:r>
      <w:r w:rsidR="0029797E">
        <w:rPr>
          <w:rFonts w:cs="Arial"/>
        </w:rPr>
        <w:t xml:space="preserve">Article </w:t>
      </w:r>
      <w:r w:rsidR="008F01BD">
        <w:rPr>
          <w:rFonts w:cs="Arial"/>
        </w:rPr>
        <w:t>10(6)</w:t>
      </w:r>
      <w:r w:rsidR="00126B3A">
        <w:rPr>
          <w:rFonts w:cs="Arial"/>
        </w:rPr>
        <w:t xml:space="preserve">, in </w:t>
      </w:r>
      <w:r w:rsidR="00126B3A" w:rsidRPr="00126B3A">
        <w:rPr>
          <w:rFonts w:cs="Arial"/>
        </w:rPr>
        <w:t>order to calculate the final NTC values for each border and direction</w:t>
      </w:r>
      <w:r w:rsidR="008F01BD">
        <w:rPr>
          <w:rFonts w:cs="Arial"/>
        </w:rPr>
        <w:t>.</w:t>
      </w:r>
    </w:p>
    <w:p w14:paraId="1F0A8FB9" w14:textId="2DB1A7AF" w:rsidR="008F01BD" w:rsidRPr="008F01BD" w:rsidRDefault="008F01BD" w:rsidP="005074C9">
      <w:pPr>
        <w:tabs>
          <w:tab w:val="left" w:pos="-4820"/>
        </w:tabs>
        <w:spacing w:after="200" w:line="276" w:lineRule="auto"/>
        <w:rPr>
          <w:rFonts w:cs="Arial"/>
        </w:rPr>
      </w:pPr>
      <m:oMathPara>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BG-GR</m:t>
              </m:r>
            </m:sub>
          </m:sSub>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adj,BG-GR</m:t>
              </m:r>
            </m:sub>
          </m:sSub>
          <m:r>
            <w:rPr>
              <w:rFonts w:ascii="Cambria Math" w:hAnsi="Cambria Math" w:cs="Arial"/>
            </w:rPr>
            <m:t>-CVA-IVA</m:t>
          </m:r>
        </m:oMath>
      </m:oMathPara>
    </w:p>
    <w:p w14:paraId="2F66E62D" w14:textId="17E18806" w:rsidR="008F01BD" w:rsidRDefault="008F01BD" w:rsidP="008F01BD">
      <w:pPr>
        <w:tabs>
          <w:tab w:val="left" w:pos="-4820"/>
        </w:tabs>
        <w:spacing w:after="200" w:line="276" w:lineRule="auto"/>
        <w:rPr>
          <w:rFonts w:cs="Arial"/>
        </w:rPr>
      </w:pPr>
      <m:oMathPara>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GR-BG</m:t>
              </m:r>
            </m:sub>
          </m:sSub>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adj,GR-BG</m:t>
              </m:r>
            </m:sub>
          </m:sSub>
          <m:r>
            <w:rPr>
              <w:rFonts w:ascii="Cambria Math" w:hAnsi="Cambria Math" w:cs="Arial"/>
            </w:rPr>
            <m:t>-CVA-IVA</m:t>
          </m:r>
        </m:oMath>
      </m:oMathPara>
    </w:p>
    <w:p w14:paraId="07C29B5D" w14:textId="287B6382" w:rsidR="008F01BD" w:rsidRDefault="008F01BD" w:rsidP="008F01BD">
      <w:pPr>
        <w:tabs>
          <w:tab w:val="left" w:pos="-4820"/>
        </w:tabs>
        <w:spacing w:after="200" w:line="276" w:lineRule="auto"/>
        <w:rPr>
          <w:rFonts w:cs="Arial"/>
        </w:rPr>
      </w:pPr>
      <m:oMathPara>
        <m:oMath>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BG-RO</m:t>
              </m:r>
            </m:sub>
          </m:sSub>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adj,BG-RO</m:t>
              </m:r>
            </m:sub>
          </m:sSub>
          <m:r>
            <w:rPr>
              <w:rFonts w:ascii="Cambria Math" w:hAnsi="Cambria Math" w:cs="Arial"/>
            </w:rPr>
            <m:t>-CVA-IVA</m:t>
          </m:r>
        </m:oMath>
      </m:oMathPara>
    </w:p>
    <w:p w14:paraId="2E6326D9" w14:textId="2B5EDE32" w:rsidR="00094B76" w:rsidRPr="00CF445F" w:rsidRDefault="008F01BD" w:rsidP="00CF445F">
      <w:pPr>
        <w:tabs>
          <w:tab w:val="left" w:pos="-4820"/>
        </w:tabs>
        <w:spacing w:after="200" w:line="276" w:lineRule="auto"/>
        <w:rPr>
          <w:rFonts w:cs="Arial"/>
        </w:rPr>
      </w:pPr>
      <m:oMathPara>
        <m:oMath>
          <m:r>
            <w:rPr>
              <w:rFonts w:ascii="Cambria Math" w:hAnsi="Cambria Math" w:cs="Arial"/>
            </w:rPr>
            <w:lastRenderedPageBreak/>
            <m:t>NT</m:t>
          </m:r>
          <m:sSub>
            <m:sSubPr>
              <m:ctrlPr>
                <w:rPr>
                  <w:rFonts w:ascii="Cambria Math" w:hAnsi="Cambria Math" w:cs="Arial"/>
                  <w:i/>
                </w:rPr>
              </m:ctrlPr>
            </m:sSubPr>
            <m:e>
              <m:r>
                <w:rPr>
                  <w:rFonts w:ascii="Cambria Math" w:hAnsi="Cambria Math" w:cs="Arial"/>
                </w:rPr>
                <m:t>C</m:t>
              </m:r>
            </m:e>
            <m:sub>
              <m:r>
                <w:rPr>
                  <w:rFonts w:ascii="Cambria Math" w:hAnsi="Cambria Math" w:cs="Arial"/>
                </w:rPr>
                <m:t>RO-BG</m:t>
              </m:r>
            </m:sub>
          </m:sSub>
          <m:r>
            <w:rPr>
              <w:rFonts w:ascii="Cambria Math" w:hAnsi="Cambria Math" w:cs="Arial"/>
            </w:rPr>
            <m:t>=NT</m:t>
          </m:r>
          <m:sSub>
            <m:sSubPr>
              <m:ctrlPr>
                <w:rPr>
                  <w:rFonts w:ascii="Cambria Math" w:hAnsi="Cambria Math" w:cs="Arial"/>
                  <w:i/>
                </w:rPr>
              </m:ctrlPr>
            </m:sSubPr>
            <m:e>
              <m:r>
                <w:rPr>
                  <w:rFonts w:ascii="Cambria Math" w:hAnsi="Cambria Math" w:cs="Arial"/>
                </w:rPr>
                <m:t>C</m:t>
              </m:r>
            </m:e>
            <m:sub>
              <m:r>
                <w:rPr>
                  <w:rFonts w:ascii="Cambria Math" w:hAnsi="Cambria Math" w:cs="Arial"/>
                </w:rPr>
                <m:t>adj,RO-BG</m:t>
              </m:r>
            </m:sub>
          </m:sSub>
          <m:r>
            <w:rPr>
              <w:rFonts w:ascii="Cambria Math" w:hAnsi="Cambria Math" w:cs="Arial"/>
            </w:rPr>
            <m:t>-CVA-IVA</m:t>
          </m:r>
        </m:oMath>
      </m:oMathPara>
    </w:p>
    <w:p w14:paraId="77470C7D" w14:textId="735C3231" w:rsidR="00743D95" w:rsidRDefault="00743D95" w:rsidP="00C056D6">
      <w:pPr>
        <w:pStyle w:val="ListParagraph"/>
        <w:widowControl/>
        <w:numPr>
          <w:ilvl w:val="0"/>
          <w:numId w:val="72"/>
        </w:numPr>
        <w:spacing w:after="200" w:line="276" w:lineRule="auto"/>
        <w:ind w:left="425" w:right="0" w:hanging="425"/>
        <w:rPr>
          <w:rFonts w:cs="Arial"/>
        </w:rPr>
      </w:pPr>
      <w:r w:rsidRPr="00743D95">
        <w:rPr>
          <w:rFonts w:cs="Arial"/>
        </w:rPr>
        <w:t>In accordance with Article 21(1)(b)(iii) of the CACM Regulation, SEE TSOs shall apply the rules for taking into account the previously-allocated cross-zonal capacity. The objective of the rules is to verify that the</w:t>
      </w:r>
      <w:r w:rsidR="00CE4D6D">
        <w:rPr>
          <w:rFonts w:cs="Arial"/>
        </w:rPr>
        <w:t xml:space="preserve"> </w:t>
      </w:r>
      <w:r w:rsidR="00CE4D6D" w:rsidRPr="00B66E03">
        <w:rPr>
          <w:i/>
        </w:rPr>
        <w:t>ATC</w:t>
      </w:r>
      <w:r w:rsidR="00CE4D6D">
        <w:t xml:space="preserve"> </w:t>
      </w:r>
      <w:r w:rsidRPr="00743D95">
        <w:rPr>
          <w:rFonts w:cs="Arial"/>
        </w:rPr>
        <w:t xml:space="preserve">value of each border </w:t>
      </w:r>
      <w:r>
        <w:rPr>
          <w:rFonts w:cs="Arial"/>
        </w:rPr>
        <w:t xml:space="preserve">and direction </w:t>
      </w:r>
      <w:r w:rsidRPr="00743D95">
        <w:rPr>
          <w:rFonts w:cs="Arial"/>
        </w:rPr>
        <w:t xml:space="preserve">of </w:t>
      </w:r>
      <w:r>
        <w:rPr>
          <w:rFonts w:cs="Arial"/>
        </w:rPr>
        <w:t xml:space="preserve">the </w:t>
      </w:r>
      <w:r w:rsidRPr="00743D95">
        <w:rPr>
          <w:rFonts w:cs="Arial"/>
        </w:rPr>
        <w:t xml:space="preserve">SEE CCR remains non-negative in case of previously-allocated commercial </w:t>
      </w:r>
      <w:r>
        <w:rPr>
          <w:rFonts w:cs="Arial"/>
        </w:rPr>
        <w:t>capacity.</w:t>
      </w:r>
    </w:p>
    <w:p w14:paraId="1EC8B186" w14:textId="6E666566" w:rsidR="000A6D68" w:rsidRPr="00B66E03" w:rsidRDefault="000A6D68" w:rsidP="00C056D6">
      <w:pPr>
        <w:pStyle w:val="ListParagraph"/>
        <w:widowControl/>
        <w:numPr>
          <w:ilvl w:val="0"/>
          <w:numId w:val="72"/>
        </w:numPr>
        <w:spacing w:line="276" w:lineRule="auto"/>
        <w:ind w:left="426" w:right="-46"/>
        <w:contextualSpacing/>
      </w:pPr>
      <w:r>
        <w:t xml:space="preserve">The </w:t>
      </w:r>
      <w:r w:rsidRPr="00B66E03">
        <w:rPr>
          <w:i/>
        </w:rPr>
        <w:t>ATC</w:t>
      </w:r>
      <w:r>
        <w:t xml:space="preserve"> taking into consideration the AAC</w:t>
      </w:r>
      <w:r w:rsidR="00C221EB">
        <w:t>s</w:t>
      </w:r>
      <w:r>
        <w:t xml:space="preserve"> </w:t>
      </w:r>
      <w:r w:rsidRPr="00B66E03">
        <w:rPr>
          <w:rFonts w:cs="Arial"/>
        </w:rPr>
        <w:t>is determined with the following equation</w:t>
      </w:r>
      <w:r>
        <w:rPr>
          <w:rFonts w:cs="Arial"/>
        </w:rPr>
        <w:t>s in case of BG – GR border</w:t>
      </w:r>
      <w:r w:rsidRPr="00B66E03">
        <w:rPr>
          <w:rFonts w:cs="Arial"/>
        </w:rPr>
        <w:t>:</w:t>
      </w:r>
    </w:p>
    <w:p w14:paraId="144F27F7" w14:textId="702F9E0A" w:rsidR="000A6D68" w:rsidRPr="00B66E03" w:rsidRDefault="00000000" w:rsidP="000A6D68">
      <w:pPr>
        <w:pStyle w:val="ListParagraph"/>
        <w:widowControl/>
        <w:spacing w:after="200" w:line="276" w:lineRule="auto"/>
        <w:ind w:left="426" w:right="0" w:firstLine="0"/>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BG-GR</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BG-GR</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BG-GR</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GR-BG</m:t>
              </m:r>
            </m:sub>
          </m:sSub>
        </m:oMath>
      </m:oMathPara>
    </w:p>
    <w:p w14:paraId="3BBCF0BE" w14:textId="6E59B463" w:rsidR="000A6D68" w:rsidRPr="00EF1052" w:rsidRDefault="00000000" w:rsidP="000A6D68">
      <w:pPr>
        <w:pStyle w:val="ListParagraph"/>
        <w:widowControl/>
        <w:spacing w:after="200" w:line="276" w:lineRule="auto"/>
        <w:ind w:left="426" w:right="0" w:firstLine="0"/>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GR-BG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GR-BG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GR-BG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BG-GR</m:t>
              </m:r>
            </m:sub>
          </m:sSub>
        </m:oMath>
      </m:oMathPara>
    </w:p>
    <w:p w14:paraId="5A6C83D6" w14:textId="77777777" w:rsidR="000A6D68" w:rsidRPr="000A604D" w:rsidRDefault="000A6D68" w:rsidP="000A6D68">
      <w:r w:rsidRPr="000A604D">
        <w:t>with</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7028"/>
      </w:tblGrid>
      <w:tr w:rsidR="000A6D68" w:rsidRPr="000A604D" w14:paraId="438F848D" w14:textId="77777777" w:rsidTr="00CE4D6D">
        <w:tc>
          <w:tcPr>
            <w:tcW w:w="1680" w:type="dxa"/>
          </w:tcPr>
          <w:p w14:paraId="100A8847" w14:textId="046D2115" w:rsidR="000A6D68" w:rsidRPr="006B5715" w:rsidRDefault="00000000" w:rsidP="000A6D68">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BG-GR</m:t>
                    </m:r>
                  </m:sub>
                </m:sSub>
              </m:oMath>
            </m:oMathPara>
          </w:p>
        </w:tc>
        <w:tc>
          <w:tcPr>
            <w:tcW w:w="7028" w:type="dxa"/>
          </w:tcPr>
          <w:p w14:paraId="7F1AD5F8" w14:textId="57D038FD" w:rsidR="000A6D68" w:rsidRPr="000A604D" w:rsidRDefault="000A6D68" w:rsidP="00CE4D6D">
            <w:pPr>
              <w:spacing w:line="276" w:lineRule="auto"/>
              <w:rPr>
                <w:rFonts w:cs="Arial"/>
              </w:rPr>
            </w:pPr>
            <w:r>
              <w:rPr>
                <w:rFonts w:cs="Arial"/>
                <w:i/>
              </w:rPr>
              <w:t>A</w:t>
            </w:r>
            <w:r w:rsidRPr="00261948">
              <w:rPr>
                <w:rFonts w:cs="Arial"/>
                <w:i/>
              </w:rPr>
              <w:t>TC</w:t>
            </w:r>
            <w:r>
              <w:rPr>
                <w:rFonts w:cs="Arial"/>
              </w:rPr>
              <w:t xml:space="preserve"> on the BG-GR direction</w:t>
            </w:r>
          </w:p>
        </w:tc>
      </w:tr>
      <w:tr w:rsidR="000A6D68" w:rsidRPr="000A604D" w14:paraId="71E48BB9" w14:textId="77777777" w:rsidTr="00CE4D6D">
        <w:tc>
          <w:tcPr>
            <w:tcW w:w="1680" w:type="dxa"/>
          </w:tcPr>
          <w:p w14:paraId="73DCFFFE" w14:textId="5D143E15" w:rsidR="000A6D68" w:rsidRPr="006B5715" w:rsidRDefault="00000000" w:rsidP="000A6D68">
            <w:pPr>
              <w:spacing w:line="276" w:lineRule="auto"/>
              <w:rPr>
                <w:rFonts w:cs="Arial"/>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BG-GR</m:t>
                    </m:r>
                  </m:sub>
                </m:sSub>
              </m:oMath>
            </m:oMathPara>
          </w:p>
        </w:tc>
        <w:tc>
          <w:tcPr>
            <w:tcW w:w="7028" w:type="dxa"/>
          </w:tcPr>
          <w:p w14:paraId="0055AD43" w14:textId="38E5B6AE" w:rsidR="000A6D68" w:rsidRPr="000A604D" w:rsidRDefault="000A6D68" w:rsidP="00CE4D6D">
            <w:pPr>
              <w:spacing w:line="276" w:lineRule="auto"/>
              <w:rPr>
                <w:rFonts w:cs="Arial"/>
              </w:rPr>
            </w:pPr>
            <w:r>
              <w:rPr>
                <w:rFonts w:cs="Arial"/>
                <w:i/>
              </w:rPr>
              <w:t>N</w:t>
            </w:r>
            <w:r w:rsidRPr="00261948">
              <w:rPr>
                <w:rFonts w:cs="Arial"/>
                <w:i/>
              </w:rPr>
              <w:t>TC</w:t>
            </w:r>
            <w:r>
              <w:rPr>
                <w:rFonts w:cs="Arial"/>
              </w:rPr>
              <w:t xml:space="preserve"> on the BG-GR direction</w:t>
            </w:r>
          </w:p>
        </w:tc>
      </w:tr>
      <w:tr w:rsidR="000A6D68" w:rsidRPr="000A604D" w14:paraId="59C3FED7" w14:textId="77777777" w:rsidTr="00CE4D6D">
        <w:tc>
          <w:tcPr>
            <w:tcW w:w="1680" w:type="dxa"/>
          </w:tcPr>
          <w:p w14:paraId="67D134BD" w14:textId="07A3BA65" w:rsidR="000A6D68" w:rsidRPr="000A604D" w:rsidRDefault="00000000" w:rsidP="000A6D68">
            <w:pPr>
              <w:spacing w:line="276" w:lineRule="auto"/>
              <w:rPr>
                <w:rFonts w:cs="Arial"/>
                <w:b/>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BG-GR</m:t>
                    </m:r>
                  </m:sub>
                </m:sSub>
              </m:oMath>
            </m:oMathPara>
          </w:p>
        </w:tc>
        <w:tc>
          <w:tcPr>
            <w:tcW w:w="7028" w:type="dxa"/>
          </w:tcPr>
          <w:p w14:paraId="5FE11A8A" w14:textId="4BF2BDBA" w:rsidR="000A6D68" w:rsidRPr="000A604D" w:rsidRDefault="000A6D68" w:rsidP="000A6D68">
            <w:pPr>
              <w:spacing w:line="276" w:lineRule="auto"/>
              <w:rPr>
                <w:rFonts w:cs="Arial"/>
              </w:rPr>
            </w:pPr>
            <w:r>
              <w:rPr>
                <w:rFonts w:cs="Arial"/>
                <w:i/>
              </w:rPr>
              <w:t xml:space="preserve">AAC </w:t>
            </w:r>
            <w:r>
              <w:rPr>
                <w:rFonts w:cs="Arial"/>
              </w:rPr>
              <w:t>on the BG-GR direction</w:t>
            </w:r>
          </w:p>
        </w:tc>
      </w:tr>
      <w:tr w:rsidR="000A6D68" w:rsidRPr="000A604D" w14:paraId="3CE702A5" w14:textId="77777777" w:rsidTr="00CE4D6D">
        <w:tc>
          <w:tcPr>
            <w:tcW w:w="1680" w:type="dxa"/>
          </w:tcPr>
          <w:p w14:paraId="4F146EB9" w14:textId="1871A71B" w:rsidR="000A6D68" w:rsidRPr="006B5715" w:rsidRDefault="00000000" w:rsidP="000A6D68">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GR-BG</m:t>
                    </m:r>
                  </m:sub>
                </m:sSub>
              </m:oMath>
            </m:oMathPara>
          </w:p>
        </w:tc>
        <w:tc>
          <w:tcPr>
            <w:tcW w:w="7028" w:type="dxa"/>
          </w:tcPr>
          <w:p w14:paraId="5DE88945" w14:textId="029862BB" w:rsidR="000A6D68" w:rsidRPr="000A604D" w:rsidRDefault="000A6D68" w:rsidP="00CE4D6D">
            <w:pPr>
              <w:spacing w:line="276" w:lineRule="auto"/>
              <w:rPr>
                <w:rFonts w:cs="Arial"/>
              </w:rPr>
            </w:pPr>
            <w:r>
              <w:rPr>
                <w:rFonts w:cs="Arial"/>
                <w:i/>
              </w:rPr>
              <w:t xml:space="preserve">AAC </w:t>
            </w:r>
            <w:r>
              <w:rPr>
                <w:rFonts w:cs="Arial"/>
              </w:rPr>
              <w:t>on the GR-BG direction</w:t>
            </w:r>
          </w:p>
        </w:tc>
      </w:tr>
      <w:tr w:rsidR="000A6D68" w:rsidRPr="000A604D" w14:paraId="35B28B9A" w14:textId="77777777" w:rsidTr="00CE4D6D">
        <w:tc>
          <w:tcPr>
            <w:tcW w:w="1680" w:type="dxa"/>
          </w:tcPr>
          <w:p w14:paraId="055D40F9" w14:textId="66B725A6" w:rsidR="000A6D68" w:rsidRPr="006B5715" w:rsidRDefault="00000000" w:rsidP="000A6D68">
            <w:pPr>
              <w:spacing w:line="276" w:lineRule="auto"/>
              <w:rPr>
                <w:rFonts w:cs="Arial"/>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GR-BG</m:t>
                    </m:r>
                  </m:sub>
                </m:sSub>
              </m:oMath>
            </m:oMathPara>
          </w:p>
        </w:tc>
        <w:tc>
          <w:tcPr>
            <w:tcW w:w="7028" w:type="dxa"/>
          </w:tcPr>
          <w:p w14:paraId="65923971" w14:textId="6A3891C5" w:rsidR="000A6D68" w:rsidRPr="000A604D" w:rsidRDefault="000A6D68" w:rsidP="00CE4D6D">
            <w:pPr>
              <w:spacing w:line="276" w:lineRule="auto"/>
              <w:rPr>
                <w:rFonts w:cs="Arial"/>
              </w:rPr>
            </w:pPr>
            <w:r>
              <w:rPr>
                <w:rFonts w:cs="Arial"/>
                <w:i/>
              </w:rPr>
              <w:t>A</w:t>
            </w:r>
            <w:r w:rsidRPr="00261948">
              <w:rPr>
                <w:rFonts w:cs="Arial"/>
                <w:i/>
              </w:rPr>
              <w:t>TC</w:t>
            </w:r>
            <w:r>
              <w:rPr>
                <w:rFonts w:cs="Arial"/>
              </w:rPr>
              <w:t xml:space="preserve"> on the GR-BG direction</w:t>
            </w:r>
          </w:p>
        </w:tc>
      </w:tr>
      <w:tr w:rsidR="000A6D68" w:rsidRPr="000A604D" w14:paraId="237D2629" w14:textId="77777777" w:rsidTr="00CE4D6D">
        <w:tc>
          <w:tcPr>
            <w:tcW w:w="1680" w:type="dxa"/>
          </w:tcPr>
          <w:p w14:paraId="1DA26DD6" w14:textId="3F9B6163" w:rsidR="000A6D68" w:rsidRPr="000A604D" w:rsidRDefault="00000000" w:rsidP="000A6D68">
            <w:pPr>
              <w:spacing w:line="276" w:lineRule="auto"/>
              <w:rPr>
                <w:rFonts w:cs="Arial"/>
                <w:b/>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GR-BG</m:t>
                    </m:r>
                  </m:sub>
                </m:sSub>
              </m:oMath>
            </m:oMathPara>
          </w:p>
        </w:tc>
        <w:tc>
          <w:tcPr>
            <w:tcW w:w="7028" w:type="dxa"/>
          </w:tcPr>
          <w:p w14:paraId="7B5C6AE1" w14:textId="36C37DDD" w:rsidR="000A6D68" w:rsidRPr="000A604D" w:rsidRDefault="000A6D68" w:rsidP="000A6D68">
            <w:pPr>
              <w:spacing w:after="200" w:line="276" w:lineRule="auto"/>
              <w:rPr>
                <w:rFonts w:cs="Arial"/>
              </w:rPr>
            </w:pPr>
            <w:r>
              <w:rPr>
                <w:rFonts w:cs="Arial"/>
                <w:i/>
              </w:rPr>
              <w:t>N</w:t>
            </w:r>
            <w:r w:rsidRPr="00261948">
              <w:rPr>
                <w:rFonts w:cs="Arial"/>
                <w:i/>
              </w:rPr>
              <w:t>TC</w:t>
            </w:r>
            <w:r>
              <w:rPr>
                <w:rFonts w:cs="Arial"/>
              </w:rPr>
              <w:t xml:space="preserve"> on the GR-BG direction</w:t>
            </w:r>
          </w:p>
        </w:tc>
      </w:tr>
    </w:tbl>
    <w:p w14:paraId="30D7013A" w14:textId="4CC8F699" w:rsidR="000A6D68" w:rsidRPr="00B66E03" w:rsidRDefault="000A6D68" w:rsidP="00C056D6">
      <w:pPr>
        <w:pStyle w:val="ListParagraph"/>
        <w:widowControl/>
        <w:numPr>
          <w:ilvl w:val="0"/>
          <w:numId w:val="72"/>
        </w:numPr>
        <w:spacing w:line="276" w:lineRule="auto"/>
        <w:ind w:left="426" w:right="-46"/>
        <w:contextualSpacing/>
      </w:pPr>
      <w:r>
        <w:t xml:space="preserve">The </w:t>
      </w:r>
      <w:r w:rsidRPr="00B66E03">
        <w:rPr>
          <w:i/>
        </w:rPr>
        <w:t>ATC</w:t>
      </w:r>
      <w:r>
        <w:t xml:space="preserve"> taking into consideration the AAC</w:t>
      </w:r>
      <w:r w:rsidR="00C221EB">
        <w:t>s</w:t>
      </w:r>
      <w:r>
        <w:t xml:space="preserve"> </w:t>
      </w:r>
      <w:r w:rsidRPr="00B66E03">
        <w:rPr>
          <w:rFonts w:cs="Arial"/>
        </w:rPr>
        <w:t>is determined with the following equation</w:t>
      </w:r>
      <w:r>
        <w:rPr>
          <w:rFonts w:cs="Arial"/>
        </w:rPr>
        <w:t>s in case of BG – RO border</w:t>
      </w:r>
      <w:r w:rsidRPr="00B66E03">
        <w:rPr>
          <w:rFonts w:cs="Arial"/>
        </w:rPr>
        <w:t>:</w:t>
      </w:r>
    </w:p>
    <w:p w14:paraId="4356CDFC" w14:textId="39241AB0" w:rsidR="000A6D68" w:rsidRPr="00B66E03" w:rsidRDefault="00000000" w:rsidP="000A6D68">
      <w:pPr>
        <w:pStyle w:val="ListParagraph"/>
        <w:widowControl/>
        <w:spacing w:after="200" w:line="276" w:lineRule="auto"/>
        <w:ind w:left="426" w:right="0" w:firstLine="0"/>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BG-RO</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BG-RO</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BG-RO</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RO-BG</m:t>
              </m:r>
            </m:sub>
          </m:sSub>
        </m:oMath>
      </m:oMathPara>
    </w:p>
    <w:p w14:paraId="7429140F" w14:textId="13154809" w:rsidR="000A6D68" w:rsidRPr="00EF1052" w:rsidRDefault="00000000" w:rsidP="000A6D68">
      <w:pPr>
        <w:pStyle w:val="ListParagraph"/>
        <w:widowControl/>
        <w:spacing w:after="200" w:line="276" w:lineRule="auto"/>
        <w:ind w:left="426" w:right="0" w:firstLine="0"/>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RO-BG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RO-BG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RO-BG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BG-RO</m:t>
              </m:r>
            </m:sub>
          </m:sSub>
        </m:oMath>
      </m:oMathPara>
    </w:p>
    <w:p w14:paraId="66F389A5" w14:textId="77777777" w:rsidR="000A6D68" w:rsidRPr="000A604D" w:rsidRDefault="000A6D68" w:rsidP="000A6D68">
      <w:r w:rsidRPr="000A604D">
        <w:t>with</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7028"/>
      </w:tblGrid>
      <w:tr w:rsidR="000A6D68" w:rsidRPr="000A604D" w14:paraId="648DBFF9" w14:textId="77777777" w:rsidTr="00CE4D6D">
        <w:tc>
          <w:tcPr>
            <w:tcW w:w="1680" w:type="dxa"/>
          </w:tcPr>
          <w:p w14:paraId="27F46512" w14:textId="6E274050" w:rsidR="000A6D68" w:rsidRPr="006B5715" w:rsidRDefault="00000000" w:rsidP="000A6D68">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BG-RO</m:t>
                    </m:r>
                  </m:sub>
                </m:sSub>
              </m:oMath>
            </m:oMathPara>
          </w:p>
        </w:tc>
        <w:tc>
          <w:tcPr>
            <w:tcW w:w="7028" w:type="dxa"/>
          </w:tcPr>
          <w:p w14:paraId="65D62D1E" w14:textId="718D9D20" w:rsidR="000A6D68" w:rsidRPr="000A604D" w:rsidRDefault="000A6D68" w:rsidP="000A6D68">
            <w:pPr>
              <w:spacing w:line="276" w:lineRule="auto"/>
              <w:rPr>
                <w:rFonts w:cs="Arial"/>
              </w:rPr>
            </w:pPr>
            <w:r>
              <w:rPr>
                <w:rFonts w:cs="Arial"/>
                <w:i/>
              </w:rPr>
              <w:t>A</w:t>
            </w:r>
            <w:r w:rsidRPr="00261948">
              <w:rPr>
                <w:rFonts w:cs="Arial"/>
                <w:i/>
              </w:rPr>
              <w:t>TC</w:t>
            </w:r>
            <w:r>
              <w:rPr>
                <w:rFonts w:cs="Arial"/>
              </w:rPr>
              <w:t xml:space="preserve"> on the BG-RO direction</w:t>
            </w:r>
          </w:p>
        </w:tc>
      </w:tr>
      <w:tr w:rsidR="000A6D68" w:rsidRPr="000A604D" w14:paraId="4D37E2D1" w14:textId="77777777" w:rsidTr="00CE4D6D">
        <w:tc>
          <w:tcPr>
            <w:tcW w:w="1680" w:type="dxa"/>
          </w:tcPr>
          <w:p w14:paraId="2D0A98C3" w14:textId="48E6F0F2" w:rsidR="000A6D68" w:rsidRPr="006B5715" w:rsidRDefault="00000000" w:rsidP="000A6D68">
            <w:pPr>
              <w:spacing w:line="276" w:lineRule="auto"/>
              <w:rPr>
                <w:rFonts w:cs="Arial"/>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BG-RO</m:t>
                    </m:r>
                  </m:sub>
                </m:sSub>
              </m:oMath>
            </m:oMathPara>
          </w:p>
        </w:tc>
        <w:tc>
          <w:tcPr>
            <w:tcW w:w="7028" w:type="dxa"/>
          </w:tcPr>
          <w:p w14:paraId="0A933A7F" w14:textId="406A9CA7" w:rsidR="000A6D68" w:rsidRPr="000A604D" w:rsidRDefault="000A6D68" w:rsidP="00CE4D6D">
            <w:pPr>
              <w:spacing w:line="276" w:lineRule="auto"/>
              <w:rPr>
                <w:rFonts w:cs="Arial"/>
              </w:rPr>
            </w:pPr>
            <w:r>
              <w:rPr>
                <w:rFonts w:cs="Arial"/>
                <w:i/>
              </w:rPr>
              <w:t>N</w:t>
            </w:r>
            <w:r w:rsidRPr="00261948">
              <w:rPr>
                <w:rFonts w:cs="Arial"/>
                <w:i/>
              </w:rPr>
              <w:t>TC</w:t>
            </w:r>
            <w:r>
              <w:rPr>
                <w:rFonts w:cs="Arial"/>
              </w:rPr>
              <w:t xml:space="preserve"> on the BG-RO direction</w:t>
            </w:r>
          </w:p>
        </w:tc>
      </w:tr>
      <w:tr w:rsidR="000A6D68" w:rsidRPr="000A604D" w14:paraId="6AAA910C" w14:textId="77777777" w:rsidTr="00CE4D6D">
        <w:tc>
          <w:tcPr>
            <w:tcW w:w="1680" w:type="dxa"/>
          </w:tcPr>
          <w:p w14:paraId="74054D1B" w14:textId="7A018D78" w:rsidR="000A6D68" w:rsidRPr="000A604D" w:rsidRDefault="00000000" w:rsidP="000A6D68">
            <w:pPr>
              <w:spacing w:line="276" w:lineRule="auto"/>
              <w:rPr>
                <w:rFonts w:cs="Arial"/>
                <w:b/>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BG-RO</m:t>
                    </m:r>
                  </m:sub>
                </m:sSub>
              </m:oMath>
            </m:oMathPara>
          </w:p>
        </w:tc>
        <w:tc>
          <w:tcPr>
            <w:tcW w:w="7028" w:type="dxa"/>
          </w:tcPr>
          <w:p w14:paraId="0A6BF534" w14:textId="7EA5693B" w:rsidR="000A6D68" w:rsidRPr="000A604D" w:rsidRDefault="000A6D68" w:rsidP="00CE4D6D">
            <w:pPr>
              <w:spacing w:line="276" w:lineRule="auto"/>
              <w:rPr>
                <w:rFonts w:cs="Arial"/>
              </w:rPr>
            </w:pPr>
            <w:r>
              <w:rPr>
                <w:rFonts w:cs="Arial"/>
                <w:i/>
              </w:rPr>
              <w:t xml:space="preserve">AAC </w:t>
            </w:r>
            <w:r>
              <w:rPr>
                <w:rFonts w:cs="Arial"/>
              </w:rPr>
              <w:t>on the BG-RO direction</w:t>
            </w:r>
          </w:p>
        </w:tc>
      </w:tr>
      <w:tr w:rsidR="000A6D68" w:rsidRPr="000A604D" w14:paraId="0BD7184B" w14:textId="77777777" w:rsidTr="00CE4D6D">
        <w:tc>
          <w:tcPr>
            <w:tcW w:w="1680" w:type="dxa"/>
          </w:tcPr>
          <w:p w14:paraId="2C8B6C4D" w14:textId="5F0501F8" w:rsidR="000A6D68" w:rsidRPr="006B5715" w:rsidRDefault="00000000" w:rsidP="000A6D68">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AAC</m:t>
                    </m:r>
                  </m:e>
                  <m:sub>
                    <m:r>
                      <w:rPr>
                        <w:rFonts w:ascii="Cambria Math" w:eastAsia="Calibri" w:hAnsi="Cambria Math"/>
                        <w:color w:val="000000" w:themeColor="text1"/>
                        <w:szCs w:val="24"/>
                      </w:rPr>
                      <m:t>RO-BG</m:t>
                    </m:r>
                  </m:sub>
                </m:sSub>
              </m:oMath>
            </m:oMathPara>
          </w:p>
        </w:tc>
        <w:tc>
          <w:tcPr>
            <w:tcW w:w="7028" w:type="dxa"/>
          </w:tcPr>
          <w:p w14:paraId="7BC691DF" w14:textId="2C611160" w:rsidR="000A6D68" w:rsidRPr="000A604D" w:rsidRDefault="000A6D68" w:rsidP="000A6D68">
            <w:pPr>
              <w:spacing w:line="276" w:lineRule="auto"/>
              <w:rPr>
                <w:rFonts w:cs="Arial"/>
              </w:rPr>
            </w:pPr>
            <w:r>
              <w:rPr>
                <w:rFonts w:cs="Arial"/>
                <w:i/>
              </w:rPr>
              <w:t xml:space="preserve">AAC </w:t>
            </w:r>
            <w:r>
              <w:rPr>
                <w:rFonts w:cs="Arial"/>
              </w:rPr>
              <w:t>on the RO-BG direction</w:t>
            </w:r>
          </w:p>
        </w:tc>
      </w:tr>
      <w:tr w:rsidR="000A6D68" w:rsidRPr="000A604D" w14:paraId="28ECFCE1" w14:textId="77777777" w:rsidTr="00CE4D6D">
        <w:tc>
          <w:tcPr>
            <w:tcW w:w="1680" w:type="dxa"/>
          </w:tcPr>
          <w:p w14:paraId="55CBA786" w14:textId="7958113D" w:rsidR="000A6D68" w:rsidRPr="006B5715" w:rsidRDefault="00000000" w:rsidP="000A6D68">
            <w:pPr>
              <w:spacing w:line="276" w:lineRule="auto"/>
              <w:rPr>
                <w:rFonts w:cs="Arial"/>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RO-BG</m:t>
                    </m:r>
                  </m:sub>
                </m:sSub>
              </m:oMath>
            </m:oMathPara>
          </w:p>
        </w:tc>
        <w:tc>
          <w:tcPr>
            <w:tcW w:w="7028" w:type="dxa"/>
          </w:tcPr>
          <w:p w14:paraId="00E694F4" w14:textId="5FE55443" w:rsidR="000A6D68" w:rsidRPr="000A604D" w:rsidRDefault="000A6D68" w:rsidP="00CE4D6D">
            <w:pPr>
              <w:spacing w:line="276" w:lineRule="auto"/>
              <w:rPr>
                <w:rFonts w:cs="Arial"/>
              </w:rPr>
            </w:pPr>
            <w:r>
              <w:rPr>
                <w:rFonts w:cs="Arial"/>
                <w:i/>
              </w:rPr>
              <w:t>A</w:t>
            </w:r>
            <w:r w:rsidRPr="00261948">
              <w:rPr>
                <w:rFonts w:cs="Arial"/>
                <w:i/>
              </w:rPr>
              <w:t>TC</w:t>
            </w:r>
            <w:r>
              <w:rPr>
                <w:rFonts w:cs="Arial"/>
              </w:rPr>
              <w:t xml:space="preserve"> on the RO-BG direction</w:t>
            </w:r>
          </w:p>
        </w:tc>
      </w:tr>
      <w:tr w:rsidR="000A6D68" w:rsidRPr="000A604D" w14:paraId="7CE211EB" w14:textId="77777777" w:rsidTr="00CE4D6D">
        <w:tc>
          <w:tcPr>
            <w:tcW w:w="1680" w:type="dxa"/>
          </w:tcPr>
          <w:p w14:paraId="26AE0BF9" w14:textId="144CF318" w:rsidR="000A6D68" w:rsidRPr="000A604D" w:rsidRDefault="00000000" w:rsidP="000A6D68">
            <w:pPr>
              <w:spacing w:line="276" w:lineRule="auto"/>
              <w:rPr>
                <w:rFonts w:cs="Arial"/>
                <w:b/>
                <w:i/>
              </w:rPr>
            </w:pPr>
            <m:oMathPara>
              <m:oMathParaPr>
                <m:jc m:val="left"/>
              </m:oMathParaPr>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RO-BG</m:t>
                    </m:r>
                  </m:sub>
                </m:sSub>
              </m:oMath>
            </m:oMathPara>
          </w:p>
        </w:tc>
        <w:tc>
          <w:tcPr>
            <w:tcW w:w="7028" w:type="dxa"/>
          </w:tcPr>
          <w:p w14:paraId="7E0E1254" w14:textId="35ACAAEB" w:rsidR="000A6D68" w:rsidRPr="000A604D" w:rsidRDefault="000A6D68" w:rsidP="000A6D68">
            <w:pPr>
              <w:spacing w:after="200" w:line="276" w:lineRule="auto"/>
              <w:rPr>
                <w:rFonts w:cs="Arial"/>
              </w:rPr>
            </w:pPr>
            <w:r>
              <w:rPr>
                <w:rFonts w:cs="Arial"/>
                <w:i/>
              </w:rPr>
              <w:t>N</w:t>
            </w:r>
            <w:r w:rsidRPr="00261948">
              <w:rPr>
                <w:rFonts w:cs="Arial"/>
                <w:i/>
              </w:rPr>
              <w:t>TC</w:t>
            </w:r>
            <w:r>
              <w:rPr>
                <w:rFonts w:cs="Arial"/>
              </w:rPr>
              <w:t xml:space="preserve"> on the RO-BG direction</w:t>
            </w:r>
          </w:p>
        </w:tc>
      </w:tr>
    </w:tbl>
    <w:p w14:paraId="7EB4BD50" w14:textId="738AA7CE" w:rsidR="00753F64" w:rsidRDefault="00753F64" w:rsidP="00935070">
      <w:pPr>
        <w:pStyle w:val="ListParagraph"/>
        <w:widowControl/>
        <w:numPr>
          <w:ilvl w:val="0"/>
          <w:numId w:val="72"/>
        </w:numPr>
        <w:spacing w:line="276" w:lineRule="auto"/>
        <w:ind w:left="426" w:right="-46"/>
        <w:contextualSpacing/>
      </w:pPr>
      <w:r>
        <w:t xml:space="preserve">The </w:t>
      </w:r>
      <w:r>
        <w:rPr>
          <w:i/>
        </w:rPr>
        <w:t>ATC</w:t>
      </w:r>
      <w:r>
        <w:t xml:space="preserve"> for day-ahead market time-frame and also for the intraday market time-frame </w:t>
      </w:r>
      <w:r>
        <w:rPr>
          <w:rFonts w:cs="Arial"/>
        </w:rPr>
        <w:t xml:space="preserve">is determined with the following equations in case of BG – GR border, taking into account the </w:t>
      </w:r>
      <w:r>
        <w:rPr>
          <w:rFonts w:cs="Arial"/>
          <w:i/>
        </w:rPr>
        <w:t>NTC</w:t>
      </w:r>
      <w:r>
        <w:rPr>
          <w:rFonts w:cs="Arial"/>
        </w:rPr>
        <w:t xml:space="preserve"> values calculated before and </w:t>
      </w:r>
      <w:r>
        <w:rPr>
          <w:rFonts w:cs="Arial"/>
          <w:i/>
        </w:rPr>
        <w:t>ANC</w:t>
      </w:r>
      <w:r>
        <w:rPr>
          <w:rFonts w:cs="Arial"/>
        </w:rPr>
        <w:t>:</w:t>
      </w:r>
    </w:p>
    <w:p w14:paraId="76CFB4B9" w14:textId="35E684FC" w:rsidR="00753F64" w:rsidRDefault="00000000" w:rsidP="00753F64">
      <w:pPr>
        <w:pStyle w:val="ListParagraph"/>
        <w:widowControl/>
        <w:spacing w:after="200" w:line="276" w:lineRule="auto"/>
        <w:ind w:left="426" w:right="0" w:firstLine="0"/>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BG-GR</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BG-GR</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BG-GR</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GR-BG</m:t>
              </m:r>
            </m:sub>
          </m:sSub>
        </m:oMath>
      </m:oMathPara>
    </w:p>
    <w:p w14:paraId="1955176B" w14:textId="25B92199" w:rsidR="00753F64" w:rsidRDefault="00000000" w:rsidP="00753F64">
      <w:pPr>
        <w:pStyle w:val="ListParagraph"/>
        <w:widowControl/>
        <w:spacing w:after="200" w:line="276" w:lineRule="auto"/>
        <w:ind w:left="426" w:right="0" w:firstLine="0"/>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GR-BG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GR-BG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GR-BG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BG-GR</m:t>
              </m:r>
            </m:sub>
          </m:sSub>
        </m:oMath>
      </m:oMathPara>
    </w:p>
    <w:p w14:paraId="7070213C" w14:textId="77777777" w:rsidR="00753F64" w:rsidRDefault="00753F64" w:rsidP="00753F64">
      <w:pPr>
        <w:rPr>
          <w:rFonts w:cstheme="minorBidi"/>
        </w:rPr>
      </w:pPr>
      <w:r>
        <w:t>with</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7028"/>
      </w:tblGrid>
      <w:tr w:rsidR="00753F64" w:rsidRPr="00CD3DAD" w14:paraId="385552D9" w14:textId="77777777" w:rsidTr="00CE4D6D">
        <w:tc>
          <w:tcPr>
            <w:tcW w:w="1680" w:type="dxa"/>
            <w:hideMark/>
          </w:tcPr>
          <w:p w14:paraId="18B7F1F0" w14:textId="3E29B14B" w:rsidR="00753F64" w:rsidRPr="00CD3DAD" w:rsidRDefault="00000000" w:rsidP="0009607D">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BG-GR</m:t>
                    </m:r>
                  </m:sub>
                </m:sSub>
              </m:oMath>
            </m:oMathPara>
          </w:p>
        </w:tc>
        <w:tc>
          <w:tcPr>
            <w:tcW w:w="7028" w:type="dxa"/>
            <w:hideMark/>
          </w:tcPr>
          <w:p w14:paraId="63C93078" w14:textId="74A2A27F" w:rsidR="00753F64" w:rsidRPr="00CD3DAD" w:rsidRDefault="00753F64" w:rsidP="00CE4D6D">
            <w:pPr>
              <w:spacing w:line="276" w:lineRule="auto"/>
              <w:rPr>
                <w:rFonts w:cs="Arial"/>
              </w:rPr>
            </w:pPr>
            <w:r w:rsidRPr="00CD3DAD">
              <w:rPr>
                <w:rFonts w:cs="Arial"/>
                <w:i/>
              </w:rPr>
              <w:t>ATC</w:t>
            </w:r>
            <w:r w:rsidRPr="00CD3DAD">
              <w:rPr>
                <w:rFonts w:cs="Arial"/>
              </w:rPr>
              <w:t xml:space="preserve"> </w:t>
            </w:r>
            <w:r w:rsidR="0009607D">
              <w:rPr>
                <w:rFonts w:cs="Arial"/>
              </w:rPr>
              <w:t>on the BG-GR direction</w:t>
            </w:r>
          </w:p>
        </w:tc>
      </w:tr>
      <w:tr w:rsidR="00753F64" w:rsidRPr="00CD3DAD" w14:paraId="4AEF6310" w14:textId="77777777" w:rsidTr="00CE4D6D">
        <w:tc>
          <w:tcPr>
            <w:tcW w:w="1680" w:type="dxa"/>
            <w:hideMark/>
          </w:tcPr>
          <w:p w14:paraId="3C580DD9" w14:textId="60836BA7" w:rsidR="00753F64" w:rsidRPr="00CD3DAD" w:rsidRDefault="00000000" w:rsidP="0009607D">
            <w:pPr>
              <w:spacing w:line="276" w:lineRule="auto"/>
              <w:rPr>
                <w:rFonts w:cs="Arial"/>
                <w:i/>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BG-GR</m:t>
                    </m:r>
                  </m:sub>
                </m:sSub>
              </m:oMath>
            </m:oMathPara>
          </w:p>
        </w:tc>
        <w:tc>
          <w:tcPr>
            <w:tcW w:w="7028" w:type="dxa"/>
            <w:hideMark/>
          </w:tcPr>
          <w:p w14:paraId="19180E75" w14:textId="1E40D395" w:rsidR="00753F64" w:rsidRPr="00CD3DAD" w:rsidRDefault="00753F64" w:rsidP="00CE4D6D">
            <w:pPr>
              <w:spacing w:line="276" w:lineRule="auto"/>
              <w:rPr>
                <w:rFonts w:cs="Arial"/>
              </w:rPr>
            </w:pPr>
            <w:r w:rsidRPr="00CD3DAD">
              <w:rPr>
                <w:rFonts w:cs="Arial"/>
                <w:i/>
              </w:rPr>
              <w:t>NTC</w:t>
            </w:r>
            <w:r w:rsidRPr="00CD3DAD">
              <w:rPr>
                <w:rFonts w:cs="Arial"/>
              </w:rPr>
              <w:t xml:space="preserve"> </w:t>
            </w:r>
            <w:r w:rsidR="0009607D">
              <w:rPr>
                <w:rFonts w:cs="Arial"/>
              </w:rPr>
              <w:t>on the BG-GR direction</w:t>
            </w:r>
          </w:p>
        </w:tc>
      </w:tr>
      <w:tr w:rsidR="00753F64" w:rsidRPr="00CD3DAD" w14:paraId="0ABE5BBD" w14:textId="77777777" w:rsidTr="00CE4D6D">
        <w:tc>
          <w:tcPr>
            <w:tcW w:w="1680" w:type="dxa"/>
            <w:hideMark/>
          </w:tcPr>
          <w:p w14:paraId="5CB83E5E" w14:textId="2CC5C49B" w:rsidR="00753F64" w:rsidRPr="00CD3DAD" w:rsidRDefault="00000000" w:rsidP="0009607D">
            <w:pPr>
              <w:spacing w:line="276" w:lineRule="auto"/>
              <w:rPr>
                <w:rFonts w:cs="Arial"/>
                <w:b/>
                <w:i/>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BG-GR</m:t>
                    </m:r>
                  </m:sub>
                </m:sSub>
              </m:oMath>
            </m:oMathPara>
          </w:p>
        </w:tc>
        <w:tc>
          <w:tcPr>
            <w:tcW w:w="7028" w:type="dxa"/>
            <w:hideMark/>
          </w:tcPr>
          <w:p w14:paraId="233D8905" w14:textId="3801AEE8" w:rsidR="00753F64" w:rsidRPr="00CD3DAD" w:rsidRDefault="00753F64" w:rsidP="00CE4D6D">
            <w:pPr>
              <w:spacing w:line="276" w:lineRule="auto"/>
              <w:rPr>
                <w:rFonts w:cs="Arial"/>
              </w:rPr>
            </w:pPr>
            <w:r w:rsidRPr="00CD3DAD">
              <w:rPr>
                <w:rFonts w:cs="Arial"/>
                <w:i/>
              </w:rPr>
              <w:t xml:space="preserve">ANC </w:t>
            </w:r>
            <w:r w:rsidR="0009607D">
              <w:rPr>
                <w:rFonts w:cs="Arial"/>
              </w:rPr>
              <w:t>on the BG-GR direction</w:t>
            </w:r>
          </w:p>
        </w:tc>
      </w:tr>
      <w:tr w:rsidR="00753F64" w:rsidRPr="00CD3DAD" w14:paraId="29B01CFA" w14:textId="77777777" w:rsidTr="00CE4D6D">
        <w:tc>
          <w:tcPr>
            <w:tcW w:w="1680" w:type="dxa"/>
            <w:hideMark/>
          </w:tcPr>
          <w:p w14:paraId="43D209BF" w14:textId="3A14271B" w:rsidR="00753F64" w:rsidRPr="00CD3DAD" w:rsidRDefault="00000000" w:rsidP="0009607D">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GR-BG</m:t>
                    </m:r>
                  </m:sub>
                </m:sSub>
              </m:oMath>
            </m:oMathPara>
          </w:p>
        </w:tc>
        <w:tc>
          <w:tcPr>
            <w:tcW w:w="7028" w:type="dxa"/>
            <w:hideMark/>
          </w:tcPr>
          <w:p w14:paraId="6BCCC50B" w14:textId="339FC177" w:rsidR="00753F64" w:rsidRPr="00CD3DAD" w:rsidRDefault="00753F64" w:rsidP="00CE4D6D">
            <w:pPr>
              <w:spacing w:line="276" w:lineRule="auto"/>
              <w:rPr>
                <w:rFonts w:cs="Arial"/>
              </w:rPr>
            </w:pPr>
            <w:r w:rsidRPr="00CD3DAD">
              <w:rPr>
                <w:rFonts w:cs="Arial"/>
                <w:i/>
              </w:rPr>
              <w:t xml:space="preserve">ANC </w:t>
            </w:r>
            <w:r w:rsidR="0009607D">
              <w:rPr>
                <w:rFonts w:cs="Arial"/>
              </w:rPr>
              <w:t>on the GR-BG direction</w:t>
            </w:r>
          </w:p>
        </w:tc>
      </w:tr>
      <w:tr w:rsidR="00753F64" w:rsidRPr="00CD3DAD" w14:paraId="20B7EA85" w14:textId="77777777" w:rsidTr="00CE4D6D">
        <w:tc>
          <w:tcPr>
            <w:tcW w:w="1680" w:type="dxa"/>
            <w:hideMark/>
          </w:tcPr>
          <w:p w14:paraId="64545E89" w14:textId="322D0483" w:rsidR="00753F64" w:rsidRPr="00CD3DAD" w:rsidRDefault="00000000" w:rsidP="0009607D">
            <w:pPr>
              <w:spacing w:line="276" w:lineRule="auto"/>
              <w:rPr>
                <w:rFonts w:cs="Arial"/>
                <w:i/>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GR-BG</m:t>
                    </m:r>
                  </m:sub>
                </m:sSub>
              </m:oMath>
            </m:oMathPara>
          </w:p>
        </w:tc>
        <w:tc>
          <w:tcPr>
            <w:tcW w:w="7028" w:type="dxa"/>
            <w:hideMark/>
          </w:tcPr>
          <w:p w14:paraId="13BBA50F" w14:textId="12CDBB24" w:rsidR="00753F64" w:rsidRPr="00CD3DAD" w:rsidRDefault="00753F64" w:rsidP="00CE4D6D">
            <w:pPr>
              <w:spacing w:line="276" w:lineRule="auto"/>
              <w:rPr>
                <w:rFonts w:cs="Arial"/>
              </w:rPr>
            </w:pPr>
            <w:r w:rsidRPr="00CD3DAD">
              <w:rPr>
                <w:rFonts w:cs="Arial"/>
                <w:i/>
              </w:rPr>
              <w:t>ATC</w:t>
            </w:r>
            <w:r w:rsidRPr="00CD3DAD">
              <w:rPr>
                <w:rFonts w:cs="Arial"/>
              </w:rPr>
              <w:t xml:space="preserve"> </w:t>
            </w:r>
            <w:r w:rsidR="0009607D">
              <w:rPr>
                <w:rFonts w:cs="Arial"/>
              </w:rPr>
              <w:t>on the GR-BG direction</w:t>
            </w:r>
          </w:p>
        </w:tc>
      </w:tr>
      <w:tr w:rsidR="00753F64" w:rsidRPr="00CD3DAD" w14:paraId="3E686913" w14:textId="77777777" w:rsidTr="00CE4D6D">
        <w:tc>
          <w:tcPr>
            <w:tcW w:w="1680" w:type="dxa"/>
            <w:hideMark/>
          </w:tcPr>
          <w:p w14:paraId="4AACC163" w14:textId="0412D6EE" w:rsidR="00753F64" w:rsidRPr="00CD3DAD" w:rsidRDefault="00000000" w:rsidP="0009607D">
            <w:pPr>
              <w:spacing w:line="276" w:lineRule="auto"/>
              <w:rPr>
                <w:rFonts w:cs="Arial"/>
                <w:b/>
                <w:i/>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GR-BG</m:t>
                    </m:r>
                  </m:sub>
                </m:sSub>
              </m:oMath>
            </m:oMathPara>
          </w:p>
        </w:tc>
        <w:tc>
          <w:tcPr>
            <w:tcW w:w="7028" w:type="dxa"/>
            <w:hideMark/>
          </w:tcPr>
          <w:p w14:paraId="6083E155" w14:textId="4A5795B7" w:rsidR="00753F64" w:rsidRPr="00CD3DAD" w:rsidRDefault="00753F64" w:rsidP="0009607D">
            <w:pPr>
              <w:spacing w:after="200" w:line="276" w:lineRule="auto"/>
              <w:rPr>
                <w:rFonts w:cs="Arial"/>
              </w:rPr>
            </w:pPr>
            <w:r w:rsidRPr="00CD3DAD">
              <w:rPr>
                <w:rFonts w:cs="Arial"/>
                <w:i/>
              </w:rPr>
              <w:t>NTC</w:t>
            </w:r>
            <w:r w:rsidRPr="00CD3DAD">
              <w:rPr>
                <w:rFonts w:cs="Arial"/>
              </w:rPr>
              <w:t xml:space="preserve"> </w:t>
            </w:r>
            <w:r w:rsidR="0009607D">
              <w:rPr>
                <w:rFonts w:cs="Arial"/>
              </w:rPr>
              <w:t>on the GR-BG direction</w:t>
            </w:r>
          </w:p>
        </w:tc>
      </w:tr>
    </w:tbl>
    <w:p w14:paraId="013F7416" w14:textId="3B12947C" w:rsidR="00753F64" w:rsidRDefault="00753F64" w:rsidP="006D6101">
      <w:pPr>
        <w:pStyle w:val="ListParagraph"/>
        <w:widowControl/>
        <w:numPr>
          <w:ilvl w:val="0"/>
          <w:numId w:val="72"/>
        </w:numPr>
        <w:spacing w:line="276" w:lineRule="auto"/>
        <w:ind w:left="426" w:right="-46"/>
        <w:contextualSpacing/>
      </w:pPr>
      <w:r>
        <w:t xml:space="preserve">The </w:t>
      </w:r>
      <w:r>
        <w:rPr>
          <w:i/>
        </w:rPr>
        <w:t>ATC</w:t>
      </w:r>
      <w:r>
        <w:t xml:space="preserve"> for day-ahead market time-frame and also for the intraday market time-frame </w:t>
      </w:r>
      <w:r>
        <w:rPr>
          <w:rFonts w:cs="Arial"/>
        </w:rPr>
        <w:t xml:space="preserve">is determined with the following equations in case of BG – RO border, taking into account the </w:t>
      </w:r>
      <w:r>
        <w:rPr>
          <w:rFonts w:cs="Arial"/>
          <w:i/>
        </w:rPr>
        <w:t>NTC</w:t>
      </w:r>
      <w:r>
        <w:rPr>
          <w:rFonts w:cs="Arial"/>
        </w:rPr>
        <w:t xml:space="preserve"> values calculated </w:t>
      </w:r>
      <w:r w:rsidR="0009607D">
        <w:rPr>
          <w:rFonts w:cs="Arial"/>
        </w:rPr>
        <w:t>before</w:t>
      </w:r>
      <w:r>
        <w:rPr>
          <w:rFonts w:cs="Arial"/>
        </w:rPr>
        <w:t xml:space="preserve"> and </w:t>
      </w:r>
      <w:r>
        <w:rPr>
          <w:rFonts w:cs="Arial"/>
          <w:i/>
        </w:rPr>
        <w:t>ANC</w:t>
      </w:r>
      <w:r>
        <w:rPr>
          <w:rFonts w:cs="Arial"/>
        </w:rPr>
        <w:t>:</w:t>
      </w:r>
    </w:p>
    <w:p w14:paraId="7A5512AE" w14:textId="6E20DA7A" w:rsidR="00753F64" w:rsidRDefault="00000000" w:rsidP="00753F64">
      <w:pPr>
        <w:pStyle w:val="ListParagraph"/>
        <w:widowControl/>
        <w:spacing w:after="200" w:line="276" w:lineRule="auto"/>
        <w:ind w:left="426" w:right="0" w:firstLine="0"/>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BG-RO</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BG-RO</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BG-RO</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RO-BG</m:t>
              </m:r>
            </m:sub>
          </m:sSub>
        </m:oMath>
      </m:oMathPara>
    </w:p>
    <w:p w14:paraId="2CBAA13D" w14:textId="3665FB3C" w:rsidR="00753F64" w:rsidRDefault="00000000" w:rsidP="00753F64">
      <w:pPr>
        <w:pStyle w:val="ListParagraph"/>
        <w:widowControl/>
        <w:spacing w:after="200" w:line="276" w:lineRule="auto"/>
        <w:ind w:left="426" w:right="0" w:firstLine="0"/>
        <w:rPr>
          <w:rFonts w:cs="Arial"/>
          <w:color w:val="000000" w:themeColor="text1"/>
          <w:szCs w:val="24"/>
        </w:rPr>
      </w:pPr>
      <m:oMathPara>
        <m:oMath>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RO-BG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RO-BG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RO-BG</m:t>
              </m:r>
            </m:sub>
          </m:sSub>
          <m:r>
            <w:rPr>
              <w:rFonts w:ascii="Cambria Math" w:eastAsia="Calibri" w:hAnsi="Cambria Math"/>
              <w:color w:val="000000" w:themeColor="text1"/>
              <w:szCs w:val="24"/>
            </w:rPr>
            <m:t>+</m:t>
          </m:r>
          <m:sSub>
            <m:sSubPr>
              <m:ctrlPr>
                <w:rPr>
                  <w:rFonts w:ascii="Cambria Math" w:eastAsia="Calibri" w:hAnsi="Cambria Math"/>
                  <w:color w:val="000000" w:themeColor="text1"/>
                  <w:szCs w:val="24"/>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BG-RO</m:t>
              </m:r>
            </m:sub>
          </m:sSub>
        </m:oMath>
      </m:oMathPara>
    </w:p>
    <w:p w14:paraId="0EC86220" w14:textId="77777777" w:rsidR="00753F64" w:rsidRDefault="00753F64" w:rsidP="00753F64">
      <w:pPr>
        <w:rPr>
          <w:rFonts w:cstheme="minorBidi"/>
        </w:rPr>
      </w:pPr>
      <w:r>
        <w:t>with</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7028"/>
      </w:tblGrid>
      <w:tr w:rsidR="00753F64" w:rsidRPr="00CD3DAD" w14:paraId="5A379F48" w14:textId="77777777" w:rsidTr="00CE4D6D">
        <w:tc>
          <w:tcPr>
            <w:tcW w:w="1680" w:type="dxa"/>
            <w:hideMark/>
          </w:tcPr>
          <w:p w14:paraId="38692B9C" w14:textId="47C53F45" w:rsidR="00753F64" w:rsidRDefault="00000000" w:rsidP="0009607D">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BG-RO</m:t>
                    </m:r>
                  </m:sub>
                </m:sSub>
              </m:oMath>
            </m:oMathPara>
          </w:p>
        </w:tc>
        <w:tc>
          <w:tcPr>
            <w:tcW w:w="7028" w:type="dxa"/>
            <w:hideMark/>
          </w:tcPr>
          <w:p w14:paraId="35BACC2D" w14:textId="28B7E5DF" w:rsidR="00753F64" w:rsidRDefault="00753F64" w:rsidP="00CE4D6D">
            <w:pPr>
              <w:spacing w:line="276" w:lineRule="auto"/>
              <w:rPr>
                <w:rFonts w:cs="Arial"/>
              </w:rPr>
            </w:pPr>
            <w:r>
              <w:rPr>
                <w:rFonts w:cs="Arial"/>
                <w:i/>
              </w:rPr>
              <w:t>ATC</w:t>
            </w:r>
            <w:r>
              <w:rPr>
                <w:rFonts w:cs="Arial"/>
              </w:rPr>
              <w:t xml:space="preserve"> </w:t>
            </w:r>
            <w:r w:rsidR="0009607D">
              <w:rPr>
                <w:rFonts w:cs="Arial"/>
              </w:rPr>
              <w:t>on the BG-RO direction</w:t>
            </w:r>
          </w:p>
        </w:tc>
      </w:tr>
      <w:tr w:rsidR="00753F64" w:rsidRPr="00CD3DAD" w14:paraId="496DD7F7" w14:textId="77777777" w:rsidTr="00CE4D6D">
        <w:tc>
          <w:tcPr>
            <w:tcW w:w="1680" w:type="dxa"/>
            <w:hideMark/>
          </w:tcPr>
          <w:p w14:paraId="22E66B31" w14:textId="7519249D" w:rsidR="00753F64" w:rsidRDefault="00000000" w:rsidP="0009607D">
            <w:pPr>
              <w:spacing w:line="276" w:lineRule="auto"/>
              <w:rPr>
                <w:rFonts w:cs="Arial"/>
                <w:i/>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BG-RO</m:t>
                    </m:r>
                  </m:sub>
                </m:sSub>
              </m:oMath>
            </m:oMathPara>
          </w:p>
        </w:tc>
        <w:tc>
          <w:tcPr>
            <w:tcW w:w="7028" w:type="dxa"/>
            <w:hideMark/>
          </w:tcPr>
          <w:p w14:paraId="7CAB0F10" w14:textId="31FA72B4" w:rsidR="00753F64" w:rsidRDefault="00753F64" w:rsidP="00CE4D6D">
            <w:pPr>
              <w:spacing w:line="276" w:lineRule="auto"/>
              <w:rPr>
                <w:rFonts w:cs="Arial"/>
              </w:rPr>
            </w:pPr>
            <w:r>
              <w:rPr>
                <w:rFonts w:cs="Arial"/>
                <w:i/>
              </w:rPr>
              <w:t>NTC</w:t>
            </w:r>
            <w:r>
              <w:rPr>
                <w:rFonts w:cs="Arial"/>
              </w:rPr>
              <w:t xml:space="preserve"> </w:t>
            </w:r>
            <w:r w:rsidR="0009607D">
              <w:rPr>
                <w:rFonts w:cs="Arial"/>
              </w:rPr>
              <w:t>on the BG-RO direction</w:t>
            </w:r>
          </w:p>
        </w:tc>
      </w:tr>
      <w:tr w:rsidR="00753F64" w:rsidRPr="00CD3DAD" w14:paraId="65439FBA" w14:textId="77777777" w:rsidTr="00CE4D6D">
        <w:tc>
          <w:tcPr>
            <w:tcW w:w="1680" w:type="dxa"/>
            <w:hideMark/>
          </w:tcPr>
          <w:p w14:paraId="16030203" w14:textId="609E801D" w:rsidR="00753F64" w:rsidRDefault="00000000" w:rsidP="0009607D">
            <w:pPr>
              <w:spacing w:line="276" w:lineRule="auto"/>
              <w:rPr>
                <w:rFonts w:cs="Arial"/>
                <w:b/>
                <w:i/>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BG-RO</m:t>
                    </m:r>
                  </m:sub>
                </m:sSub>
              </m:oMath>
            </m:oMathPara>
          </w:p>
        </w:tc>
        <w:tc>
          <w:tcPr>
            <w:tcW w:w="7028" w:type="dxa"/>
            <w:hideMark/>
          </w:tcPr>
          <w:p w14:paraId="0C70FA6B" w14:textId="700F434C" w:rsidR="00753F64" w:rsidRDefault="00753F64" w:rsidP="00CE4D6D">
            <w:pPr>
              <w:spacing w:line="276" w:lineRule="auto"/>
              <w:rPr>
                <w:rFonts w:cs="Arial"/>
              </w:rPr>
            </w:pPr>
            <w:r>
              <w:rPr>
                <w:rFonts w:cs="Arial"/>
                <w:i/>
              </w:rPr>
              <w:t xml:space="preserve">ANC </w:t>
            </w:r>
            <w:r w:rsidR="0009607D">
              <w:rPr>
                <w:rFonts w:cs="Arial"/>
              </w:rPr>
              <w:t>on the BG-RO direction</w:t>
            </w:r>
          </w:p>
        </w:tc>
      </w:tr>
      <w:tr w:rsidR="00753F64" w:rsidRPr="00CD3DAD" w14:paraId="14383A75" w14:textId="77777777" w:rsidTr="00CE4D6D">
        <w:tc>
          <w:tcPr>
            <w:tcW w:w="1680" w:type="dxa"/>
            <w:hideMark/>
          </w:tcPr>
          <w:p w14:paraId="6E539FFF" w14:textId="3BA5B3B9" w:rsidR="00753F64" w:rsidRDefault="00000000" w:rsidP="0009607D">
            <w:pPr>
              <w:spacing w:line="276" w:lineRule="auto"/>
              <w:rPr>
                <w:rFonts w:cs="Arial"/>
                <w:i/>
                <w:lang w:eastAsia="nl-NL"/>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ANC</m:t>
                    </m:r>
                  </m:e>
                  <m:sub>
                    <m:r>
                      <w:rPr>
                        <w:rFonts w:ascii="Cambria Math" w:eastAsia="Calibri" w:hAnsi="Cambria Math"/>
                        <w:color w:val="000000" w:themeColor="text1"/>
                        <w:szCs w:val="24"/>
                      </w:rPr>
                      <m:t>RO-BG</m:t>
                    </m:r>
                  </m:sub>
                </m:sSub>
              </m:oMath>
            </m:oMathPara>
          </w:p>
        </w:tc>
        <w:tc>
          <w:tcPr>
            <w:tcW w:w="7028" w:type="dxa"/>
            <w:hideMark/>
          </w:tcPr>
          <w:p w14:paraId="192DFC64" w14:textId="1495A7A2" w:rsidR="00753F64" w:rsidRDefault="00753F64" w:rsidP="00CE4D6D">
            <w:pPr>
              <w:spacing w:line="276" w:lineRule="auto"/>
              <w:rPr>
                <w:rFonts w:cs="Arial"/>
              </w:rPr>
            </w:pPr>
            <w:r>
              <w:rPr>
                <w:rFonts w:cs="Arial"/>
                <w:i/>
              </w:rPr>
              <w:t xml:space="preserve">ANC </w:t>
            </w:r>
            <w:r w:rsidR="0009607D">
              <w:rPr>
                <w:rFonts w:cs="Arial"/>
              </w:rPr>
              <w:t>on the RO-BG direction</w:t>
            </w:r>
          </w:p>
        </w:tc>
      </w:tr>
      <w:tr w:rsidR="00753F64" w:rsidRPr="00CD3DAD" w14:paraId="616BB2F9" w14:textId="77777777" w:rsidTr="00CE4D6D">
        <w:tc>
          <w:tcPr>
            <w:tcW w:w="1680" w:type="dxa"/>
            <w:hideMark/>
          </w:tcPr>
          <w:p w14:paraId="4C2761D6" w14:textId="5EEC9C38" w:rsidR="00753F64" w:rsidRDefault="00000000" w:rsidP="0009607D">
            <w:pPr>
              <w:spacing w:line="276" w:lineRule="auto"/>
              <w:rPr>
                <w:rFonts w:cs="Arial"/>
                <w:i/>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ATC</m:t>
                    </m:r>
                  </m:e>
                  <m:sub>
                    <m:r>
                      <w:rPr>
                        <w:rFonts w:ascii="Cambria Math" w:eastAsia="Calibri" w:hAnsi="Cambria Math"/>
                        <w:color w:val="000000" w:themeColor="text1"/>
                        <w:szCs w:val="24"/>
                      </w:rPr>
                      <m:t>RO-BG</m:t>
                    </m:r>
                  </m:sub>
                </m:sSub>
              </m:oMath>
            </m:oMathPara>
          </w:p>
        </w:tc>
        <w:tc>
          <w:tcPr>
            <w:tcW w:w="7028" w:type="dxa"/>
            <w:hideMark/>
          </w:tcPr>
          <w:p w14:paraId="1DE12596" w14:textId="4C4CB06B" w:rsidR="00753F64" w:rsidRDefault="00753F64" w:rsidP="00CE4D6D">
            <w:pPr>
              <w:spacing w:line="276" w:lineRule="auto"/>
              <w:rPr>
                <w:rFonts w:cs="Arial"/>
              </w:rPr>
            </w:pPr>
            <w:r>
              <w:rPr>
                <w:rFonts w:cs="Arial"/>
                <w:i/>
              </w:rPr>
              <w:t>ATC</w:t>
            </w:r>
            <w:r>
              <w:rPr>
                <w:rFonts w:cs="Arial"/>
              </w:rPr>
              <w:t xml:space="preserve"> </w:t>
            </w:r>
            <w:r w:rsidR="0009607D">
              <w:rPr>
                <w:rFonts w:cs="Arial"/>
              </w:rPr>
              <w:t>on the RO-BG direction</w:t>
            </w:r>
          </w:p>
        </w:tc>
      </w:tr>
      <w:tr w:rsidR="00753F64" w:rsidRPr="00CD3DAD" w14:paraId="6878BC95" w14:textId="77777777" w:rsidTr="00CE4D6D">
        <w:tc>
          <w:tcPr>
            <w:tcW w:w="1680" w:type="dxa"/>
            <w:hideMark/>
          </w:tcPr>
          <w:p w14:paraId="7BBDDF3B" w14:textId="3631EC48" w:rsidR="00753F64" w:rsidRDefault="00000000" w:rsidP="0009607D">
            <w:pPr>
              <w:spacing w:line="276" w:lineRule="auto"/>
              <w:rPr>
                <w:rFonts w:cs="Arial"/>
                <w:b/>
                <w:i/>
              </w:rPr>
            </w:pPr>
            <m:oMathPara>
              <m:oMathParaPr>
                <m:jc m:val="left"/>
              </m:oMathParaPr>
              <m:oMath>
                <m:sSub>
                  <m:sSubPr>
                    <m:ctrlPr>
                      <w:rPr>
                        <w:rFonts w:ascii="Cambria Math" w:eastAsia="Calibri" w:hAnsi="Cambria Math"/>
                        <w:color w:val="000000" w:themeColor="text1"/>
                        <w:szCs w:val="24"/>
                        <w:lang w:val="ro-RO"/>
                      </w:rPr>
                    </m:ctrlPr>
                  </m:sSubPr>
                  <m:e>
                    <m:r>
                      <w:rPr>
                        <w:rFonts w:ascii="Cambria Math" w:eastAsia="Calibri" w:hAnsi="Cambria Math"/>
                        <w:color w:val="000000" w:themeColor="text1"/>
                        <w:szCs w:val="24"/>
                      </w:rPr>
                      <m:t>NTC</m:t>
                    </m:r>
                  </m:e>
                  <m:sub>
                    <m:r>
                      <w:rPr>
                        <w:rFonts w:ascii="Cambria Math" w:eastAsia="Calibri" w:hAnsi="Cambria Math"/>
                        <w:color w:val="000000" w:themeColor="text1"/>
                        <w:szCs w:val="24"/>
                      </w:rPr>
                      <m:t>RO-BG</m:t>
                    </m:r>
                  </m:sub>
                </m:sSub>
              </m:oMath>
            </m:oMathPara>
          </w:p>
        </w:tc>
        <w:tc>
          <w:tcPr>
            <w:tcW w:w="7028" w:type="dxa"/>
            <w:hideMark/>
          </w:tcPr>
          <w:p w14:paraId="3E29E666" w14:textId="127297A6" w:rsidR="00753F64" w:rsidRDefault="00753F64" w:rsidP="0009607D">
            <w:pPr>
              <w:spacing w:after="200" w:line="276" w:lineRule="auto"/>
              <w:rPr>
                <w:rFonts w:cs="Arial"/>
              </w:rPr>
            </w:pPr>
            <w:r>
              <w:rPr>
                <w:rFonts w:cs="Arial"/>
                <w:i/>
              </w:rPr>
              <w:t>NTC</w:t>
            </w:r>
            <w:r>
              <w:rPr>
                <w:rFonts w:cs="Arial"/>
              </w:rPr>
              <w:t xml:space="preserve"> </w:t>
            </w:r>
            <w:r w:rsidR="0009607D">
              <w:rPr>
                <w:rFonts w:cs="Arial"/>
              </w:rPr>
              <w:t>on the RO-BG direction</w:t>
            </w:r>
          </w:p>
        </w:tc>
      </w:tr>
    </w:tbl>
    <w:p w14:paraId="5D91AB0A" w14:textId="0B408D00" w:rsidR="00CE4D6D" w:rsidRPr="00CE4D6D" w:rsidRDefault="00CE4D6D" w:rsidP="00935070">
      <w:pPr>
        <w:pStyle w:val="ListParagraph"/>
        <w:numPr>
          <w:ilvl w:val="0"/>
          <w:numId w:val="72"/>
        </w:numPr>
        <w:tabs>
          <w:tab w:val="left" w:pos="-4820"/>
        </w:tabs>
        <w:spacing w:after="200" w:line="276" w:lineRule="auto"/>
        <w:ind w:left="419" w:right="0" w:hanging="425"/>
        <w:rPr>
          <w:rFonts w:cs="Arial"/>
        </w:rPr>
      </w:pPr>
      <w:r w:rsidRPr="00A118BF">
        <w:t xml:space="preserve">If </w:t>
      </w:r>
      <w:r>
        <w:t xml:space="preserve">the </w:t>
      </w:r>
      <w:r w:rsidRPr="00CE4D6D">
        <w:rPr>
          <w:i/>
        </w:rPr>
        <w:t>ATC</w:t>
      </w:r>
      <w:r>
        <w:t xml:space="preserve"> values calculated according with Article 11(</w:t>
      </w:r>
      <w:r w:rsidR="00B63A0B">
        <w:t>1</w:t>
      </w:r>
      <w:r w:rsidR="00181B83">
        <w:t>7</w:t>
      </w:r>
      <w:r>
        <w:t>) and</w:t>
      </w:r>
      <w:r w:rsidR="00463D25">
        <w:t xml:space="preserve"> Article 11(</w:t>
      </w:r>
      <w:r w:rsidR="00B63A0B">
        <w:t>1</w:t>
      </w:r>
      <w:r w:rsidR="00181B83">
        <w:t>8</w:t>
      </w:r>
      <w:r w:rsidR="00463D25">
        <w:t>) are</w:t>
      </w:r>
      <w:r w:rsidRPr="00A118BF">
        <w:t xml:space="preserve"> negative, no capacity will be made available</w:t>
      </w:r>
      <w:r w:rsidR="00463D25">
        <w:t xml:space="preserve"> for</w:t>
      </w:r>
      <w:r w:rsidRPr="00A118BF">
        <w:t xml:space="preserve"> </w:t>
      </w:r>
      <w:r w:rsidR="00463D25">
        <w:t xml:space="preserve">day-ahead, respectively intraday </w:t>
      </w:r>
      <w:r w:rsidRPr="00A118BF">
        <w:t>market</w:t>
      </w:r>
      <w:r w:rsidR="00463D25">
        <w:t xml:space="preserve"> time-frame</w:t>
      </w:r>
      <w:r w:rsidRPr="00A118BF">
        <w:t>.</w:t>
      </w:r>
    </w:p>
    <w:p w14:paraId="2642F520" w14:textId="23A46FE9" w:rsidR="0009607D" w:rsidRDefault="0009607D" w:rsidP="00935070">
      <w:pPr>
        <w:pStyle w:val="ListParagraph"/>
        <w:numPr>
          <w:ilvl w:val="0"/>
          <w:numId w:val="72"/>
        </w:numPr>
        <w:tabs>
          <w:tab w:val="left" w:pos="-4820"/>
        </w:tabs>
        <w:spacing w:after="200" w:line="276" w:lineRule="auto"/>
        <w:ind w:left="419" w:right="0" w:hanging="425"/>
        <w:rPr>
          <w:rFonts w:cs="Arial"/>
        </w:rPr>
      </w:pPr>
      <w:r w:rsidRPr="000F577F">
        <w:rPr>
          <w:rFonts w:cs="Arial"/>
        </w:rPr>
        <w:t xml:space="preserve">In accordance with Article 46 of CACM regulation, the </w:t>
      </w:r>
      <w:r>
        <w:rPr>
          <w:rFonts w:cs="Arial"/>
        </w:rPr>
        <w:t>CCC</w:t>
      </w:r>
      <w:r w:rsidRPr="000F577F">
        <w:rPr>
          <w:rFonts w:cs="Arial"/>
        </w:rPr>
        <w:t xml:space="preserve"> and TSOs of the SEE CCR shall ensure that </w:t>
      </w:r>
      <w:r w:rsidR="00DC3F41">
        <w:rPr>
          <w:rFonts w:cs="Arial"/>
        </w:rPr>
        <w:t xml:space="preserve">the day-ahead </w:t>
      </w:r>
      <w:r w:rsidRPr="000F577F">
        <w:rPr>
          <w:rFonts w:cs="Arial"/>
        </w:rPr>
        <w:t xml:space="preserve">validated cross-zonal capacity shall be provided to relevant </w:t>
      </w:r>
      <w:r>
        <w:rPr>
          <w:rFonts w:cs="Arial"/>
        </w:rPr>
        <w:t xml:space="preserve">entity </w:t>
      </w:r>
      <w:r w:rsidR="00064313">
        <w:rPr>
          <w:rFonts w:cs="Arial"/>
        </w:rPr>
        <w:t>no later than</w:t>
      </w:r>
      <w:r w:rsidR="00064313" w:rsidRPr="000F577F">
        <w:rPr>
          <w:rFonts w:cs="Arial"/>
        </w:rPr>
        <w:t xml:space="preserve"> </w:t>
      </w:r>
      <w:r w:rsidRPr="000F577F">
        <w:rPr>
          <w:rFonts w:cs="Arial"/>
        </w:rPr>
        <w:t xml:space="preserve">the day-ahead firmness deadline as defined in accordance with Article 69 of CACM Regulation. </w:t>
      </w:r>
    </w:p>
    <w:p w14:paraId="6B019A22" w14:textId="11645AA7" w:rsidR="00DC3F41" w:rsidRDefault="00DC3F41" w:rsidP="00464615">
      <w:pPr>
        <w:pStyle w:val="ListParagraph"/>
        <w:numPr>
          <w:ilvl w:val="0"/>
          <w:numId w:val="72"/>
        </w:numPr>
        <w:tabs>
          <w:tab w:val="left" w:pos="-4820"/>
        </w:tabs>
        <w:spacing w:line="276" w:lineRule="auto"/>
        <w:ind w:left="419" w:right="0" w:hanging="425"/>
        <w:rPr>
          <w:rFonts w:cs="Arial"/>
        </w:rPr>
      </w:pPr>
      <w:r w:rsidRPr="000F577F">
        <w:rPr>
          <w:rFonts w:cs="Arial"/>
        </w:rPr>
        <w:t xml:space="preserve">In accordance with Article </w:t>
      </w:r>
      <w:r>
        <w:rPr>
          <w:rFonts w:cs="Arial"/>
        </w:rPr>
        <w:t>58</w:t>
      </w:r>
      <w:r w:rsidRPr="000F577F">
        <w:rPr>
          <w:rFonts w:cs="Arial"/>
        </w:rPr>
        <w:t xml:space="preserve"> of CACM regulation, the </w:t>
      </w:r>
      <w:r>
        <w:rPr>
          <w:rFonts w:cs="Arial"/>
        </w:rPr>
        <w:t>CCC</w:t>
      </w:r>
      <w:r w:rsidRPr="000F577F">
        <w:rPr>
          <w:rFonts w:cs="Arial"/>
        </w:rPr>
        <w:t xml:space="preserve"> and TSOs of the SEE CCR shall ensure that </w:t>
      </w:r>
      <w:r>
        <w:rPr>
          <w:rFonts w:cs="Arial"/>
        </w:rPr>
        <w:t xml:space="preserve">the intraday </w:t>
      </w:r>
      <w:r w:rsidRPr="000F577F">
        <w:rPr>
          <w:rFonts w:cs="Arial"/>
        </w:rPr>
        <w:t xml:space="preserve">validated cross-zonal capacity shall be provided to relevant </w:t>
      </w:r>
      <w:r>
        <w:rPr>
          <w:rFonts w:cs="Arial"/>
        </w:rPr>
        <w:t xml:space="preserve">entity </w:t>
      </w:r>
      <w:r w:rsidR="00064313">
        <w:rPr>
          <w:rFonts w:cs="Arial"/>
        </w:rPr>
        <w:t>no later than</w:t>
      </w:r>
      <w:r w:rsidR="00064313" w:rsidRPr="000F577F">
        <w:rPr>
          <w:rFonts w:cs="Arial"/>
        </w:rPr>
        <w:t xml:space="preserve"> </w:t>
      </w:r>
      <w:r w:rsidR="007272D6">
        <w:rPr>
          <w:rFonts w:cs="Arial"/>
        </w:rPr>
        <w:t>15 minutes before the intraday cross-zonal gate opening time</w:t>
      </w:r>
      <w:r w:rsidRPr="000F577F">
        <w:rPr>
          <w:rFonts w:cs="Arial"/>
        </w:rPr>
        <w:t xml:space="preserve">. </w:t>
      </w:r>
    </w:p>
    <w:p w14:paraId="2EE9E6A7" w14:textId="77777777" w:rsidR="00B74A0A" w:rsidRPr="00B74A0A" w:rsidRDefault="00B74A0A" w:rsidP="00B74A0A">
      <w:pPr>
        <w:tabs>
          <w:tab w:val="left" w:pos="-4820"/>
        </w:tabs>
        <w:spacing w:line="276" w:lineRule="auto"/>
        <w:rPr>
          <w:rFonts w:cs="Arial"/>
          <w:b/>
          <w:bCs/>
        </w:rPr>
      </w:pPr>
    </w:p>
    <w:p w14:paraId="74061264" w14:textId="77777777" w:rsidR="00B74A0A" w:rsidRPr="00B74A0A" w:rsidRDefault="00B74A0A" w:rsidP="00ED5D8D">
      <w:pPr>
        <w:tabs>
          <w:tab w:val="left" w:pos="-4820"/>
        </w:tabs>
        <w:spacing w:line="276" w:lineRule="auto"/>
        <w:rPr>
          <w:rFonts w:cs="Arial"/>
        </w:rPr>
      </w:pPr>
    </w:p>
    <w:p w14:paraId="205B0C8B" w14:textId="77777777" w:rsidR="002141FC" w:rsidRDefault="002141FC" w:rsidP="00457547">
      <w:pPr>
        <w:pStyle w:val="Title1"/>
      </w:pPr>
      <w:bookmarkStart w:id="6" w:name="_TOC_250001"/>
      <w:bookmarkEnd w:id="6"/>
    </w:p>
    <w:p w14:paraId="1CBCB514" w14:textId="419B9667" w:rsidR="00457547" w:rsidRDefault="007F2107" w:rsidP="00457547">
      <w:pPr>
        <w:pStyle w:val="Title1"/>
      </w:pPr>
      <w:r>
        <w:t>Article 1</w:t>
      </w:r>
      <w:r w:rsidR="000103FD">
        <w:t>2</w:t>
      </w:r>
    </w:p>
    <w:p w14:paraId="5E500E13" w14:textId="47A04CE7" w:rsidR="002A72C5" w:rsidRDefault="007F2107" w:rsidP="00457547">
      <w:pPr>
        <w:pStyle w:val="Title1"/>
      </w:pPr>
      <w:r>
        <w:t>Fallback procedures</w:t>
      </w:r>
    </w:p>
    <w:p w14:paraId="465E9EE7" w14:textId="77777777" w:rsidR="00FE216F" w:rsidRPr="00FE216F" w:rsidRDefault="00FE216F" w:rsidP="00FE216F">
      <w:pPr>
        <w:pStyle w:val="Title1"/>
        <w:ind w:left="465" w:right="856"/>
        <w:rPr>
          <w:b w:val="0"/>
          <w:sz w:val="22"/>
          <w:szCs w:val="22"/>
        </w:rPr>
      </w:pPr>
    </w:p>
    <w:p w14:paraId="479580FD" w14:textId="466DFDC9" w:rsidR="00496C67" w:rsidRPr="00BE774F" w:rsidRDefault="00496C67" w:rsidP="00FE216F">
      <w:pPr>
        <w:pStyle w:val="ListParagraph"/>
        <w:numPr>
          <w:ilvl w:val="0"/>
          <w:numId w:val="3"/>
        </w:numPr>
        <w:tabs>
          <w:tab w:val="left" w:pos="-4678"/>
        </w:tabs>
        <w:spacing w:before="112" w:after="200" w:line="276" w:lineRule="auto"/>
        <w:ind w:left="425" w:right="0"/>
      </w:pPr>
      <w:r w:rsidRPr="00BE774F">
        <w:t xml:space="preserve">Prior to </w:t>
      </w:r>
      <w:r w:rsidR="00AC2841">
        <w:t xml:space="preserve">the day-ahead common </w:t>
      </w:r>
      <w:r w:rsidRPr="00BE774F">
        <w:t xml:space="preserve">capacity calculation, the TSOs of </w:t>
      </w:r>
      <w:r>
        <w:t>SEE</w:t>
      </w:r>
      <w:r w:rsidRPr="00BE774F">
        <w:t xml:space="preserve"> CCR shall </w:t>
      </w:r>
      <w:r w:rsidR="00AC2841">
        <w:t>provide to</w:t>
      </w:r>
      <w:r w:rsidR="00AC2841" w:rsidRPr="00BE774F">
        <w:t xml:space="preserve"> </w:t>
      </w:r>
      <w:r w:rsidRPr="00BE774F">
        <w:t xml:space="preserve">the </w:t>
      </w:r>
      <w:r w:rsidR="00AC2841" w:rsidRPr="00AC2841">
        <w:rPr>
          <w:i/>
        </w:rPr>
        <w:t>CCC</w:t>
      </w:r>
      <w:r w:rsidRPr="00BE774F">
        <w:rPr>
          <w:spacing w:val="-11"/>
        </w:rPr>
        <w:t xml:space="preserve"> </w:t>
      </w:r>
      <w:r w:rsidRPr="00BE774F">
        <w:t>the</w:t>
      </w:r>
      <w:r w:rsidRPr="00BE774F">
        <w:rPr>
          <w:spacing w:val="-14"/>
        </w:rPr>
        <w:t xml:space="preserve"> </w:t>
      </w:r>
      <w:r w:rsidRPr="00BE774F">
        <w:t>coordinated</w:t>
      </w:r>
      <w:r w:rsidRPr="00BE774F">
        <w:rPr>
          <w:spacing w:val="-14"/>
        </w:rPr>
        <w:t xml:space="preserve"> </w:t>
      </w:r>
      <w:r w:rsidRPr="00BE774F">
        <w:t>cross-zonal</w:t>
      </w:r>
      <w:r w:rsidRPr="00BE774F">
        <w:rPr>
          <w:spacing w:val="-11"/>
        </w:rPr>
        <w:t xml:space="preserve"> </w:t>
      </w:r>
      <w:r w:rsidRPr="00BE774F">
        <w:t>capacities</w:t>
      </w:r>
      <w:r w:rsidRPr="00BE774F">
        <w:rPr>
          <w:spacing w:val="-11"/>
        </w:rPr>
        <w:t xml:space="preserve"> </w:t>
      </w:r>
      <w:r w:rsidRPr="00BE774F">
        <w:t xml:space="preserve">defined according </w:t>
      </w:r>
      <w:r w:rsidR="00B849B8">
        <w:t>with</w:t>
      </w:r>
      <w:r w:rsidR="00B849B8" w:rsidRPr="00BE774F">
        <w:t xml:space="preserve"> </w:t>
      </w:r>
      <w:r w:rsidRPr="00BE774F">
        <w:t>the long</w:t>
      </w:r>
      <w:r w:rsidR="00B849B8">
        <w:t>-</w:t>
      </w:r>
      <w:r w:rsidRPr="00BE774F">
        <w:t>term capacity calculation processes</w:t>
      </w:r>
      <w:r w:rsidR="00AC2841">
        <w:t>.</w:t>
      </w:r>
      <w:r w:rsidRPr="00BE774F">
        <w:t xml:space="preserve"> </w:t>
      </w:r>
      <w:r w:rsidR="00B849B8">
        <w:t xml:space="preserve"> For day-ahead market time-frame are used as fallback solution the NTCs values calculated for yearly and monthly processes.</w:t>
      </w:r>
    </w:p>
    <w:p w14:paraId="09ABF4D2" w14:textId="1C48D769" w:rsidR="002A72C5" w:rsidRPr="00455AE7" w:rsidRDefault="007F2107" w:rsidP="00FE216F">
      <w:pPr>
        <w:pStyle w:val="ListParagraph"/>
        <w:numPr>
          <w:ilvl w:val="0"/>
          <w:numId w:val="3"/>
        </w:numPr>
        <w:tabs>
          <w:tab w:val="left" w:pos="-4678"/>
        </w:tabs>
        <w:spacing w:before="9" w:after="200" w:line="276" w:lineRule="auto"/>
        <w:ind w:left="425" w:right="0" w:hanging="432"/>
        <w:rPr>
          <w:sz w:val="17"/>
        </w:rPr>
      </w:pPr>
      <w:r>
        <w:t xml:space="preserve">For the </w:t>
      </w:r>
      <w:r w:rsidR="00B849B8">
        <w:t xml:space="preserve">day-ahead common </w:t>
      </w:r>
      <w:r>
        <w:t xml:space="preserve">capacity calculation, where an incident occurs in the capacity calculation process </w:t>
      </w:r>
      <w:r w:rsidR="00CB1311">
        <w:t xml:space="preserve">(incident due to, inter alia, a technical failure in the tools, an error in the communication infrastructure, or corrupted or missing input data) </w:t>
      </w:r>
      <w:r>
        <w:t xml:space="preserve">and the </w:t>
      </w:r>
      <w:r w:rsidR="00883A2E">
        <w:t>CCC</w:t>
      </w:r>
      <w:r>
        <w:t xml:space="preserve"> is unable to produce results within the allotted time for the calculation process, the </w:t>
      </w:r>
      <w:r w:rsidR="00B471D2">
        <w:t xml:space="preserve">SEE </w:t>
      </w:r>
      <w:r>
        <w:t xml:space="preserve">TSOs shall validate </w:t>
      </w:r>
      <w:r w:rsidR="00B849B8">
        <w:t xml:space="preserve">for day-ahead market time-frame </w:t>
      </w:r>
      <w:r>
        <w:t>the coordinated cross-zonal capacities calculated within the long</w:t>
      </w:r>
      <w:r w:rsidR="00B849B8">
        <w:t>-</w:t>
      </w:r>
      <w:r>
        <w:t>term time</w:t>
      </w:r>
      <w:r w:rsidR="00B849B8">
        <w:t>-</w:t>
      </w:r>
      <w:r>
        <w:t>frame</w:t>
      </w:r>
      <w:r w:rsidR="0032172B">
        <w:t>.</w:t>
      </w:r>
      <w:r>
        <w:t xml:space="preserve"> </w:t>
      </w:r>
      <w:r w:rsidR="0032172B" w:rsidDel="0032172B">
        <w:t xml:space="preserve"> </w:t>
      </w:r>
    </w:p>
    <w:p w14:paraId="693EFF49" w14:textId="03AABAAC" w:rsidR="00496C67" w:rsidRPr="00BE774F" w:rsidRDefault="00496C67" w:rsidP="0032172B">
      <w:pPr>
        <w:pStyle w:val="ListParagraph"/>
        <w:numPr>
          <w:ilvl w:val="0"/>
          <w:numId w:val="3"/>
        </w:numPr>
        <w:tabs>
          <w:tab w:val="left" w:pos="-4678"/>
        </w:tabs>
        <w:spacing w:before="9" w:after="200" w:line="276" w:lineRule="auto"/>
        <w:ind w:left="425" w:right="0" w:hanging="432"/>
      </w:pPr>
      <w:r w:rsidRPr="00BE774F">
        <w:t xml:space="preserve">Prior to </w:t>
      </w:r>
      <w:r w:rsidR="00B849B8">
        <w:t>the intraday</w:t>
      </w:r>
      <w:r w:rsidR="00B849B8" w:rsidRPr="00BE774F">
        <w:t xml:space="preserve"> </w:t>
      </w:r>
      <w:r w:rsidR="00B849B8">
        <w:t xml:space="preserve">common </w:t>
      </w:r>
      <w:r w:rsidRPr="00BE774F">
        <w:t xml:space="preserve">capacity calculation, the TSOs of </w:t>
      </w:r>
      <w:r>
        <w:t>SEE</w:t>
      </w:r>
      <w:r w:rsidRPr="00BE774F">
        <w:t xml:space="preserve"> CCR shall </w:t>
      </w:r>
      <w:r w:rsidR="00B849B8">
        <w:t>provide to</w:t>
      </w:r>
      <w:r w:rsidR="00B849B8" w:rsidRPr="00BE774F">
        <w:t xml:space="preserve"> </w:t>
      </w:r>
      <w:r w:rsidRPr="00BE774F">
        <w:t xml:space="preserve">the </w:t>
      </w:r>
      <w:r w:rsidR="00B849B8">
        <w:t>CCC</w:t>
      </w:r>
      <w:r w:rsidRPr="00BE774F">
        <w:t xml:space="preserve"> the</w:t>
      </w:r>
      <w:r w:rsidRPr="00BE774F">
        <w:rPr>
          <w:spacing w:val="-14"/>
        </w:rPr>
        <w:t xml:space="preserve"> </w:t>
      </w:r>
      <w:r w:rsidRPr="00BE774F">
        <w:t>coordinated</w:t>
      </w:r>
      <w:r w:rsidRPr="00BE774F">
        <w:rPr>
          <w:spacing w:val="-14"/>
        </w:rPr>
        <w:t xml:space="preserve"> </w:t>
      </w:r>
      <w:r w:rsidRPr="00BE774F">
        <w:t>cross-zonal</w:t>
      </w:r>
      <w:r w:rsidRPr="00BE774F">
        <w:rPr>
          <w:spacing w:val="-11"/>
        </w:rPr>
        <w:t xml:space="preserve"> </w:t>
      </w:r>
      <w:r w:rsidRPr="00BE774F">
        <w:t>capacities</w:t>
      </w:r>
      <w:r w:rsidRPr="00BE774F">
        <w:rPr>
          <w:spacing w:val="-11"/>
        </w:rPr>
        <w:t xml:space="preserve"> </w:t>
      </w:r>
      <w:r w:rsidRPr="00BE774F">
        <w:t>calculated</w:t>
      </w:r>
      <w:r w:rsidRPr="00BE774F">
        <w:rPr>
          <w:spacing w:val="-12"/>
        </w:rPr>
        <w:t xml:space="preserve"> </w:t>
      </w:r>
      <w:r w:rsidRPr="00BE774F">
        <w:t>within</w:t>
      </w:r>
      <w:r w:rsidRPr="00BE774F">
        <w:rPr>
          <w:spacing w:val="-14"/>
        </w:rPr>
        <w:t xml:space="preserve"> </w:t>
      </w:r>
      <w:r w:rsidRPr="00BE774F">
        <w:t>the</w:t>
      </w:r>
      <w:r w:rsidRPr="00BE774F">
        <w:rPr>
          <w:spacing w:val="-16"/>
        </w:rPr>
        <w:t xml:space="preserve"> </w:t>
      </w:r>
      <w:r w:rsidRPr="00BE774F">
        <w:t>day-ahead</w:t>
      </w:r>
      <w:r w:rsidRPr="00BE774F">
        <w:rPr>
          <w:spacing w:val="-4"/>
        </w:rPr>
        <w:t xml:space="preserve"> </w:t>
      </w:r>
      <w:r w:rsidR="00B849B8">
        <w:t>capacity calculation processes</w:t>
      </w:r>
      <w:r w:rsidRPr="00BE774F">
        <w:t>.</w:t>
      </w:r>
    </w:p>
    <w:p w14:paraId="2B28F33F" w14:textId="1199CA8A" w:rsidR="002A72C5" w:rsidRDefault="007F2107" w:rsidP="00C22D8A">
      <w:pPr>
        <w:pStyle w:val="ListParagraph"/>
        <w:numPr>
          <w:ilvl w:val="0"/>
          <w:numId w:val="3"/>
        </w:numPr>
        <w:tabs>
          <w:tab w:val="left" w:pos="-4678"/>
        </w:tabs>
        <w:spacing w:line="276" w:lineRule="auto"/>
        <w:ind w:right="0"/>
      </w:pPr>
      <w:r>
        <w:t xml:space="preserve">For the </w:t>
      </w:r>
      <w:r w:rsidR="00883A2E">
        <w:t xml:space="preserve">intraday common </w:t>
      </w:r>
      <w:r>
        <w:t xml:space="preserve">capacity calculation, where an incident occurs in the capacity calculation process </w:t>
      </w:r>
      <w:r w:rsidR="001A0524" w:rsidRPr="001A0524">
        <w:t>(incident due to, inter alia, a technical failure in the tools, an error in the communication infrastructure, or corrupted or missing input data)</w:t>
      </w:r>
      <w:r w:rsidR="001A0524">
        <w:t xml:space="preserve"> </w:t>
      </w:r>
      <w:r>
        <w:t xml:space="preserve">and the </w:t>
      </w:r>
      <w:r w:rsidR="00883A2E">
        <w:t>CCC</w:t>
      </w:r>
      <w:r>
        <w:t xml:space="preserve"> is unable to produce results, the </w:t>
      </w:r>
      <w:r w:rsidR="00D35119">
        <w:t xml:space="preserve">SEE </w:t>
      </w:r>
      <w:r>
        <w:t xml:space="preserve">TSOs shall validate the cross-zonal capacities calculated within </w:t>
      </w:r>
      <w:r w:rsidR="00883A2E">
        <w:t>the day-ahead capacity calculation</w:t>
      </w:r>
      <w:r w:rsidR="00883A2E" w:rsidRPr="00883A2E">
        <w:t xml:space="preserve"> </w:t>
      </w:r>
      <w:r w:rsidR="00883A2E">
        <w:t>processes</w:t>
      </w:r>
      <w:r w:rsidR="0032172B">
        <w:t>.</w:t>
      </w:r>
    </w:p>
    <w:p w14:paraId="32103782" w14:textId="77777777" w:rsidR="00A02C9B" w:rsidRDefault="00A02C9B" w:rsidP="00CD68F5">
      <w:pPr>
        <w:pStyle w:val="ListParagraph"/>
        <w:tabs>
          <w:tab w:val="left" w:pos="-4678"/>
        </w:tabs>
        <w:spacing w:line="276" w:lineRule="auto"/>
        <w:ind w:left="419" w:right="0" w:firstLine="0"/>
      </w:pPr>
    </w:p>
    <w:p w14:paraId="4513CFB5" w14:textId="53FBD956" w:rsidR="00A02C9B" w:rsidRDefault="00A02C9B" w:rsidP="002141FC">
      <w:pPr>
        <w:pStyle w:val="ListParagraph"/>
        <w:numPr>
          <w:ilvl w:val="0"/>
          <w:numId w:val="3"/>
        </w:numPr>
        <w:tabs>
          <w:tab w:val="left" w:pos="-4678"/>
        </w:tabs>
        <w:spacing w:line="276" w:lineRule="auto"/>
        <w:ind w:left="419" w:right="0" w:hanging="425"/>
      </w:pPr>
      <w:r>
        <w:t xml:space="preserve">SEE TSOs provide inputs to the </w:t>
      </w:r>
      <w:r w:rsidR="009522DE">
        <w:t>CCC</w:t>
      </w:r>
      <w:r>
        <w:t xml:space="preserve"> a few hours before the gate opening of the relevant timeframe. The exact deadlines will be defined during the </w:t>
      </w:r>
      <w:r w:rsidR="001A0524">
        <w:t xml:space="preserve">simulation </w:t>
      </w:r>
      <w:r>
        <w:t xml:space="preserve">period. In case TSOs provide inputs to the CCC that are proven to be incomplete by the CCC or are missing, the CCC uses the relevant values from the previous timeframe. </w:t>
      </w:r>
    </w:p>
    <w:p w14:paraId="6DF3549E" w14:textId="5EB285D2" w:rsidR="002141FC" w:rsidRDefault="002141FC" w:rsidP="002141FC">
      <w:pPr>
        <w:pStyle w:val="ListParagraph"/>
        <w:tabs>
          <w:tab w:val="left" w:pos="-4678"/>
        </w:tabs>
        <w:spacing w:line="276" w:lineRule="auto"/>
        <w:ind w:left="425" w:right="0" w:firstLine="0"/>
      </w:pPr>
    </w:p>
    <w:p w14:paraId="01C4BE2E" w14:textId="77777777" w:rsidR="00A65A9F" w:rsidRDefault="00A65A9F" w:rsidP="002141FC">
      <w:pPr>
        <w:pStyle w:val="ListParagraph"/>
        <w:tabs>
          <w:tab w:val="left" w:pos="-4678"/>
        </w:tabs>
        <w:spacing w:line="276" w:lineRule="auto"/>
        <w:ind w:left="425" w:right="0" w:firstLine="0"/>
      </w:pPr>
    </w:p>
    <w:p w14:paraId="5322E5DB" w14:textId="6669028C" w:rsidR="00A43A1D" w:rsidRDefault="000103FD" w:rsidP="00A43A1D">
      <w:pPr>
        <w:pStyle w:val="Title1"/>
      </w:pPr>
      <w:r>
        <w:lastRenderedPageBreak/>
        <w:t>Article 13</w:t>
      </w:r>
    </w:p>
    <w:p w14:paraId="7CD8E16A" w14:textId="7FCDA3D6" w:rsidR="00A43A1D" w:rsidRDefault="00A43A1D" w:rsidP="00A43A1D">
      <w:pPr>
        <w:pStyle w:val="Title1"/>
      </w:pPr>
      <w:r>
        <w:t xml:space="preserve">Consideration of non-SEE CCR </w:t>
      </w:r>
      <w:r w:rsidR="008E377C">
        <w:t xml:space="preserve">bidding zone </w:t>
      </w:r>
      <w:r>
        <w:t>borders</w:t>
      </w:r>
    </w:p>
    <w:p w14:paraId="274C9E10" w14:textId="77777777" w:rsidR="00A43A1D" w:rsidRDefault="00A43A1D" w:rsidP="00A43A1D">
      <w:pPr>
        <w:rPr>
          <w:rFonts w:cs="Arial"/>
        </w:rPr>
      </w:pPr>
    </w:p>
    <w:p w14:paraId="41589DB6" w14:textId="60499DEF" w:rsidR="00A43A1D" w:rsidRDefault="00A43A1D" w:rsidP="00AB2578">
      <w:pPr>
        <w:pStyle w:val="ListParagraph"/>
        <w:widowControl/>
        <w:numPr>
          <w:ilvl w:val="0"/>
          <w:numId w:val="51"/>
        </w:numPr>
        <w:spacing w:after="200" w:line="276" w:lineRule="auto"/>
        <w:ind w:right="0"/>
        <w:rPr>
          <w:rFonts w:cs="Arial"/>
        </w:rPr>
      </w:pPr>
      <w:r>
        <w:rPr>
          <w:rFonts w:cs="Arial"/>
        </w:rPr>
        <w:t xml:space="preserve">In accordance with Article 21(1)(b)(vii) of the CACM Regulation, SEE TSOs take into account the influences of other CCRs by making assumptions on what will be the future non-SEE exchanges in accordance with Article 18(3) of the CACM Regulation and Article 19 of the </w:t>
      </w:r>
      <w:r w:rsidR="009522DE">
        <w:rPr>
          <w:rFonts w:cs="Arial"/>
        </w:rPr>
        <w:t>CGMM</w:t>
      </w:r>
      <w:r>
        <w:rPr>
          <w:rFonts w:cs="Arial"/>
        </w:rPr>
        <w:t>.</w:t>
      </w:r>
    </w:p>
    <w:p w14:paraId="7FA7170B" w14:textId="30996974" w:rsidR="00A43A1D" w:rsidRDefault="00A43A1D" w:rsidP="00FE216F">
      <w:pPr>
        <w:pStyle w:val="ListParagraph"/>
        <w:widowControl/>
        <w:numPr>
          <w:ilvl w:val="0"/>
          <w:numId w:val="51"/>
        </w:numPr>
        <w:spacing w:line="276" w:lineRule="auto"/>
        <w:ind w:left="357" w:right="0" w:hanging="357"/>
        <w:rPr>
          <w:rFonts w:cs="Arial"/>
        </w:rPr>
      </w:pPr>
      <w:r>
        <w:rPr>
          <w:rFonts w:cs="Arial"/>
        </w:rPr>
        <w:t>The assumptions of non-SEE</w:t>
      </w:r>
      <w:r w:rsidR="001504AC" w:rsidRPr="001504AC">
        <w:rPr>
          <w:rFonts w:cs="Arial"/>
        </w:rPr>
        <w:t xml:space="preserve"> </w:t>
      </w:r>
      <w:r>
        <w:rPr>
          <w:rFonts w:cs="Arial"/>
        </w:rPr>
        <w:t>exchanges are implicitly captured in the relevant CGM by the non-SEE TSOs’ best forecasts of net positions and flows for HVDC lines, according to Article</w:t>
      </w:r>
      <w:r w:rsidR="00EE55E8">
        <w:rPr>
          <w:rFonts w:cs="Arial"/>
        </w:rPr>
        <w:t xml:space="preserve"> 18(3) of CACM Regulation and</w:t>
      </w:r>
      <w:r>
        <w:rPr>
          <w:rFonts w:cs="Arial"/>
        </w:rPr>
        <w:t xml:space="preserve"> are used as the basis for the common capacity calculation. In SEE CCR, this constitutes the rule for sharing power</w:t>
      </w:r>
      <w:r w:rsidR="00EE55E8">
        <w:rPr>
          <w:rFonts w:cs="Arial"/>
        </w:rPr>
        <w:t xml:space="preserve"> flow capabilities </w:t>
      </w:r>
      <w:r>
        <w:rPr>
          <w:rFonts w:cs="Arial"/>
        </w:rPr>
        <w:t xml:space="preserve">among different CCRs. </w:t>
      </w:r>
    </w:p>
    <w:p w14:paraId="71C11CBD" w14:textId="77777777" w:rsidR="00FE216F" w:rsidRDefault="00FE216F" w:rsidP="00FE216F">
      <w:pPr>
        <w:pStyle w:val="ListParagraph"/>
        <w:widowControl/>
        <w:spacing w:line="276" w:lineRule="auto"/>
        <w:ind w:left="357" w:right="0" w:firstLine="0"/>
        <w:rPr>
          <w:rFonts w:cs="Arial"/>
        </w:rPr>
      </w:pPr>
    </w:p>
    <w:p w14:paraId="036AC22C" w14:textId="16B4AC19" w:rsidR="002A72C5" w:rsidRDefault="007F2107" w:rsidP="00457547">
      <w:pPr>
        <w:pStyle w:val="Title1"/>
      </w:pPr>
      <w:r>
        <w:t>Article 1</w:t>
      </w:r>
      <w:r w:rsidR="000103FD">
        <w:t>4</w:t>
      </w:r>
    </w:p>
    <w:p w14:paraId="31A7C78F" w14:textId="7CCC1C76" w:rsidR="002A72C5" w:rsidRDefault="007F2107" w:rsidP="00457547">
      <w:pPr>
        <w:pStyle w:val="Title1"/>
      </w:pPr>
      <w:r>
        <w:t xml:space="preserve">Publication and </w:t>
      </w:r>
      <w:r w:rsidR="000533D4">
        <w:t xml:space="preserve">Timescale for </w:t>
      </w:r>
      <w:r>
        <w:t xml:space="preserve">Implementation of the </w:t>
      </w:r>
      <w:r w:rsidR="00883A2E">
        <w:t xml:space="preserve">capacity calculation </w:t>
      </w:r>
      <w:r>
        <w:t>methodology</w:t>
      </w:r>
    </w:p>
    <w:p w14:paraId="5AAFEDAC" w14:textId="77777777" w:rsidR="00FE216F" w:rsidRDefault="00FE216F" w:rsidP="00FE216F">
      <w:pPr>
        <w:pStyle w:val="Title1"/>
        <w:ind w:left="465" w:right="856"/>
      </w:pPr>
    </w:p>
    <w:p w14:paraId="0C9F8DEC" w14:textId="0ED4C186" w:rsidR="002A72C5" w:rsidRDefault="007F2107" w:rsidP="00D86E1E">
      <w:pPr>
        <w:pStyle w:val="ListParagraph"/>
        <w:numPr>
          <w:ilvl w:val="0"/>
          <w:numId w:val="2"/>
        </w:numPr>
        <w:tabs>
          <w:tab w:val="left" w:pos="548"/>
        </w:tabs>
        <w:spacing w:after="200" w:line="259" w:lineRule="auto"/>
        <w:ind w:left="426" w:right="0" w:hanging="425"/>
      </w:pPr>
      <w:r>
        <w:t xml:space="preserve">The TSOs of </w:t>
      </w:r>
      <w:r w:rsidR="00243981">
        <w:t xml:space="preserve">the </w:t>
      </w:r>
      <w:r w:rsidR="00D35119">
        <w:t xml:space="preserve">SEE </w:t>
      </w:r>
      <w:r w:rsidR="00883A2E">
        <w:t>CCR</w:t>
      </w:r>
      <w:r>
        <w:t xml:space="preserve"> shall publish th</w:t>
      </w:r>
      <w:r w:rsidR="00243981">
        <w:t>is</w:t>
      </w:r>
      <w:r>
        <w:t xml:space="preserve"> </w:t>
      </w:r>
      <w:r w:rsidR="00883A2E">
        <w:t xml:space="preserve">day-ahead and intraday capacity calculation </w:t>
      </w:r>
      <w:r>
        <w:t xml:space="preserve">methodology without undue delay after </w:t>
      </w:r>
      <w:r w:rsidR="00243981">
        <w:t xml:space="preserve">all </w:t>
      </w:r>
      <w:r w:rsidR="00937081">
        <w:t>relevant</w:t>
      </w:r>
      <w:r w:rsidR="00F82627">
        <w:t xml:space="preserve"> </w:t>
      </w:r>
      <w:r>
        <w:t>national regulatory authorities have approved the proposed methodology or a decision has been taken</w:t>
      </w:r>
      <w:r>
        <w:rPr>
          <w:spacing w:val="-8"/>
        </w:rPr>
        <w:t xml:space="preserve"> </w:t>
      </w:r>
      <w:r>
        <w:t>by</w:t>
      </w:r>
      <w:r>
        <w:rPr>
          <w:spacing w:val="-11"/>
        </w:rPr>
        <w:t xml:space="preserve"> </w:t>
      </w:r>
      <w:r>
        <w:t>the</w:t>
      </w:r>
      <w:r>
        <w:rPr>
          <w:spacing w:val="-8"/>
        </w:rPr>
        <w:t xml:space="preserve"> </w:t>
      </w:r>
      <w:r>
        <w:t>Agency</w:t>
      </w:r>
      <w:r>
        <w:rPr>
          <w:spacing w:val="-11"/>
        </w:rPr>
        <w:t xml:space="preserve"> </w:t>
      </w:r>
      <w:r>
        <w:t>for</w:t>
      </w:r>
      <w:r>
        <w:rPr>
          <w:spacing w:val="-8"/>
        </w:rPr>
        <w:t xml:space="preserve"> </w:t>
      </w:r>
      <w:r>
        <w:t>the</w:t>
      </w:r>
      <w:r>
        <w:rPr>
          <w:spacing w:val="-10"/>
        </w:rPr>
        <w:t xml:space="preserve"> </w:t>
      </w:r>
      <w:r>
        <w:t>Cooperation</w:t>
      </w:r>
      <w:r>
        <w:rPr>
          <w:spacing w:val="-8"/>
        </w:rPr>
        <w:t xml:space="preserve"> </w:t>
      </w:r>
      <w:r>
        <w:t>of</w:t>
      </w:r>
      <w:r>
        <w:rPr>
          <w:spacing w:val="-8"/>
        </w:rPr>
        <w:t xml:space="preserve"> </w:t>
      </w:r>
      <w:r>
        <w:t>Energy</w:t>
      </w:r>
      <w:r>
        <w:rPr>
          <w:spacing w:val="-11"/>
        </w:rPr>
        <w:t xml:space="preserve"> </w:t>
      </w:r>
      <w:r>
        <w:t>Regulators</w:t>
      </w:r>
      <w:r>
        <w:rPr>
          <w:spacing w:val="-10"/>
        </w:rPr>
        <w:t xml:space="preserve"> </w:t>
      </w:r>
      <w:r>
        <w:t>in</w:t>
      </w:r>
      <w:r>
        <w:rPr>
          <w:spacing w:val="-11"/>
        </w:rPr>
        <w:t xml:space="preserve"> </w:t>
      </w:r>
      <w:r>
        <w:t>accordance</w:t>
      </w:r>
      <w:r>
        <w:rPr>
          <w:spacing w:val="-10"/>
        </w:rPr>
        <w:t xml:space="preserve"> </w:t>
      </w:r>
      <w:r>
        <w:t>with</w:t>
      </w:r>
      <w:r>
        <w:rPr>
          <w:spacing w:val="-11"/>
        </w:rPr>
        <w:t xml:space="preserve"> </w:t>
      </w:r>
      <w:r>
        <w:t>Article</w:t>
      </w:r>
      <w:r>
        <w:rPr>
          <w:spacing w:val="-10"/>
        </w:rPr>
        <w:t xml:space="preserve"> </w:t>
      </w:r>
      <w:r>
        <w:t>9</w:t>
      </w:r>
      <w:r>
        <w:rPr>
          <w:spacing w:val="-11"/>
        </w:rPr>
        <w:t xml:space="preserve"> </w:t>
      </w:r>
      <w:r>
        <w:t>(10),</w:t>
      </w:r>
      <w:r>
        <w:rPr>
          <w:spacing w:val="-11"/>
        </w:rPr>
        <w:t xml:space="preserve"> </w:t>
      </w:r>
      <w:r>
        <w:t>(11) and (12) of the CACM</w:t>
      </w:r>
      <w:r>
        <w:rPr>
          <w:spacing w:val="-6"/>
        </w:rPr>
        <w:t xml:space="preserve"> </w:t>
      </w:r>
      <w:r>
        <w:t>Regulation.</w:t>
      </w:r>
    </w:p>
    <w:p w14:paraId="53FEEAA4" w14:textId="74AB9CEB" w:rsidR="005E3072" w:rsidRDefault="00414B70" w:rsidP="00034548">
      <w:pPr>
        <w:pStyle w:val="ListParagraph"/>
        <w:numPr>
          <w:ilvl w:val="0"/>
          <w:numId w:val="2"/>
        </w:numPr>
        <w:tabs>
          <w:tab w:val="left" w:pos="548"/>
        </w:tabs>
        <w:spacing w:line="259" w:lineRule="auto"/>
        <w:ind w:left="425" w:right="0" w:hanging="425"/>
      </w:pPr>
      <w:r>
        <w:t xml:space="preserve">The TSOs of the SEE CCR </w:t>
      </w:r>
      <w:r w:rsidR="003F531C">
        <w:t>shall</w:t>
      </w:r>
      <w:r>
        <w:t xml:space="preserve"> </w:t>
      </w:r>
      <w:r w:rsidR="00034548">
        <w:t>start</w:t>
      </w:r>
      <w:r w:rsidR="00076BBA">
        <w:t xml:space="preserve"> the</w:t>
      </w:r>
      <w:r w:rsidR="00034548">
        <w:t xml:space="preserve"> </w:t>
      </w:r>
      <w:r>
        <w:t>implement</w:t>
      </w:r>
      <w:r w:rsidR="00076BBA">
        <w:t>ation process of</w:t>
      </w:r>
      <w:r>
        <w:t xml:space="preserve"> th</w:t>
      </w:r>
      <w:r w:rsidR="003F531C">
        <w:t>is</w:t>
      </w:r>
      <w:r>
        <w:t xml:space="preserve"> common capacity calculation </w:t>
      </w:r>
      <w:r w:rsidR="003F531C">
        <w:t xml:space="preserve">methodology </w:t>
      </w:r>
      <w:r w:rsidR="00225DF1">
        <w:t>with the entry into force of thi</w:t>
      </w:r>
      <w:r w:rsidR="004B6524">
        <w:t>s methodology and shall consist</w:t>
      </w:r>
      <w:r w:rsidR="00225DF1">
        <w:t xml:space="preserve"> of the following steps</w:t>
      </w:r>
      <w:r w:rsidR="005E3072">
        <w:t>:</w:t>
      </w:r>
    </w:p>
    <w:p w14:paraId="43D74C2B" w14:textId="77777777" w:rsidR="005E3072" w:rsidRPr="005E3072" w:rsidRDefault="005E3072" w:rsidP="0022216C">
      <w:pPr>
        <w:pStyle w:val="ListParagraph"/>
        <w:numPr>
          <w:ilvl w:val="0"/>
          <w:numId w:val="95"/>
        </w:numPr>
        <w:tabs>
          <w:tab w:val="left" w:pos="548"/>
        </w:tabs>
        <w:ind w:left="1145" w:right="0" w:hanging="357"/>
        <w:rPr>
          <w:lang w:val="en-GB"/>
        </w:rPr>
      </w:pPr>
      <w:r w:rsidRPr="005E3072">
        <w:rPr>
          <w:lang w:val="en-GB"/>
        </w:rPr>
        <w:t>Internal parallel run, during which the TSOs shall test the operational processes for capacity calculation inputs, capacity calculation process and capacity validation and develop the appropriate IT tools and infrastructure;</w:t>
      </w:r>
    </w:p>
    <w:p w14:paraId="3591F34D" w14:textId="5E0AAD13" w:rsidR="005E3072" w:rsidRPr="005E3072" w:rsidRDefault="005E3072" w:rsidP="0022216C">
      <w:pPr>
        <w:pStyle w:val="ListParagraph"/>
        <w:numPr>
          <w:ilvl w:val="0"/>
          <w:numId w:val="95"/>
        </w:numPr>
        <w:tabs>
          <w:tab w:val="left" w:pos="548"/>
        </w:tabs>
        <w:spacing w:after="200"/>
        <w:ind w:right="0"/>
        <w:rPr>
          <w:lang w:val="en-GB"/>
        </w:rPr>
      </w:pPr>
      <w:r w:rsidRPr="005E3072">
        <w:rPr>
          <w:lang w:val="en-GB"/>
        </w:rPr>
        <w:t xml:space="preserve">External parallel run, during which the TSOs will continue testing their internal processes and IT tools and infrastructure. In addition, </w:t>
      </w:r>
      <w:r>
        <w:rPr>
          <w:lang w:val="en-GB"/>
        </w:rPr>
        <w:t>SEE</w:t>
      </w:r>
      <w:r w:rsidRPr="005E3072">
        <w:rPr>
          <w:lang w:val="en-GB"/>
        </w:rPr>
        <w:t xml:space="preserve"> TSOs will involve market participants to test the effects of applying this methodology on the market. In accordance with Article 20(8) of CACM Regulation, this phase shall not be shorter than 6 months.</w:t>
      </w:r>
    </w:p>
    <w:p w14:paraId="2646555F" w14:textId="66EC5815" w:rsidR="009779F3" w:rsidRDefault="009779F3" w:rsidP="009779F3">
      <w:pPr>
        <w:pStyle w:val="ListParagraph"/>
        <w:numPr>
          <w:ilvl w:val="0"/>
          <w:numId w:val="2"/>
        </w:numPr>
        <w:tabs>
          <w:tab w:val="left" w:pos="548"/>
        </w:tabs>
        <w:spacing w:after="200" w:line="259" w:lineRule="auto"/>
        <w:ind w:right="0"/>
      </w:pPr>
      <w:r>
        <w:t>During the internal and external parallel run</w:t>
      </w:r>
      <w:r w:rsidR="003E208D">
        <w:t>,</w:t>
      </w:r>
      <w:r>
        <w:t xml:space="preserve"> SEE </w:t>
      </w:r>
      <w:r w:rsidRPr="009779F3">
        <w:t xml:space="preserve">TSOs </w:t>
      </w:r>
      <w:r>
        <w:t>s</w:t>
      </w:r>
      <w:r w:rsidRPr="009779F3">
        <w:t>hall continu</w:t>
      </w:r>
      <w:r>
        <w:t>ously</w:t>
      </w:r>
      <w:r w:rsidRPr="009779F3">
        <w:t xml:space="preserve"> monitor the effects and the performance of </w:t>
      </w:r>
      <w:r w:rsidR="006D3E4D">
        <w:t xml:space="preserve">the application of </w:t>
      </w:r>
      <w:r w:rsidRPr="009779F3">
        <w:t xml:space="preserve">this methodology. </w:t>
      </w:r>
      <w:r w:rsidR="006D3E4D">
        <w:t xml:space="preserve">For this purpose, they shall develop, in coordination with SEE NRAs, the Agency and stakeholders, the monitoring and performance criteria and report on the outcome of this monitoring on a quarterly basis in a quarterly report. After the implementation of this methodology outcome of this monitoring shall be reported in the annual report. </w:t>
      </w:r>
    </w:p>
    <w:p w14:paraId="7E91C7DD" w14:textId="52D4D31A" w:rsidR="00414B70" w:rsidRDefault="00B94FA5" w:rsidP="00D86E1E">
      <w:pPr>
        <w:pStyle w:val="ListParagraph"/>
        <w:numPr>
          <w:ilvl w:val="0"/>
          <w:numId w:val="2"/>
        </w:numPr>
        <w:tabs>
          <w:tab w:val="left" w:pos="548"/>
        </w:tabs>
        <w:spacing w:after="200" w:line="259" w:lineRule="auto"/>
        <w:ind w:left="426" w:right="0" w:hanging="425"/>
      </w:pPr>
      <w:r w:rsidRPr="00B94FA5">
        <w:t>The TSOs of the SEE CCR shall implement th</w:t>
      </w:r>
      <w:r>
        <w:t>e</w:t>
      </w:r>
      <w:r w:rsidRPr="00B94FA5">
        <w:t xml:space="preserve"> day-ahead common capacity calculation methodology</w:t>
      </w:r>
      <w:r w:rsidR="00225DF1">
        <w:t xml:space="preserve"> </w:t>
      </w:r>
      <w:r w:rsidR="000F5E36">
        <w:t>no later than</w:t>
      </w:r>
      <w:r w:rsidR="005B7B38">
        <w:t xml:space="preserve"> 1</w:t>
      </w:r>
      <w:r w:rsidR="005B7B38" w:rsidRPr="00D0161F">
        <w:rPr>
          <w:vertAlign w:val="superscript"/>
        </w:rPr>
        <w:t>st</w:t>
      </w:r>
      <w:r w:rsidR="005B7B38">
        <w:t xml:space="preserve"> of </w:t>
      </w:r>
      <w:r w:rsidR="00CE34F2">
        <w:t xml:space="preserve">October </w:t>
      </w:r>
      <w:r w:rsidR="005B7B38">
        <w:t>202</w:t>
      </w:r>
      <w:r w:rsidR="00482776">
        <w:t>5</w:t>
      </w:r>
      <w:r w:rsidR="00076BBA">
        <w:t>.</w:t>
      </w:r>
    </w:p>
    <w:p w14:paraId="4E53A37A" w14:textId="77777777" w:rsidR="00CB3D3A" w:rsidRPr="00CB3D3A" w:rsidRDefault="00CB3D3A" w:rsidP="0047580F">
      <w:pPr>
        <w:pStyle w:val="ListParagraph"/>
        <w:widowControl/>
        <w:numPr>
          <w:ilvl w:val="0"/>
          <w:numId w:val="2"/>
        </w:numPr>
        <w:autoSpaceDE w:val="0"/>
        <w:autoSpaceDN w:val="0"/>
        <w:adjustRightInd w:val="0"/>
        <w:ind w:left="426" w:right="-46" w:hanging="426"/>
      </w:pPr>
      <w:r w:rsidRPr="00CB3D3A">
        <w:t>The TSOs of the SEE CCR shall implement intraday capacity calculation within the following timeframes:</w:t>
      </w:r>
    </w:p>
    <w:p w14:paraId="79B34E5E" w14:textId="2C92E0C5" w:rsidR="00CB3D3A" w:rsidRPr="00CB3D3A" w:rsidRDefault="00CB3D3A" w:rsidP="00CB3D3A">
      <w:pPr>
        <w:pStyle w:val="ListParagraph"/>
        <w:widowControl/>
        <w:numPr>
          <w:ilvl w:val="0"/>
          <w:numId w:val="99"/>
        </w:numPr>
        <w:autoSpaceDE w:val="0"/>
        <w:autoSpaceDN w:val="0"/>
        <w:adjustRightInd w:val="0"/>
        <w:ind w:left="1134" w:right="-46"/>
      </w:pPr>
      <w:r w:rsidRPr="00CB3D3A">
        <w:t>Update of cross-zonal capacities pursuant to Article 5(9)(a) by the deadline of implementation of day-ahead capacity calculation;</w:t>
      </w:r>
    </w:p>
    <w:p w14:paraId="6ED25E30" w14:textId="32ACA6F4" w:rsidR="00CB3D3A" w:rsidRPr="00CB3D3A" w:rsidRDefault="00CB3D3A" w:rsidP="00CB3D3A">
      <w:pPr>
        <w:pStyle w:val="ListParagraph"/>
        <w:widowControl/>
        <w:numPr>
          <w:ilvl w:val="0"/>
          <w:numId w:val="99"/>
        </w:numPr>
        <w:autoSpaceDE w:val="0"/>
        <w:autoSpaceDN w:val="0"/>
        <w:adjustRightInd w:val="0"/>
        <w:ind w:left="1134" w:right="-46"/>
      </w:pPr>
      <w:r w:rsidRPr="00CB3D3A">
        <w:t>Calculation of intraday cross-zonal capacities pursuant to Article 5(9) (b) by 3 months after the implementation of day-ahead capacity calculation methodology; and</w:t>
      </w:r>
    </w:p>
    <w:p w14:paraId="177442F6" w14:textId="1E206694" w:rsidR="00CB3D3A" w:rsidRPr="00CB3D3A" w:rsidRDefault="00CB3D3A" w:rsidP="005755B1">
      <w:pPr>
        <w:pStyle w:val="ListParagraph"/>
        <w:widowControl/>
        <w:numPr>
          <w:ilvl w:val="0"/>
          <w:numId w:val="99"/>
        </w:numPr>
        <w:autoSpaceDE w:val="0"/>
        <w:autoSpaceDN w:val="0"/>
        <w:adjustRightInd w:val="0"/>
        <w:spacing w:after="200"/>
        <w:ind w:left="1134" w:right="-45" w:hanging="357"/>
      </w:pPr>
      <w:r w:rsidRPr="00CB3D3A">
        <w:t>Re-calculation of intraday cross-zonal capacities pursuant to Article 5(9)(c) by 12 months after the implementation of calculation of intraday cross-zonal capacities pursuant to point (b) of this paragraph.</w:t>
      </w:r>
    </w:p>
    <w:p w14:paraId="34C3DC30" w14:textId="6D265B47" w:rsidR="00F071A0" w:rsidRDefault="00F071A0" w:rsidP="00464615">
      <w:pPr>
        <w:pStyle w:val="ListParagraph"/>
        <w:numPr>
          <w:ilvl w:val="0"/>
          <w:numId w:val="2"/>
        </w:numPr>
        <w:tabs>
          <w:tab w:val="left" w:pos="548"/>
        </w:tabs>
        <w:spacing w:line="259" w:lineRule="auto"/>
        <w:ind w:left="425" w:right="0" w:hanging="425"/>
      </w:pPr>
      <w:r>
        <w:t>Parallel runs may start at the earliest due to time required for procurement, development and testing of the industrial capacity calculation tool.</w:t>
      </w:r>
    </w:p>
    <w:p w14:paraId="7616721B" w14:textId="30CA3CAE" w:rsidR="00CD48E1" w:rsidRDefault="00CD48E1" w:rsidP="00B93691">
      <w:pPr>
        <w:pStyle w:val="Title1"/>
      </w:pPr>
    </w:p>
    <w:p w14:paraId="5986B527" w14:textId="77777777" w:rsidR="00A65A9F" w:rsidRDefault="00A65A9F" w:rsidP="00B93691">
      <w:pPr>
        <w:pStyle w:val="Title1"/>
      </w:pPr>
    </w:p>
    <w:p w14:paraId="6D24039C" w14:textId="22C49B5A" w:rsidR="00B93691" w:rsidRDefault="00A43A1D" w:rsidP="00B93691">
      <w:pPr>
        <w:pStyle w:val="Title1"/>
      </w:pPr>
      <w:r>
        <w:lastRenderedPageBreak/>
        <w:t>Article 1</w:t>
      </w:r>
      <w:r w:rsidR="00724BFA">
        <w:t>5</w:t>
      </w:r>
    </w:p>
    <w:p w14:paraId="19AB6525" w14:textId="64B8785F" w:rsidR="00B93691" w:rsidRDefault="00B93691" w:rsidP="00B93691">
      <w:pPr>
        <w:pStyle w:val="Title1"/>
      </w:pPr>
      <w:r>
        <w:t>Reviews and updates</w:t>
      </w:r>
    </w:p>
    <w:p w14:paraId="071DE9EB" w14:textId="77777777" w:rsidR="00B93691" w:rsidRPr="00987280" w:rsidRDefault="00B93691" w:rsidP="00AB2578">
      <w:pPr>
        <w:widowControl/>
        <w:spacing w:line="276" w:lineRule="auto"/>
        <w:contextualSpacing/>
        <w:rPr>
          <w:rFonts w:cs="Arial"/>
        </w:rPr>
      </w:pPr>
    </w:p>
    <w:p w14:paraId="19DDF480" w14:textId="71C3CF90" w:rsidR="00B93691" w:rsidRPr="00C47195" w:rsidRDefault="00B93691" w:rsidP="00DC3F41">
      <w:pPr>
        <w:pStyle w:val="ListParagraph"/>
        <w:widowControl/>
        <w:numPr>
          <w:ilvl w:val="0"/>
          <w:numId w:val="43"/>
        </w:numPr>
        <w:spacing w:after="200" w:line="276" w:lineRule="auto"/>
        <w:ind w:right="0"/>
        <w:rPr>
          <w:rFonts w:cs="Arial"/>
        </w:rPr>
      </w:pPr>
      <w:r>
        <w:rPr>
          <w:rFonts w:cs="Arial"/>
        </w:rPr>
        <w:t xml:space="preserve">Based on Article 3(f) of the CACM Regulation and in accordance with Article 27(4) of the CACM Regulation all TSOs shall regularly and at least once a year review and update the key input and output parameters listed in Article 27(4)(a) to (d) of the CACM Regulation. </w:t>
      </w:r>
    </w:p>
    <w:p w14:paraId="6A44F19A" w14:textId="1AEF0540" w:rsidR="00B93691" w:rsidRDefault="00B93691" w:rsidP="00DC3F41">
      <w:pPr>
        <w:pStyle w:val="ListParagraph"/>
        <w:widowControl/>
        <w:numPr>
          <w:ilvl w:val="0"/>
          <w:numId w:val="43"/>
        </w:numPr>
        <w:spacing w:after="200" w:line="276" w:lineRule="auto"/>
        <w:ind w:right="0" w:hanging="357"/>
        <w:rPr>
          <w:rFonts w:cs="Arial"/>
        </w:rPr>
      </w:pPr>
      <w:r>
        <w:rPr>
          <w:rFonts w:cs="Arial"/>
        </w:rPr>
        <w:t>In case the review proves the need of an update of the reliability margins</w:t>
      </w:r>
      <w:r w:rsidR="00572555">
        <w:rPr>
          <w:rFonts w:cs="Arial"/>
        </w:rPr>
        <w:t xml:space="preserve"> methodology</w:t>
      </w:r>
      <w:r>
        <w:rPr>
          <w:rFonts w:cs="Arial"/>
        </w:rPr>
        <w:t>, SEE TSOs shall publish the changes at least 1 month before the implementation.</w:t>
      </w:r>
    </w:p>
    <w:p w14:paraId="4D17A028" w14:textId="144078F9" w:rsidR="009E79A7" w:rsidRDefault="009E79A7" w:rsidP="00DC3F41">
      <w:pPr>
        <w:pStyle w:val="ListParagraph"/>
        <w:widowControl/>
        <w:numPr>
          <w:ilvl w:val="0"/>
          <w:numId w:val="43"/>
        </w:numPr>
        <w:spacing w:after="200" w:line="276" w:lineRule="auto"/>
        <w:ind w:right="0" w:hanging="357"/>
        <w:rPr>
          <w:rFonts w:cs="Arial"/>
        </w:rPr>
      </w:pPr>
      <w:r>
        <w:rPr>
          <w:rFonts w:cs="Arial"/>
        </w:rPr>
        <w:t>In case the review proves the need of an update of the operational security limits, critical network elements and contingencies used for capacity calculation inputs pursuant to article 7, TSOs</w:t>
      </w:r>
      <w:r w:rsidR="0047580F">
        <w:rPr>
          <w:rFonts w:cs="Arial"/>
        </w:rPr>
        <w:t xml:space="preserve"> the SEE CCR</w:t>
      </w:r>
      <w:r>
        <w:rPr>
          <w:rFonts w:cs="Arial"/>
        </w:rPr>
        <w:t xml:space="preserve"> shall publish the changes at least 1 week before the implementation.</w:t>
      </w:r>
    </w:p>
    <w:p w14:paraId="71F58B91" w14:textId="086DB33D" w:rsidR="00B93691" w:rsidRDefault="00B93691" w:rsidP="00DC3F41">
      <w:pPr>
        <w:pStyle w:val="ListParagraph"/>
        <w:widowControl/>
        <w:numPr>
          <w:ilvl w:val="0"/>
          <w:numId w:val="43"/>
        </w:numPr>
        <w:spacing w:after="200" w:line="276" w:lineRule="auto"/>
        <w:ind w:right="0" w:hanging="357"/>
        <w:rPr>
          <w:rFonts w:cs="Arial"/>
        </w:rPr>
      </w:pPr>
      <w:r>
        <w:rPr>
          <w:rFonts w:cs="Arial"/>
        </w:rPr>
        <w:t xml:space="preserve">The review of the common list of </w:t>
      </w:r>
      <w:r w:rsidR="008F7F45">
        <w:rPr>
          <w:rFonts w:cs="Arial"/>
        </w:rPr>
        <w:t>RAs</w:t>
      </w:r>
      <w:r>
        <w:rPr>
          <w:rFonts w:cs="Arial"/>
        </w:rPr>
        <w:t xml:space="preserve"> taken into account in capacity calculation shall include at least an evaluation of the efficiency of RAs considered during </w:t>
      </w:r>
      <w:r w:rsidR="00572555">
        <w:rPr>
          <w:rFonts w:cs="Arial"/>
        </w:rPr>
        <w:t>RAC</w:t>
      </w:r>
      <w:r>
        <w:rPr>
          <w:rFonts w:cs="Arial"/>
        </w:rPr>
        <w:t xml:space="preserve">. </w:t>
      </w:r>
    </w:p>
    <w:p w14:paraId="73F825B8" w14:textId="0EB4FE29" w:rsidR="00B93691" w:rsidRDefault="00B93691" w:rsidP="00DC3F41">
      <w:pPr>
        <w:pStyle w:val="ListParagraph"/>
        <w:widowControl/>
        <w:numPr>
          <w:ilvl w:val="0"/>
          <w:numId w:val="43"/>
        </w:numPr>
        <w:spacing w:after="200" w:line="276" w:lineRule="auto"/>
        <w:ind w:right="0" w:hanging="357"/>
        <w:rPr>
          <w:rFonts w:cs="Arial"/>
        </w:rPr>
      </w:pPr>
      <w:r>
        <w:rPr>
          <w:rFonts w:cs="Arial"/>
        </w:rPr>
        <w:t xml:space="preserve">In case the review proves the need for updating the application of the methodologies for determining generation shift keys, operational security limits, </w:t>
      </w:r>
      <w:r w:rsidR="00D325D1">
        <w:rPr>
          <w:rFonts w:cs="Arial"/>
        </w:rPr>
        <w:t xml:space="preserve">critical network elements </w:t>
      </w:r>
      <w:r>
        <w:rPr>
          <w:rFonts w:cs="Arial"/>
        </w:rPr>
        <w:t>and contingencies referred to in Articles 23 to 24 of the CACM Regulation, changes have to be published at least 3 months before the final implementation.</w:t>
      </w:r>
    </w:p>
    <w:p w14:paraId="11CC015A" w14:textId="7381E946" w:rsidR="00B93691" w:rsidRDefault="00B93691" w:rsidP="00DC3F41">
      <w:pPr>
        <w:pStyle w:val="ListParagraph"/>
        <w:widowControl/>
        <w:numPr>
          <w:ilvl w:val="0"/>
          <w:numId w:val="43"/>
        </w:numPr>
        <w:spacing w:after="200" w:line="276" w:lineRule="auto"/>
        <w:ind w:right="0" w:hanging="357"/>
        <w:rPr>
          <w:rFonts w:cs="Arial"/>
        </w:rPr>
      </w:pPr>
      <w:r>
        <w:rPr>
          <w:rFonts w:cs="Arial"/>
        </w:rPr>
        <w:t>Any changes of parameters listed in Article 27(4) of the CACM Regulation have to be communicated to market participants</w:t>
      </w:r>
      <w:r w:rsidR="003C736C">
        <w:rPr>
          <w:rFonts w:cs="Arial"/>
        </w:rPr>
        <w:t>,</w:t>
      </w:r>
      <w:r>
        <w:rPr>
          <w:rFonts w:cs="Arial"/>
        </w:rPr>
        <w:t xml:space="preserve"> SEE NRAs</w:t>
      </w:r>
      <w:r w:rsidR="003C736C">
        <w:rPr>
          <w:rFonts w:cs="Arial"/>
        </w:rPr>
        <w:t xml:space="preserve"> and the Agency</w:t>
      </w:r>
      <w:r>
        <w:rPr>
          <w:rFonts w:cs="Arial"/>
        </w:rPr>
        <w:t xml:space="preserve">. </w:t>
      </w:r>
    </w:p>
    <w:p w14:paraId="52839907" w14:textId="06536995" w:rsidR="00457547" w:rsidRDefault="00B93691" w:rsidP="00DC3F41">
      <w:pPr>
        <w:pStyle w:val="ListParagraph"/>
        <w:widowControl/>
        <w:numPr>
          <w:ilvl w:val="0"/>
          <w:numId w:val="43"/>
        </w:numPr>
        <w:spacing w:line="276" w:lineRule="auto"/>
        <w:ind w:left="363" w:right="0" w:hanging="357"/>
        <w:rPr>
          <w:rFonts w:cs="Arial"/>
        </w:rPr>
      </w:pPr>
      <w:r>
        <w:rPr>
          <w:rFonts w:cs="Arial"/>
        </w:rPr>
        <w:t xml:space="preserve">The impact of any changes of </w:t>
      </w:r>
      <w:r w:rsidR="00572555">
        <w:rPr>
          <w:rFonts w:cs="Arial"/>
        </w:rPr>
        <w:t>the</w:t>
      </w:r>
      <w:r>
        <w:rPr>
          <w:rFonts w:cs="Arial"/>
        </w:rPr>
        <w:t xml:space="preserve"> parameters listed in Article 27(4)(d) of the CACM Regulation have to be communicated to </w:t>
      </w:r>
      <w:r w:rsidR="003C736C">
        <w:rPr>
          <w:rFonts w:cs="Arial"/>
        </w:rPr>
        <w:t xml:space="preserve">market participants, </w:t>
      </w:r>
      <w:r>
        <w:rPr>
          <w:rFonts w:cs="Arial"/>
        </w:rPr>
        <w:t xml:space="preserve">SEE </w:t>
      </w:r>
      <w:r w:rsidR="003C736C">
        <w:rPr>
          <w:rFonts w:cs="Arial"/>
        </w:rPr>
        <w:t>regulatory authorities and the Agency</w:t>
      </w:r>
      <w:r>
        <w:rPr>
          <w:rFonts w:cs="Arial"/>
        </w:rPr>
        <w:t>. If any change leads to an adaption of th</w:t>
      </w:r>
      <w:r w:rsidR="00B47A7E">
        <w:rPr>
          <w:rFonts w:cs="Arial"/>
        </w:rPr>
        <w:t>is</w:t>
      </w:r>
      <w:r>
        <w:rPr>
          <w:rFonts w:cs="Arial"/>
        </w:rPr>
        <w:t xml:space="preserve"> methodology, SEE TSOs will amend th</w:t>
      </w:r>
      <w:r w:rsidR="00B47A7E">
        <w:rPr>
          <w:rFonts w:cs="Arial"/>
        </w:rPr>
        <w:t>is</w:t>
      </w:r>
      <w:r>
        <w:rPr>
          <w:rFonts w:cs="Arial"/>
        </w:rPr>
        <w:t xml:space="preserve"> methodology according to Article 9(13) of the CACM Regulation. </w:t>
      </w:r>
    </w:p>
    <w:p w14:paraId="3EB8893A" w14:textId="77777777" w:rsidR="00D86E1E" w:rsidRPr="00987280" w:rsidRDefault="00D86E1E" w:rsidP="00D86E1E">
      <w:pPr>
        <w:pStyle w:val="ListParagraph"/>
        <w:widowControl/>
        <w:spacing w:line="276" w:lineRule="auto"/>
        <w:ind w:left="357" w:right="0" w:firstLine="0"/>
        <w:rPr>
          <w:rFonts w:cs="Arial"/>
        </w:rPr>
      </w:pPr>
    </w:p>
    <w:p w14:paraId="43A43204" w14:textId="0FD37BCE" w:rsidR="00B41C4C" w:rsidRDefault="00B41C4C" w:rsidP="00457547">
      <w:pPr>
        <w:pStyle w:val="Title1"/>
      </w:pPr>
      <w:bookmarkStart w:id="7" w:name="_TOC_250000"/>
      <w:bookmarkEnd w:id="7"/>
      <w:r>
        <w:t>Article 1</w:t>
      </w:r>
      <w:r w:rsidR="00B63192">
        <w:t>6</w:t>
      </w:r>
    </w:p>
    <w:p w14:paraId="7C4E9F84" w14:textId="63FE53DB" w:rsidR="00B41C4C" w:rsidRDefault="00B41C4C" w:rsidP="00D0161F">
      <w:pPr>
        <w:pStyle w:val="Title1"/>
        <w:spacing w:after="240"/>
      </w:pPr>
      <w:r>
        <w:t>Publication of data</w:t>
      </w:r>
    </w:p>
    <w:p w14:paraId="67DEDEC6" w14:textId="22C138E2" w:rsidR="00963576" w:rsidRPr="00704BF2" w:rsidRDefault="00E04803" w:rsidP="00704BF2">
      <w:pPr>
        <w:pStyle w:val="Title1"/>
        <w:numPr>
          <w:ilvl w:val="0"/>
          <w:numId w:val="86"/>
        </w:numPr>
        <w:spacing w:after="200" w:line="276" w:lineRule="auto"/>
        <w:ind w:left="425" w:right="0" w:hanging="425"/>
        <w:jc w:val="both"/>
        <w:rPr>
          <w:rFonts w:cs="Arial"/>
          <w:b w:val="0"/>
          <w:bCs w:val="0"/>
          <w:color w:val="auto"/>
          <w:sz w:val="22"/>
          <w:szCs w:val="22"/>
          <w:lang w:val="en-GB"/>
        </w:rPr>
      </w:pPr>
      <w:r w:rsidRPr="00E04803">
        <w:rPr>
          <w:rFonts w:cs="Arial"/>
          <w:b w:val="0"/>
          <w:bCs w:val="0"/>
          <w:color w:val="auto"/>
          <w:sz w:val="22"/>
          <w:szCs w:val="22"/>
        </w:rPr>
        <w:t xml:space="preserve">In accordance with Article 3(f) of the CACM Regulation aiming at ensuring and enhancing the transparency </w:t>
      </w:r>
      <w:r>
        <w:rPr>
          <w:rFonts w:cs="Arial"/>
          <w:b w:val="0"/>
          <w:bCs w:val="0"/>
          <w:color w:val="auto"/>
          <w:sz w:val="22"/>
          <w:szCs w:val="22"/>
        </w:rPr>
        <w:t>and reliability of information to the regulatory authorities and market participants,</w:t>
      </w:r>
      <w:r w:rsidR="005F304E">
        <w:rPr>
          <w:rFonts w:cs="Arial"/>
          <w:b w:val="0"/>
          <w:bCs w:val="0"/>
          <w:color w:val="auto"/>
          <w:sz w:val="22"/>
          <w:szCs w:val="22"/>
          <w:lang w:val="en-GB"/>
        </w:rPr>
        <w:t xml:space="preserve"> </w:t>
      </w:r>
      <w:r w:rsidR="009E79A7" w:rsidRPr="00704BF2">
        <w:rPr>
          <w:rFonts w:cs="Arial"/>
          <w:b w:val="0"/>
          <w:bCs w:val="0"/>
          <w:color w:val="auto"/>
          <w:sz w:val="22"/>
          <w:szCs w:val="22"/>
          <w:lang w:val="en-GB"/>
        </w:rPr>
        <w:t>SEE TSOs and CCC shall regularly publish the data on the capacity calculation process pursuant to this methodology</w:t>
      </w:r>
      <w:r w:rsidR="00963576" w:rsidRPr="00704BF2">
        <w:rPr>
          <w:rFonts w:cs="Arial"/>
          <w:b w:val="0"/>
          <w:bCs w:val="0"/>
          <w:color w:val="auto"/>
          <w:sz w:val="22"/>
          <w:szCs w:val="22"/>
          <w:lang w:val="en-GB"/>
        </w:rPr>
        <w:t xml:space="preserve"> on a dedicated online communication platform representing all SEE TSOs</w:t>
      </w:r>
      <w:r w:rsidR="00704BF2" w:rsidRPr="00704BF2">
        <w:rPr>
          <w:rFonts w:cs="Arial"/>
          <w:b w:val="0"/>
          <w:bCs w:val="0"/>
          <w:color w:val="auto"/>
          <w:sz w:val="22"/>
          <w:szCs w:val="22"/>
          <w:lang w:val="en-GB"/>
        </w:rPr>
        <w:t xml:space="preserve"> of the SEE CCR</w:t>
      </w:r>
      <w:r w:rsidR="00963576" w:rsidRPr="00704BF2">
        <w:rPr>
          <w:rFonts w:cs="Arial"/>
          <w:b w:val="0"/>
          <w:bCs w:val="0"/>
          <w:color w:val="auto"/>
          <w:sz w:val="22"/>
          <w:szCs w:val="22"/>
          <w:lang w:val="en-GB"/>
        </w:rPr>
        <w:t>. To enable market participants to have a clear understanding of the published data, SEE TSOs and CCC shall develop a handbook and publish it on this communication platform. This handbook shall include at least a description of each data item, including its unit and underlying convention.</w:t>
      </w:r>
    </w:p>
    <w:p w14:paraId="7E4D126F" w14:textId="59B1E4DF" w:rsidR="00B41C4C" w:rsidRPr="007650FE" w:rsidRDefault="00963576" w:rsidP="00D0161F">
      <w:pPr>
        <w:pStyle w:val="Title1"/>
        <w:widowControl/>
        <w:numPr>
          <w:ilvl w:val="0"/>
          <w:numId w:val="86"/>
        </w:numPr>
        <w:autoSpaceDE w:val="0"/>
        <w:autoSpaceDN w:val="0"/>
        <w:adjustRightInd w:val="0"/>
        <w:spacing w:line="276" w:lineRule="auto"/>
        <w:ind w:left="426" w:right="0" w:hanging="426"/>
        <w:jc w:val="both"/>
        <w:rPr>
          <w:rFonts w:cs="Arial"/>
          <w:b w:val="0"/>
          <w:bCs w:val="0"/>
          <w:color w:val="auto"/>
          <w:sz w:val="22"/>
          <w:szCs w:val="22"/>
        </w:rPr>
      </w:pPr>
      <w:r w:rsidRPr="007650FE">
        <w:rPr>
          <w:rFonts w:cs="Arial"/>
          <w:b w:val="0"/>
          <w:color w:val="auto"/>
          <w:sz w:val="22"/>
          <w:szCs w:val="22"/>
        </w:rPr>
        <w:t>SEE TSOs</w:t>
      </w:r>
      <w:r w:rsidRPr="007650FE">
        <w:rPr>
          <w:rFonts w:cs="Arial"/>
          <w:color w:val="auto"/>
          <w:sz w:val="22"/>
          <w:szCs w:val="22"/>
        </w:rPr>
        <w:t xml:space="preserve"> </w:t>
      </w:r>
      <w:r w:rsidRPr="007650FE">
        <w:rPr>
          <w:rFonts w:cs="Arial"/>
          <w:b w:val="0"/>
          <w:bCs w:val="0"/>
          <w:color w:val="auto"/>
          <w:sz w:val="22"/>
          <w:szCs w:val="22"/>
        </w:rPr>
        <w:t xml:space="preserve">and CCC shall publish </w:t>
      </w:r>
      <w:r w:rsidR="00E04803" w:rsidRPr="007650FE">
        <w:rPr>
          <w:rFonts w:cs="Arial"/>
          <w:b w:val="0"/>
          <w:bCs w:val="0"/>
          <w:color w:val="auto"/>
          <w:sz w:val="22"/>
          <w:szCs w:val="22"/>
        </w:rPr>
        <w:t>the following data items</w:t>
      </w:r>
      <w:r w:rsidR="00532DBD">
        <w:rPr>
          <w:rFonts w:cs="Arial"/>
          <w:b w:val="0"/>
          <w:bCs w:val="0"/>
          <w:color w:val="auto"/>
          <w:sz w:val="22"/>
          <w:szCs w:val="22"/>
        </w:rPr>
        <w:t xml:space="preserve"> </w:t>
      </w:r>
      <w:r w:rsidRPr="007650FE">
        <w:rPr>
          <w:rFonts w:cs="Arial"/>
          <w:b w:val="0"/>
          <w:bCs w:val="0"/>
          <w:color w:val="auto"/>
          <w:sz w:val="22"/>
          <w:szCs w:val="22"/>
        </w:rPr>
        <w:t>(</w:t>
      </w:r>
      <w:r w:rsidR="00E04803" w:rsidRPr="007650FE">
        <w:rPr>
          <w:rFonts w:cs="Arial"/>
          <w:b w:val="0"/>
          <w:bCs w:val="0"/>
          <w:color w:val="auto"/>
          <w:sz w:val="22"/>
          <w:szCs w:val="22"/>
        </w:rPr>
        <w:t>in addition to the data items and definitions of Commission Regulation (EU) No 543/2013 on submission and publication of data in electricity markets</w:t>
      </w:r>
      <w:r w:rsidRPr="007650FE">
        <w:rPr>
          <w:rFonts w:cs="Arial"/>
          <w:b w:val="0"/>
          <w:bCs w:val="0"/>
          <w:color w:val="auto"/>
          <w:sz w:val="22"/>
          <w:szCs w:val="22"/>
        </w:rPr>
        <w:t>)</w:t>
      </w:r>
      <w:r w:rsidR="007650FE" w:rsidRPr="007650FE">
        <w:rPr>
          <w:rFonts w:cs="Arial"/>
          <w:b w:val="0"/>
          <w:bCs w:val="0"/>
          <w:color w:val="auto"/>
          <w:sz w:val="22"/>
          <w:szCs w:val="22"/>
        </w:rPr>
        <w:t xml:space="preserve"> no later than 30 minutes before market gate opening time in case of day-ahead capacity calculation and no later than 15 minutes before market gate opening time in case of intraday capacity calculation,</w:t>
      </w:r>
      <w:r w:rsidR="001D17CD" w:rsidRPr="001D17CD">
        <w:rPr>
          <w:rFonts w:cs="Arial"/>
          <w:b w:val="0"/>
          <w:bCs w:val="0"/>
          <w:color w:val="auto"/>
          <w:sz w:val="22"/>
          <w:szCs w:val="22"/>
        </w:rPr>
        <w:t xml:space="preserve"> </w:t>
      </w:r>
      <w:r w:rsidR="001D17CD" w:rsidRPr="0063207E">
        <w:rPr>
          <w:rFonts w:cs="Arial"/>
          <w:b w:val="0"/>
          <w:bCs w:val="0"/>
          <w:color w:val="auto"/>
          <w:sz w:val="22"/>
          <w:szCs w:val="22"/>
        </w:rPr>
        <w:t xml:space="preserve">except point </w:t>
      </w:r>
      <w:r w:rsidR="001D17CD">
        <w:rPr>
          <w:rFonts w:cs="Arial"/>
          <w:b w:val="0"/>
          <w:bCs w:val="0"/>
          <w:color w:val="auto"/>
          <w:sz w:val="22"/>
          <w:szCs w:val="22"/>
        </w:rPr>
        <w:t>p</w:t>
      </w:r>
      <w:r w:rsidR="001D17CD" w:rsidRPr="0063207E">
        <w:rPr>
          <w:rFonts w:cs="Arial"/>
          <w:b w:val="0"/>
          <w:bCs w:val="0"/>
          <w:color w:val="auto"/>
          <w:sz w:val="22"/>
          <w:szCs w:val="22"/>
        </w:rPr>
        <w:t>)</w:t>
      </w:r>
      <w:r w:rsidR="007650FE" w:rsidRPr="007650FE">
        <w:rPr>
          <w:rFonts w:cs="Arial"/>
          <w:b w:val="0"/>
          <w:bCs w:val="0"/>
          <w:color w:val="auto"/>
          <w:sz w:val="22"/>
          <w:szCs w:val="22"/>
        </w:rPr>
        <w:t>:</w:t>
      </w:r>
    </w:p>
    <w:p w14:paraId="5077D27A" w14:textId="08D320BE" w:rsidR="00E04803" w:rsidRDefault="00E04803" w:rsidP="00E04803">
      <w:pPr>
        <w:pStyle w:val="Title1"/>
        <w:numPr>
          <w:ilvl w:val="4"/>
          <w:numId w:val="53"/>
        </w:numPr>
        <w:ind w:left="1276" w:right="0"/>
        <w:jc w:val="both"/>
        <w:rPr>
          <w:rFonts w:cs="Arial"/>
          <w:b w:val="0"/>
          <w:bCs w:val="0"/>
          <w:color w:val="auto"/>
          <w:sz w:val="22"/>
          <w:szCs w:val="22"/>
        </w:rPr>
      </w:pPr>
      <w:r>
        <w:rPr>
          <w:rFonts w:cs="Arial"/>
          <w:b w:val="0"/>
          <w:bCs w:val="0"/>
          <w:color w:val="auto"/>
          <w:sz w:val="22"/>
          <w:szCs w:val="22"/>
        </w:rPr>
        <w:t>NTC values determined for day-ahead and intraday market time-frames;</w:t>
      </w:r>
    </w:p>
    <w:p w14:paraId="3845D905" w14:textId="0E222294" w:rsidR="00E04803" w:rsidRDefault="00E45FE5" w:rsidP="00E04803">
      <w:pPr>
        <w:pStyle w:val="Title1"/>
        <w:numPr>
          <w:ilvl w:val="4"/>
          <w:numId w:val="53"/>
        </w:numPr>
        <w:ind w:left="1276" w:right="0"/>
        <w:jc w:val="both"/>
        <w:rPr>
          <w:rFonts w:cs="Arial"/>
          <w:b w:val="0"/>
          <w:bCs w:val="0"/>
          <w:color w:val="auto"/>
          <w:sz w:val="22"/>
          <w:szCs w:val="22"/>
        </w:rPr>
      </w:pPr>
      <w:r>
        <w:rPr>
          <w:rFonts w:cs="Arial"/>
          <w:b w:val="0"/>
          <w:bCs w:val="0"/>
          <w:color w:val="auto"/>
          <w:sz w:val="22"/>
          <w:szCs w:val="22"/>
        </w:rPr>
        <w:t>RMs</w:t>
      </w:r>
      <w:r w:rsidR="00E81DA7">
        <w:rPr>
          <w:rFonts w:cs="Arial"/>
          <w:b w:val="0"/>
          <w:bCs w:val="0"/>
          <w:color w:val="auto"/>
          <w:sz w:val="22"/>
          <w:szCs w:val="22"/>
        </w:rPr>
        <w:t xml:space="preserve"> for each direction of the SEE CCR borders;</w:t>
      </w:r>
    </w:p>
    <w:p w14:paraId="50904AD2" w14:textId="4E9552B1" w:rsidR="00E81DA7" w:rsidRPr="00964B4B" w:rsidRDefault="00E45FE5" w:rsidP="00E04803">
      <w:pPr>
        <w:pStyle w:val="Title1"/>
        <w:numPr>
          <w:ilvl w:val="4"/>
          <w:numId w:val="53"/>
        </w:numPr>
        <w:ind w:left="1276" w:right="0"/>
        <w:jc w:val="both"/>
        <w:rPr>
          <w:rFonts w:cs="Arial"/>
          <w:b w:val="0"/>
          <w:bCs w:val="0"/>
          <w:color w:val="auto"/>
          <w:sz w:val="22"/>
          <w:szCs w:val="22"/>
        </w:rPr>
      </w:pPr>
      <w:r w:rsidRPr="00964B4B">
        <w:rPr>
          <w:rFonts w:cs="Arial"/>
          <w:b w:val="0"/>
          <w:bCs w:val="0"/>
          <w:color w:val="auto"/>
          <w:sz w:val="22"/>
          <w:szCs w:val="22"/>
        </w:rPr>
        <w:t>RAs</w:t>
      </w:r>
      <w:r w:rsidR="00E81DA7" w:rsidRPr="00964B4B">
        <w:rPr>
          <w:rFonts w:cs="Arial"/>
          <w:b w:val="0"/>
          <w:bCs w:val="0"/>
          <w:color w:val="auto"/>
          <w:sz w:val="22"/>
          <w:szCs w:val="22"/>
        </w:rPr>
        <w:t xml:space="preserve"> resulting from the RAC</w:t>
      </w:r>
      <w:r w:rsidR="009A78B0" w:rsidRPr="00964B4B">
        <w:rPr>
          <w:rFonts w:cs="Arial"/>
          <w:b w:val="0"/>
          <w:bCs w:val="0"/>
          <w:color w:val="auto"/>
          <w:sz w:val="22"/>
          <w:szCs w:val="22"/>
        </w:rPr>
        <w:t xml:space="preserve"> and for each RA it shall be published the type of RA, location of RA, whet</w:t>
      </w:r>
      <w:r w:rsidR="00307043" w:rsidRPr="00964B4B">
        <w:rPr>
          <w:rFonts w:cs="Arial"/>
          <w:b w:val="0"/>
          <w:bCs w:val="0"/>
          <w:color w:val="auto"/>
          <w:sz w:val="22"/>
          <w:szCs w:val="22"/>
        </w:rPr>
        <w:t>h</w:t>
      </w:r>
      <w:r w:rsidR="009A78B0" w:rsidRPr="00964B4B">
        <w:rPr>
          <w:rFonts w:cs="Arial"/>
          <w:b w:val="0"/>
          <w:bCs w:val="0"/>
          <w:color w:val="auto"/>
          <w:sz w:val="22"/>
          <w:szCs w:val="22"/>
        </w:rPr>
        <w:t>er the RA was curative or preventive, if the RA was curative, a list of CNEC identifiers describing the CNEC to which the RA was associated</w:t>
      </w:r>
      <w:r w:rsidR="00E81DA7" w:rsidRPr="00964B4B">
        <w:rPr>
          <w:rFonts w:cs="Arial"/>
          <w:b w:val="0"/>
          <w:bCs w:val="0"/>
          <w:color w:val="auto"/>
          <w:sz w:val="22"/>
          <w:szCs w:val="22"/>
        </w:rPr>
        <w:t>;</w:t>
      </w:r>
    </w:p>
    <w:p w14:paraId="68725E6D" w14:textId="77777777" w:rsidR="00897A34" w:rsidRPr="00964B4B" w:rsidRDefault="00E81DA7" w:rsidP="00596AE1">
      <w:pPr>
        <w:pStyle w:val="Title1"/>
        <w:numPr>
          <w:ilvl w:val="4"/>
          <w:numId w:val="53"/>
        </w:numPr>
        <w:ind w:left="1276" w:right="0" w:hanging="357"/>
        <w:jc w:val="both"/>
        <w:rPr>
          <w:rFonts w:cs="Arial"/>
          <w:b w:val="0"/>
          <w:bCs w:val="0"/>
          <w:color w:val="auto"/>
          <w:sz w:val="22"/>
          <w:szCs w:val="22"/>
        </w:rPr>
      </w:pPr>
      <w:r w:rsidRPr="00964B4B">
        <w:rPr>
          <w:rFonts w:cs="Arial"/>
          <w:b w:val="0"/>
          <w:bCs w:val="0"/>
          <w:color w:val="auto"/>
          <w:sz w:val="22"/>
          <w:szCs w:val="22"/>
        </w:rPr>
        <w:t>Limiting CNECs</w:t>
      </w:r>
      <w:r w:rsidR="00897A34" w:rsidRPr="00964B4B">
        <w:rPr>
          <w:rFonts w:cs="Arial"/>
          <w:b w:val="0"/>
          <w:bCs w:val="0"/>
          <w:color w:val="auto"/>
          <w:sz w:val="22"/>
          <w:szCs w:val="22"/>
        </w:rPr>
        <w:t>;</w:t>
      </w:r>
    </w:p>
    <w:p w14:paraId="2BBCB7C7" w14:textId="75AA8E99" w:rsidR="009A78B0" w:rsidRPr="00964B4B" w:rsidRDefault="009A78B0" w:rsidP="00596AE1">
      <w:pPr>
        <w:pStyle w:val="Title1"/>
        <w:numPr>
          <w:ilvl w:val="4"/>
          <w:numId w:val="53"/>
        </w:numPr>
        <w:ind w:left="1276" w:right="0" w:hanging="357"/>
        <w:jc w:val="both"/>
        <w:rPr>
          <w:rFonts w:cs="Arial"/>
          <w:b w:val="0"/>
          <w:bCs w:val="0"/>
          <w:color w:val="auto"/>
          <w:sz w:val="22"/>
          <w:szCs w:val="22"/>
        </w:rPr>
      </w:pPr>
      <w:r w:rsidRPr="00964B4B">
        <w:rPr>
          <w:rFonts w:cs="Arial"/>
          <w:b w:val="0"/>
          <w:bCs w:val="0"/>
          <w:color w:val="auto"/>
          <w:sz w:val="22"/>
          <w:szCs w:val="22"/>
        </w:rPr>
        <w:t>For each CNEC, it shall be published the metho</w:t>
      </w:r>
      <w:r w:rsidR="00307043" w:rsidRPr="00964B4B">
        <w:rPr>
          <w:rFonts w:cs="Arial"/>
          <w:b w:val="0"/>
          <w:bCs w:val="0"/>
          <w:color w:val="auto"/>
          <w:sz w:val="22"/>
          <w:szCs w:val="22"/>
        </w:rPr>
        <w:t>d</w:t>
      </w:r>
      <w:r w:rsidRPr="00964B4B">
        <w:rPr>
          <w:rFonts w:cs="Arial"/>
          <w:b w:val="0"/>
          <w:bCs w:val="0"/>
          <w:color w:val="auto"/>
          <w:sz w:val="22"/>
          <w:szCs w:val="22"/>
        </w:rPr>
        <w:t xml:space="preserve">s for determining Imax in accordance with article </w:t>
      </w:r>
      <w:r w:rsidR="00741F5F" w:rsidRPr="00964B4B">
        <w:rPr>
          <w:rFonts w:cs="Arial"/>
          <w:b w:val="0"/>
          <w:bCs w:val="0"/>
          <w:color w:val="auto"/>
          <w:sz w:val="22"/>
          <w:szCs w:val="22"/>
        </w:rPr>
        <w:t xml:space="preserve">7 </w:t>
      </w:r>
      <w:r w:rsidR="00741F5F" w:rsidRPr="00964B4B">
        <w:rPr>
          <w:rFonts w:cs="Arial"/>
          <w:b w:val="0"/>
          <w:bCs w:val="0"/>
          <w:color w:val="auto"/>
          <w:sz w:val="22"/>
          <w:szCs w:val="22"/>
        </w:rPr>
        <w:lastRenderedPageBreak/>
        <w:t>(</w:t>
      </w:r>
      <w:r w:rsidR="004920CD">
        <w:rPr>
          <w:rFonts w:cs="Arial"/>
          <w:b w:val="0"/>
          <w:bCs w:val="0"/>
          <w:color w:val="auto"/>
          <w:sz w:val="22"/>
          <w:szCs w:val="22"/>
        </w:rPr>
        <w:t>5</w:t>
      </w:r>
      <w:r w:rsidR="00741F5F" w:rsidRPr="00964B4B">
        <w:rPr>
          <w:rFonts w:cs="Arial"/>
          <w:b w:val="0"/>
          <w:bCs w:val="0"/>
          <w:color w:val="auto"/>
          <w:sz w:val="22"/>
          <w:szCs w:val="22"/>
        </w:rPr>
        <w:t>) a);</w:t>
      </w:r>
    </w:p>
    <w:p w14:paraId="523C5A06" w14:textId="482B5497" w:rsidR="00741F5F" w:rsidRPr="00964B4B" w:rsidRDefault="00741F5F" w:rsidP="00596AE1">
      <w:pPr>
        <w:pStyle w:val="Title1"/>
        <w:numPr>
          <w:ilvl w:val="4"/>
          <w:numId w:val="53"/>
        </w:numPr>
        <w:ind w:left="1276" w:right="0" w:hanging="357"/>
        <w:jc w:val="both"/>
        <w:rPr>
          <w:rFonts w:cs="Arial"/>
          <w:b w:val="0"/>
          <w:bCs w:val="0"/>
          <w:color w:val="auto"/>
          <w:sz w:val="22"/>
          <w:szCs w:val="22"/>
        </w:rPr>
      </w:pPr>
      <w:r w:rsidRPr="00964B4B">
        <w:rPr>
          <w:rFonts w:cs="Arial"/>
          <w:b w:val="0"/>
          <w:bCs w:val="0"/>
          <w:color w:val="auto"/>
          <w:sz w:val="22"/>
          <w:szCs w:val="22"/>
        </w:rPr>
        <w:t>For each CNEC the EIC code of CNE and Contingency;</w:t>
      </w:r>
    </w:p>
    <w:p w14:paraId="41590FEE" w14:textId="11CD2320" w:rsidR="00741F5F" w:rsidRDefault="00741F5F" w:rsidP="00596AE1">
      <w:pPr>
        <w:pStyle w:val="Title1"/>
        <w:numPr>
          <w:ilvl w:val="4"/>
          <w:numId w:val="53"/>
        </w:numPr>
        <w:ind w:left="1276" w:right="0" w:hanging="357"/>
        <w:jc w:val="both"/>
        <w:rPr>
          <w:rFonts w:cs="Arial"/>
          <w:b w:val="0"/>
          <w:bCs w:val="0"/>
          <w:color w:val="auto"/>
          <w:sz w:val="22"/>
          <w:szCs w:val="22"/>
        </w:rPr>
      </w:pPr>
      <w:r w:rsidRPr="007650FE">
        <w:rPr>
          <w:rFonts w:cs="Arial"/>
          <w:b w:val="0"/>
          <w:bCs w:val="0"/>
          <w:color w:val="auto"/>
          <w:sz w:val="22"/>
          <w:szCs w:val="22"/>
        </w:rPr>
        <w:t>Real names of CNECs;</w:t>
      </w:r>
    </w:p>
    <w:p w14:paraId="3EDEC168" w14:textId="5E8ED9FF" w:rsidR="009D3B61" w:rsidRDefault="009D3B61" w:rsidP="00596AE1">
      <w:pPr>
        <w:pStyle w:val="Title1"/>
        <w:numPr>
          <w:ilvl w:val="4"/>
          <w:numId w:val="53"/>
        </w:numPr>
        <w:ind w:left="1276" w:right="0" w:hanging="357"/>
        <w:jc w:val="both"/>
        <w:rPr>
          <w:rFonts w:cs="Arial"/>
          <w:b w:val="0"/>
          <w:bCs w:val="0"/>
          <w:color w:val="auto"/>
          <w:sz w:val="22"/>
          <w:szCs w:val="22"/>
        </w:rPr>
      </w:pPr>
      <w:r>
        <w:rPr>
          <w:rFonts w:cs="Arial"/>
          <w:b w:val="0"/>
          <w:bCs w:val="0"/>
          <w:color w:val="auto"/>
          <w:sz w:val="22"/>
          <w:szCs w:val="22"/>
        </w:rPr>
        <w:t>M</w:t>
      </w:r>
      <w:r w:rsidR="00B1681C">
        <w:rPr>
          <w:rFonts w:cs="Arial"/>
          <w:b w:val="0"/>
          <w:bCs w:val="0"/>
          <w:color w:val="auto"/>
          <w:sz w:val="22"/>
          <w:szCs w:val="22"/>
        </w:rPr>
        <w:t xml:space="preserve">aximum flow on </w:t>
      </w:r>
      <w:r w:rsidR="00363582">
        <w:rPr>
          <w:rFonts w:cs="Arial"/>
          <w:b w:val="0"/>
          <w:bCs w:val="0"/>
          <w:color w:val="auto"/>
          <w:sz w:val="22"/>
          <w:szCs w:val="22"/>
        </w:rPr>
        <w:t xml:space="preserve">the </w:t>
      </w:r>
      <w:r w:rsidR="00B1681C">
        <w:rPr>
          <w:rFonts w:cs="Arial"/>
          <w:b w:val="0"/>
          <w:bCs w:val="0"/>
          <w:color w:val="auto"/>
          <w:sz w:val="22"/>
          <w:szCs w:val="22"/>
        </w:rPr>
        <w:t>CNE</w:t>
      </w:r>
      <w:r w:rsidR="00363582">
        <w:rPr>
          <w:rFonts w:cs="Arial"/>
          <w:b w:val="0"/>
          <w:bCs w:val="0"/>
          <w:color w:val="auto"/>
          <w:sz w:val="22"/>
          <w:szCs w:val="22"/>
        </w:rPr>
        <w:t>Cs;</w:t>
      </w:r>
    </w:p>
    <w:p w14:paraId="7BB13834" w14:textId="07D3FFCC" w:rsidR="00E22F72" w:rsidRDefault="00E22F72" w:rsidP="00596AE1">
      <w:pPr>
        <w:pStyle w:val="Title1"/>
        <w:numPr>
          <w:ilvl w:val="4"/>
          <w:numId w:val="53"/>
        </w:numPr>
        <w:ind w:left="1276" w:right="0" w:hanging="357"/>
        <w:jc w:val="both"/>
        <w:rPr>
          <w:rFonts w:cs="Arial"/>
          <w:b w:val="0"/>
          <w:bCs w:val="0"/>
          <w:color w:val="auto"/>
          <w:sz w:val="22"/>
          <w:szCs w:val="22"/>
        </w:rPr>
      </w:pPr>
      <w:r>
        <w:rPr>
          <w:rFonts w:cs="Arial"/>
          <w:b w:val="0"/>
          <w:bCs w:val="0"/>
          <w:color w:val="auto"/>
          <w:sz w:val="22"/>
          <w:szCs w:val="22"/>
        </w:rPr>
        <w:t xml:space="preserve">Zone to </w:t>
      </w:r>
      <w:r w:rsidR="00B1227D">
        <w:rPr>
          <w:rFonts w:cs="Arial"/>
          <w:b w:val="0"/>
          <w:bCs w:val="0"/>
          <w:color w:val="auto"/>
          <w:sz w:val="22"/>
          <w:szCs w:val="22"/>
        </w:rPr>
        <w:t>hub</w:t>
      </w:r>
      <w:r>
        <w:rPr>
          <w:rFonts w:cs="Arial"/>
          <w:b w:val="0"/>
          <w:bCs w:val="0"/>
          <w:color w:val="auto"/>
          <w:sz w:val="22"/>
          <w:szCs w:val="22"/>
        </w:rPr>
        <w:t xml:space="preserve"> PTDF </w:t>
      </w:r>
      <w:r w:rsidR="00870271" w:rsidRPr="00870271">
        <w:rPr>
          <w:rFonts w:cs="Arial"/>
          <w:b w:val="0"/>
          <w:bCs w:val="0"/>
          <w:color w:val="auto"/>
          <w:sz w:val="22"/>
          <w:szCs w:val="22"/>
        </w:rPr>
        <w:t xml:space="preserve">associated with </w:t>
      </w:r>
      <w:r w:rsidR="00870271" w:rsidRPr="00870271">
        <w:rPr>
          <w:rFonts w:cs="Arial"/>
          <w:b w:val="0"/>
          <w:sz w:val="22"/>
          <w:szCs w:val="22"/>
        </w:rPr>
        <w:t>the oriented bidding-zone border</w:t>
      </w:r>
      <w:r w:rsidR="00870271">
        <w:rPr>
          <w:rFonts w:cs="Arial"/>
          <w:b w:val="0"/>
          <w:bCs w:val="0"/>
          <w:color w:val="auto"/>
          <w:sz w:val="22"/>
          <w:szCs w:val="22"/>
        </w:rPr>
        <w:t>;</w:t>
      </w:r>
    </w:p>
    <w:p w14:paraId="12A61F79" w14:textId="671A6211" w:rsidR="00E22F72" w:rsidRPr="00706466" w:rsidRDefault="00870271" w:rsidP="00596AE1">
      <w:pPr>
        <w:pStyle w:val="Title1"/>
        <w:numPr>
          <w:ilvl w:val="4"/>
          <w:numId w:val="53"/>
        </w:numPr>
        <w:ind w:left="1276" w:right="0" w:hanging="357"/>
        <w:jc w:val="both"/>
        <w:rPr>
          <w:rFonts w:cs="Arial"/>
          <w:b w:val="0"/>
          <w:bCs w:val="0"/>
          <w:color w:val="auto"/>
          <w:sz w:val="22"/>
          <w:szCs w:val="22"/>
        </w:rPr>
      </w:pPr>
      <w:r>
        <w:rPr>
          <w:rFonts w:cs="Arial"/>
          <w:b w:val="0"/>
          <w:bCs w:val="0"/>
          <w:color w:val="auto"/>
          <w:sz w:val="22"/>
          <w:szCs w:val="22"/>
        </w:rPr>
        <w:t>Margin from</w:t>
      </w:r>
      <w:r w:rsidRPr="00706466">
        <w:rPr>
          <w:rFonts w:cs="Arial"/>
          <w:b w:val="0"/>
          <w:bCs w:val="0"/>
          <w:color w:val="auto"/>
          <w:sz w:val="22"/>
          <w:szCs w:val="22"/>
        </w:rPr>
        <w:t xml:space="preserve"> </w:t>
      </w:r>
      <w:r w:rsidR="000D34E1" w:rsidRPr="00706466">
        <w:rPr>
          <w:rFonts w:cs="Arial"/>
          <w:b w:val="0"/>
          <w:bCs w:val="0"/>
          <w:color w:val="auto"/>
          <w:sz w:val="22"/>
          <w:szCs w:val="22"/>
        </w:rPr>
        <w:t>coordinated</w:t>
      </w:r>
      <w:r>
        <w:rPr>
          <w:rFonts w:cs="Arial"/>
          <w:b w:val="0"/>
          <w:bCs w:val="0"/>
          <w:color w:val="auto"/>
          <w:sz w:val="22"/>
          <w:szCs w:val="22"/>
        </w:rPr>
        <w:t xml:space="preserve"> capacity calculation</w:t>
      </w:r>
      <w:r w:rsidR="00E22F72" w:rsidRPr="00706466">
        <w:rPr>
          <w:rFonts w:cs="Arial"/>
          <w:b w:val="0"/>
          <w:bCs w:val="0"/>
          <w:color w:val="auto"/>
          <w:sz w:val="22"/>
          <w:szCs w:val="22"/>
        </w:rPr>
        <w:t xml:space="preserve"> (MCCC)</w:t>
      </w:r>
      <w:r>
        <w:rPr>
          <w:rFonts w:cs="Arial"/>
          <w:b w:val="0"/>
          <w:bCs w:val="0"/>
          <w:color w:val="auto"/>
          <w:sz w:val="22"/>
          <w:szCs w:val="22"/>
        </w:rPr>
        <w:t>;</w:t>
      </w:r>
    </w:p>
    <w:p w14:paraId="7B894095" w14:textId="1F165910" w:rsidR="00E22F72" w:rsidRPr="00706466" w:rsidRDefault="00870271" w:rsidP="00596AE1">
      <w:pPr>
        <w:pStyle w:val="Title1"/>
        <w:numPr>
          <w:ilvl w:val="4"/>
          <w:numId w:val="53"/>
        </w:numPr>
        <w:ind w:left="1276" w:right="0" w:hanging="357"/>
        <w:jc w:val="both"/>
        <w:rPr>
          <w:rFonts w:cs="Arial"/>
          <w:b w:val="0"/>
          <w:bCs w:val="0"/>
          <w:color w:val="auto"/>
          <w:sz w:val="22"/>
          <w:szCs w:val="22"/>
        </w:rPr>
      </w:pPr>
      <w:r>
        <w:rPr>
          <w:rFonts w:cs="Arial"/>
          <w:b w:val="0"/>
          <w:bCs w:val="0"/>
          <w:color w:val="auto"/>
          <w:sz w:val="22"/>
          <w:szCs w:val="22"/>
        </w:rPr>
        <w:t>Margin from</w:t>
      </w:r>
      <w:r w:rsidRPr="00706466">
        <w:rPr>
          <w:rFonts w:cs="Arial"/>
          <w:b w:val="0"/>
          <w:bCs w:val="0"/>
          <w:color w:val="auto"/>
          <w:sz w:val="22"/>
          <w:szCs w:val="22"/>
        </w:rPr>
        <w:t xml:space="preserve"> </w:t>
      </w:r>
      <w:r>
        <w:rPr>
          <w:rFonts w:cs="Arial"/>
          <w:b w:val="0"/>
          <w:bCs w:val="0"/>
          <w:color w:val="auto"/>
          <w:sz w:val="22"/>
          <w:szCs w:val="22"/>
        </w:rPr>
        <w:t>non-</w:t>
      </w:r>
      <w:r w:rsidR="000D34E1" w:rsidRPr="00706466">
        <w:rPr>
          <w:rFonts w:cs="Arial"/>
          <w:b w:val="0"/>
          <w:bCs w:val="0"/>
          <w:color w:val="auto"/>
          <w:sz w:val="22"/>
          <w:szCs w:val="22"/>
        </w:rPr>
        <w:t xml:space="preserve">coordinated </w:t>
      </w:r>
      <w:r>
        <w:rPr>
          <w:rFonts w:cs="Arial"/>
          <w:b w:val="0"/>
          <w:bCs w:val="0"/>
          <w:color w:val="auto"/>
          <w:sz w:val="22"/>
          <w:szCs w:val="22"/>
        </w:rPr>
        <w:t>capacity calculation</w:t>
      </w:r>
      <w:r w:rsidR="000D34E1" w:rsidRPr="00706466">
        <w:rPr>
          <w:rFonts w:cs="Arial"/>
          <w:b w:val="0"/>
          <w:bCs w:val="0"/>
          <w:color w:val="auto"/>
          <w:sz w:val="22"/>
          <w:szCs w:val="22"/>
        </w:rPr>
        <w:t xml:space="preserve"> </w:t>
      </w:r>
      <w:r w:rsidR="00E22F72" w:rsidRPr="00706466">
        <w:rPr>
          <w:rFonts w:cs="Arial"/>
          <w:b w:val="0"/>
          <w:bCs w:val="0"/>
          <w:color w:val="auto"/>
          <w:sz w:val="22"/>
          <w:szCs w:val="22"/>
        </w:rPr>
        <w:t>(MNCC)</w:t>
      </w:r>
      <w:r>
        <w:rPr>
          <w:rFonts w:cs="Arial"/>
          <w:b w:val="0"/>
          <w:bCs w:val="0"/>
          <w:color w:val="auto"/>
          <w:sz w:val="22"/>
          <w:szCs w:val="22"/>
        </w:rPr>
        <w:t>;</w:t>
      </w:r>
    </w:p>
    <w:p w14:paraId="496C839D" w14:textId="7F81BC69" w:rsidR="00E22F72" w:rsidRPr="00706466" w:rsidRDefault="00634B03" w:rsidP="00596AE1">
      <w:pPr>
        <w:pStyle w:val="Title1"/>
        <w:numPr>
          <w:ilvl w:val="4"/>
          <w:numId w:val="53"/>
        </w:numPr>
        <w:ind w:left="1276" w:right="0" w:hanging="357"/>
        <w:jc w:val="both"/>
        <w:rPr>
          <w:rFonts w:cs="Arial"/>
          <w:b w:val="0"/>
          <w:bCs w:val="0"/>
          <w:color w:val="auto"/>
          <w:sz w:val="22"/>
          <w:szCs w:val="22"/>
        </w:rPr>
      </w:pPr>
      <w:r>
        <w:rPr>
          <w:rFonts w:cs="Arial"/>
          <w:b w:val="0"/>
          <w:bCs w:val="0"/>
          <w:color w:val="auto"/>
          <w:sz w:val="22"/>
          <w:szCs w:val="22"/>
          <w:lang w:val="ro-RO"/>
        </w:rPr>
        <w:t>Margin available for cross-zonal trade</w:t>
      </w:r>
      <w:r w:rsidRPr="00706466">
        <w:rPr>
          <w:rFonts w:cs="Arial"/>
          <w:b w:val="0"/>
          <w:bCs w:val="0"/>
          <w:color w:val="auto"/>
          <w:sz w:val="22"/>
          <w:szCs w:val="22"/>
        </w:rPr>
        <w:t xml:space="preserve"> </w:t>
      </w:r>
      <w:r>
        <w:rPr>
          <w:rFonts w:cs="Arial"/>
          <w:b w:val="0"/>
          <w:bCs w:val="0"/>
          <w:color w:val="auto"/>
          <w:sz w:val="22"/>
          <w:szCs w:val="22"/>
        </w:rPr>
        <w:t>(</w:t>
      </w:r>
      <w:r w:rsidR="00E22F72" w:rsidRPr="00706466">
        <w:rPr>
          <w:rFonts w:cs="Arial"/>
          <w:b w:val="0"/>
          <w:bCs w:val="0"/>
          <w:color w:val="auto"/>
          <w:sz w:val="22"/>
          <w:szCs w:val="22"/>
        </w:rPr>
        <w:t>MACZT</w:t>
      </w:r>
      <w:r w:rsidR="00870271">
        <w:rPr>
          <w:rFonts w:cs="Arial"/>
          <w:b w:val="0"/>
          <w:bCs w:val="0"/>
          <w:color w:val="auto"/>
          <w:sz w:val="22"/>
          <w:szCs w:val="22"/>
        </w:rPr>
        <w:t>);</w:t>
      </w:r>
    </w:p>
    <w:p w14:paraId="642A113A" w14:textId="493102BA" w:rsidR="00126B3A" w:rsidRPr="00126B3A" w:rsidRDefault="00126B3A" w:rsidP="00126B3A">
      <w:pPr>
        <w:pStyle w:val="Title1"/>
        <w:numPr>
          <w:ilvl w:val="4"/>
          <w:numId w:val="53"/>
        </w:numPr>
        <w:ind w:left="1276" w:right="0" w:hanging="357"/>
        <w:jc w:val="both"/>
        <w:rPr>
          <w:rFonts w:cs="Arial"/>
          <w:b w:val="0"/>
          <w:bCs w:val="0"/>
          <w:color w:val="auto"/>
          <w:sz w:val="22"/>
          <w:szCs w:val="22"/>
        </w:rPr>
      </w:pPr>
      <w:r>
        <w:rPr>
          <w:rFonts w:cs="Arial"/>
          <w:b w:val="0"/>
          <w:bCs w:val="0"/>
          <w:color w:val="auto"/>
          <w:sz w:val="22"/>
          <w:szCs w:val="22"/>
        </w:rPr>
        <w:t>Additional net transfer capacity to reach minimum margin (</w:t>
      </w:r>
      <w:r w:rsidRPr="0004755F">
        <w:rPr>
          <w:rFonts w:cs="Arial"/>
          <w:b w:val="0"/>
          <w:bCs w:val="0"/>
          <w:color w:val="auto"/>
          <w:sz w:val="22"/>
          <w:szCs w:val="22"/>
        </w:rPr>
        <w:t>ANTC</w:t>
      </w:r>
      <w:r>
        <w:rPr>
          <w:rFonts w:cs="Arial"/>
          <w:b w:val="0"/>
          <w:bCs w:val="0"/>
          <w:color w:val="auto"/>
          <w:sz w:val="22"/>
          <w:szCs w:val="22"/>
        </w:rPr>
        <w:t>)</w:t>
      </w:r>
    </w:p>
    <w:p w14:paraId="245CAD00" w14:textId="54A0A93D" w:rsidR="00897A34" w:rsidRPr="007650FE" w:rsidRDefault="00897A34" w:rsidP="00D0161F">
      <w:pPr>
        <w:pStyle w:val="Title1"/>
        <w:numPr>
          <w:ilvl w:val="4"/>
          <w:numId w:val="53"/>
        </w:numPr>
        <w:spacing w:line="276" w:lineRule="auto"/>
        <w:ind w:left="1276" w:right="0" w:hanging="357"/>
        <w:jc w:val="both"/>
        <w:rPr>
          <w:rFonts w:cs="Arial"/>
          <w:b w:val="0"/>
          <w:bCs w:val="0"/>
          <w:color w:val="auto"/>
          <w:sz w:val="22"/>
          <w:szCs w:val="22"/>
        </w:rPr>
      </w:pPr>
      <w:r w:rsidRPr="007650FE">
        <w:rPr>
          <w:rFonts w:cs="Arial"/>
          <w:b w:val="0"/>
          <w:bCs w:val="0"/>
          <w:color w:val="auto"/>
          <w:sz w:val="22"/>
          <w:szCs w:val="22"/>
        </w:rPr>
        <w:t>The following forecast information contained in the CGM for each MTU</w:t>
      </w:r>
      <w:r w:rsidR="007650FE">
        <w:rPr>
          <w:rFonts w:cs="Arial"/>
          <w:b w:val="0"/>
          <w:bCs w:val="0"/>
          <w:color w:val="auto"/>
          <w:sz w:val="22"/>
          <w:szCs w:val="22"/>
        </w:rPr>
        <w:t xml:space="preserve"> and</w:t>
      </w:r>
      <w:r w:rsidRPr="007650FE">
        <w:rPr>
          <w:rFonts w:cs="Arial"/>
          <w:b w:val="0"/>
          <w:bCs w:val="0"/>
          <w:color w:val="auto"/>
          <w:sz w:val="22"/>
          <w:szCs w:val="22"/>
        </w:rPr>
        <w:t xml:space="preserve"> bidding zone </w:t>
      </w:r>
      <w:r w:rsidR="00964B4B" w:rsidRPr="007650FE">
        <w:rPr>
          <w:rFonts w:cs="Arial"/>
          <w:b w:val="0"/>
          <w:bCs w:val="0"/>
          <w:color w:val="auto"/>
          <w:sz w:val="22"/>
          <w:szCs w:val="22"/>
        </w:rPr>
        <w:t>of the SEE CCR</w:t>
      </w:r>
      <w:r w:rsidRPr="007650FE">
        <w:rPr>
          <w:rFonts w:cs="Arial"/>
          <w:b w:val="0"/>
          <w:bCs w:val="0"/>
          <w:color w:val="auto"/>
          <w:sz w:val="22"/>
          <w:szCs w:val="22"/>
        </w:rPr>
        <w:t>:</w:t>
      </w:r>
    </w:p>
    <w:p w14:paraId="7DFE81B5" w14:textId="026FE7C5" w:rsidR="001A178C" w:rsidRPr="007650FE" w:rsidRDefault="001A178C" w:rsidP="00D0161F">
      <w:pPr>
        <w:pStyle w:val="Title1"/>
        <w:numPr>
          <w:ilvl w:val="0"/>
          <w:numId w:val="87"/>
        </w:numPr>
        <w:spacing w:line="276" w:lineRule="auto"/>
        <w:ind w:right="0"/>
        <w:jc w:val="both"/>
        <w:rPr>
          <w:rFonts w:cs="Arial"/>
          <w:b w:val="0"/>
          <w:bCs w:val="0"/>
          <w:color w:val="auto"/>
          <w:sz w:val="22"/>
          <w:szCs w:val="22"/>
        </w:rPr>
      </w:pPr>
      <w:r w:rsidRPr="007650FE">
        <w:rPr>
          <w:rFonts w:cs="Arial"/>
          <w:b w:val="0"/>
          <w:bCs w:val="0"/>
          <w:color w:val="auto"/>
          <w:sz w:val="22"/>
          <w:szCs w:val="22"/>
        </w:rPr>
        <w:t>Load</w:t>
      </w:r>
    </w:p>
    <w:p w14:paraId="1A1B2A0A" w14:textId="513A1055" w:rsidR="001A178C" w:rsidRPr="007650FE" w:rsidRDefault="001A178C" w:rsidP="00D0161F">
      <w:pPr>
        <w:pStyle w:val="Title1"/>
        <w:numPr>
          <w:ilvl w:val="0"/>
          <w:numId w:val="87"/>
        </w:numPr>
        <w:spacing w:line="276" w:lineRule="auto"/>
        <w:ind w:right="0"/>
        <w:jc w:val="both"/>
        <w:rPr>
          <w:rFonts w:cs="Arial"/>
          <w:b w:val="0"/>
          <w:bCs w:val="0"/>
          <w:color w:val="auto"/>
          <w:sz w:val="22"/>
          <w:szCs w:val="22"/>
        </w:rPr>
      </w:pPr>
      <w:r w:rsidRPr="007650FE">
        <w:rPr>
          <w:rFonts w:cs="Arial"/>
          <w:b w:val="0"/>
          <w:bCs w:val="0"/>
          <w:color w:val="auto"/>
          <w:sz w:val="22"/>
          <w:szCs w:val="22"/>
        </w:rPr>
        <w:t>Production</w:t>
      </w:r>
    </w:p>
    <w:p w14:paraId="719E1DA2" w14:textId="77777777" w:rsidR="001A178C" w:rsidRPr="007650FE" w:rsidRDefault="001A178C" w:rsidP="00D0161F">
      <w:pPr>
        <w:pStyle w:val="Title1"/>
        <w:numPr>
          <w:ilvl w:val="0"/>
          <w:numId w:val="87"/>
        </w:numPr>
        <w:spacing w:line="276" w:lineRule="auto"/>
        <w:ind w:right="0"/>
        <w:jc w:val="both"/>
        <w:rPr>
          <w:rFonts w:cs="Arial"/>
          <w:b w:val="0"/>
          <w:bCs w:val="0"/>
          <w:color w:val="auto"/>
          <w:sz w:val="22"/>
          <w:szCs w:val="22"/>
        </w:rPr>
      </w:pPr>
      <w:r w:rsidRPr="007650FE">
        <w:rPr>
          <w:rFonts w:cs="Arial"/>
          <w:b w:val="0"/>
          <w:bCs w:val="0"/>
          <w:color w:val="auto"/>
          <w:sz w:val="22"/>
          <w:szCs w:val="22"/>
        </w:rPr>
        <w:t>Net position</w:t>
      </w:r>
    </w:p>
    <w:p w14:paraId="1360FE75" w14:textId="05EFB32E" w:rsidR="001A178C" w:rsidRPr="007650FE" w:rsidRDefault="001A178C" w:rsidP="00D0161F">
      <w:pPr>
        <w:pStyle w:val="Title1"/>
        <w:numPr>
          <w:ilvl w:val="0"/>
          <w:numId w:val="87"/>
        </w:numPr>
        <w:spacing w:line="276" w:lineRule="auto"/>
        <w:ind w:right="0"/>
        <w:jc w:val="both"/>
        <w:rPr>
          <w:rFonts w:cs="Arial"/>
          <w:b w:val="0"/>
          <w:bCs w:val="0"/>
          <w:color w:val="auto"/>
          <w:sz w:val="22"/>
          <w:szCs w:val="22"/>
        </w:rPr>
      </w:pPr>
      <w:r w:rsidRPr="007650FE">
        <w:rPr>
          <w:rFonts w:cs="Arial"/>
          <w:b w:val="0"/>
          <w:bCs w:val="0"/>
          <w:color w:val="auto"/>
          <w:sz w:val="22"/>
          <w:szCs w:val="22"/>
        </w:rPr>
        <w:t>exchange programs on non-SEE bidding zone borders</w:t>
      </w:r>
      <w:r w:rsidR="001539C7" w:rsidRPr="007650FE">
        <w:rPr>
          <w:rFonts w:cs="Arial"/>
          <w:b w:val="0"/>
          <w:bCs w:val="0"/>
          <w:color w:val="auto"/>
          <w:sz w:val="22"/>
          <w:szCs w:val="22"/>
        </w:rPr>
        <w:t>;</w:t>
      </w:r>
    </w:p>
    <w:p w14:paraId="0BD94C73" w14:textId="2FD35A6D" w:rsidR="00E81DA7" w:rsidRPr="007650FE" w:rsidRDefault="001A178C" w:rsidP="001539C7">
      <w:pPr>
        <w:pStyle w:val="Title1"/>
        <w:numPr>
          <w:ilvl w:val="4"/>
          <w:numId w:val="53"/>
        </w:numPr>
        <w:spacing w:after="200" w:line="276" w:lineRule="auto"/>
        <w:ind w:left="1276" w:right="0" w:hanging="357"/>
        <w:jc w:val="both"/>
        <w:rPr>
          <w:rFonts w:cs="Arial"/>
          <w:b w:val="0"/>
          <w:bCs w:val="0"/>
          <w:color w:val="auto"/>
          <w:sz w:val="22"/>
          <w:szCs w:val="22"/>
        </w:rPr>
      </w:pPr>
      <w:r w:rsidRPr="007650FE">
        <w:rPr>
          <w:rFonts w:cs="Arial"/>
          <w:b w:val="0"/>
          <w:bCs w:val="0"/>
          <w:color w:val="auto"/>
          <w:sz w:val="22"/>
          <w:szCs w:val="22"/>
        </w:rPr>
        <w:t xml:space="preserve">every </w:t>
      </w:r>
      <w:r w:rsidR="00FD7F9A" w:rsidRPr="007650FE">
        <w:rPr>
          <w:rFonts w:cs="Arial"/>
          <w:b w:val="0"/>
          <w:bCs w:val="0"/>
          <w:color w:val="auto"/>
          <w:sz w:val="22"/>
          <w:szCs w:val="22"/>
        </w:rPr>
        <w:t>6</w:t>
      </w:r>
      <w:r w:rsidR="00CD48E1" w:rsidRPr="007650FE">
        <w:rPr>
          <w:rFonts w:cs="Arial"/>
          <w:b w:val="0"/>
          <w:bCs w:val="0"/>
          <w:color w:val="auto"/>
          <w:sz w:val="22"/>
          <w:szCs w:val="22"/>
        </w:rPr>
        <w:t xml:space="preserve"> m</w:t>
      </w:r>
      <w:r w:rsidRPr="007650FE">
        <w:rPr>
          <w:rFonts w:cs="Arial"/>
          <w:b w:val="0"/>
          <w:bCs w:val="0"/>
          <w:color w:val="auto"/>
          <w:sz w:val="22"/>
          <w:szCs w:val="22"/>
        </w:rPr>
        <w:t>onths, publication of an up-to date static grid model by each SEE TSO.</w:t>
      </w:r>
    </w:p>
    <w:p w14:paraId="5B39099F" w14:textId="08909550" w:rsidR="005649D3" w:rsidRPr="00D0161F" w:rsidRDefault="005649D3" w:rsidP="00E111B9">
      <w:pPr>
        <w:pStyle w:val="Title1"/>
        <w:numPr>
          <w:ilvl w:val="0"/>
          <w:numId w:val="86"/>
        </w:numPr>
        <w:spacing w:after="200" w:line="276" w:lineRule="auto"/>
        <w:ind w:left="714" w:right="0" w:hanging="357"/>
        <w:jc w:val="both"/>
        <w:rPr>
          <w:rFonts w:cs="Arial"/>
          <w:b w:val="0"/>
          <w:bCs w:val="0"/>
          <w:color w:val="auto"/>
          <w:sz w:val="22"/>
          <w:szCs w:val="22"/>
        </w:rPr>
      </w:pPr>
      <w:r>
        <w:rPr>
          <w:rFonts w:cs="Arial"/>
          <w:b w:val="0"/>
          <w:bCs w:val="0"/>
          <w:color w:val="auto"/>
          <w:sz w:val="22"/>
          <w:szCs w:val="22"/>
        </w:rPr>
        <w:t xml:space="preserve">Individual SEE TSO may withhold the publication of information disclosing the locational information </w:t>
      </w:r>
      <w:r w:rsidR="0093705E">
        <w:rPr>
          <w:rFonts w:cs="Arial"/>
          <w:b w:val="0"/>
          <w:bCs w:val="0"/>
          <w:color w:val="auto"/>
          <w:sz w:val="22"/>
          <w:szCs w:val="22"/>
        </w:rPr>
        <w:t>refe</w:t>
      </w:r>
      <w:r w:rsidR="00307043">
        <w:rPr>
          <w:rFonts w:cs="Arial"/>
          <w:b w:val="0"/>
          <w:bCs w:val="0"/>
          <w:color w:val="auto"/>
          <w:sz w:val="22"/>
          <w:szCs w:val="22"/>
        </w:rPr>
        <w:t>r</w:t>
      </w:r>
      <w:r w:rsidR="0093705E">
        <w:rPr>
          <w:rFonts w:cs="Arial"/>
          <w:b w:val="0"/>
          <w:bCs w:val="0"/>
          <w:color w:val="auto"/>
          <w:sz w:val="22"/>
          <w:szCs w:val="22"/>
        </w:rPr>
        <w:t xml:space="preserve">red to in paragraph </w:t>
      </w:r>
      <w:r w:rsidR="001539C7">
        <w:rPr>
          <w:rFonts w:cs="Arial"/>
          <w:b w:val="0"/>
          <w:bCs w:val="0"/>
          <w:color w:val="auto"/>
          <w:sz w:val="22"/>
          <w:szCs w:val="22"/>
        </w:rPr>
        <w:t xml:space="preserve">(2) c), (2) d), </w:t>
      </w:r>
      <w:r w:rsidR="0093705E">
        <w:rPr>
          <w:rFonts w:cs="Arial"/>
          <w:b w:val="0"/>
          <w:bCs w:val="0"/>
          <w:color w:val="auto"/>
          <w:sz w:val="22"/>
          <w:szCs w:val="22"/>
        </w:rPr>
        <w:t>(2) e)</w:t>
      </w:r>
      <w:r w:rsidR="008C0AE4">
        <w:rPr>
          <w:rFonts w:cs="Arial"/>
          <w:b w:val="0"/>
          <w:bCs w:val="0"/>
          <w:color w:val="auto"/>
          <w:sz w:val="22"/>
          <w:szCs w:val="22"/>
        </w:rPr>
        <w:t>,</w:t>
      </w:r>
      <w:r w:rsidR="0093705E">
        <w:rPr>
          <w:rFonts w:cs="Arial"/>
          <w:b w:val="0"/>
          <w:bCs w:val="0"/>
          <w:color w:val="auto"/>
          <w:sz w:val="22"/>
          <w:szCs w:val="22"/>
        </w:rPr>
        <w:t xml:space="preserve"> (2) f)</w:t>
      </w:r>
      <w:r w:rsidR="001539C7">
        <w:rPr>
          <w:rFonts w:cs="Arial"/>
          <w:b w:val="0"/>
          <w:bCs w:val="0"/>
          <w:color w:val="auto"/>
          <w:sz w:val="22"/>
          <w:szCs w:val="22"/>
        </w:rPr>
        <w:t xml:space="preserve">, (2) g), (2) </w:t>
      </w:r>
      <w:r w:rsidR="00C32F9B">
        <w:rPr>
          <w:rFonts w:cs="Arial"/>
          <w:b w:val="0"/>
          <w:bCs w:val="0"/>
          <w:color w:val="auto"/>
          <w:sz w:val="22"/>
          <w:szCs w:val="22"/>
        </w:rPr>
        <w:t>o</w:t>
      </w:r>
      <w:r w:rsidR="001539C7">
        <w:rPr>
          <w:rFonts w:cs="Arial"/>
          <w:b w:val="0"/>
          <w:bCs w:val="0"/>
          <w:color w:val="auto"/>
          <w:sz w:val="22"/>
          <w:szCs w:val="22"/>
        </w:rPr>
        <w:t xml:space="preserve">) </w:t>
      </w:r>
      <w:r w:rsidR="008C0AE4">
        <w:rPr>
          <w:rFonts w:cs="Arial"/>
          <w:b w:val="0"/>
          <w:bCs w:val="0"/>
          <w:color w:val="auto"/>
          <w:sz w:val="22"/>
          <w:szCs w:val="22"/>
        </w:rPr>
        <w:t xml:space="preserve">and (2) </w:t>
      </w:r>
      <w:r w:rsidR="00C32F9B">
        <w:rPr>
          <w:rFonts w:cs="Arial"/>
          <w:b w:val="0"/>
          <w:bCs w:val="0"/>
          <w:color w:val="auto"/>
          <w:sz w:val="22"/>
          <w:szCs w:val="22"/>
        </w:rPr>
        <w:t>p</w:t>
      </w:r>
      <w:r w:rsidR="008C0AE4">
        <w:rPr>
          <w:rFonts w:cs="Arial"/>
          <w:b w:val="0"/>
          <w:bCs w:val="0"/>
          <w:color w:val="auto"/>
          <w:sz w:val="22"/>
          <w:szCs w:val="22"/>
        </w:rPr>
        <w:t xml:space="preserve">) if required </w:t>
      </w:r>
      <w:r w:rsidR="008C0AE4" w:rsidRPr="008C0AE4">
        <w:rPr>
          <w:rFonts w:cs="Arial"/>
          <w:b w:val="0"/>
          <w:bCs w:val="0"/>
          <w:color w:val="auto"/>
          <w:sz w:val="22"/>
          <w:szCs w:val="22"/>
          <w:lang w:val="en-GB"/>
        </w:rPr>
        <w:t>by a competent regulatory authority or by relevant national legislation on the grounds of protecting the critical infrastructure.</w:t>
      </w:r>
      <w:r w:rsidR="008C0AE4">
        <w:rPr>
          <w:rFonts w:cs="Arial"/>
          <w:b w:val="0"/>
          <w:bCs w:val="0"/>
          <w:color w:val="auto"/>
          <w:sz w:val="22"/>
          <w:szCs w:val="22"/>
          <w:lang w:val="en-GB"/>
        </w:rPr>
        <w:t xml:space="preserve"> In such case, the information referred to in paragraph (2) f) shall be replaced with </w:t>
      </w:r>
      <w:r w:rsidR="008C0AE4" w:rsidRPr="008C0AE4">
        <w:rPr>
          <w:rFonts w:cs="Arial"/>
          <w:b w:val="0"/>
          <w:bCs w:val="0"/>
          <w:color w:val="auto"/>
          <w:sz w:val="22"/>
          <w:szCs w:val="22"/>
          <w:lang w:val="en-GB"/>
        </w:rPr>
        <w:t>an anonymous identifier which shall be stable for each CNEC across all market time units</w:t>
      </w:r>
      <w:r w:rsidR="008C0AE4">
        <w:rPr>
          <w:rFonts w:cs="Arial"/>
          <w:b w:val="0"/>
          <w:bCs w:val="0"/>
          <w:color w:val="auto"/>
          <w:sz w:val="22"/>
          <w:szCs w:val="22"/>
          <w:lang w:val="en-GB"/>
        </w:rPr>
        <w:t xml:space="preserve">. </w:t>
      </w:r>
      <w:r w:rsidR="00A77F73" w:rsidRPr="00A77F73">
        <w:rPr>
          <w:rFonts w:cs="Arial"/>
          <w:b w:val="0"/>
          <w:bCs w:val="0"/>
          <w:color w:val="auto"/>
          <w:sz w:val="22"/>
          <w:szCs w:val="22"/>
          <w:lang w:val="en-GB"/>
        </w:rPr>
        <w:t>The anonymous identifier shall also be used in the other TSO communications related to the CNEC, including when communicating about an outage or an investment in infrastructure. The list of data items withheld pursuant to this paragraph shall be published on the communication platform referred to in paragraph (1)</w:t>
      </w:r>
      <w:r w:rsidR="00A77F73">
        <w:rPr>
          <w:rFonts w:cs="Arial"/>
          <w:b w:val="0"/>
          <w:bCs w:val="0"/>
          <w:color w:val="auto"/>
          <w:sz w:val="22"/>
          <w:szCs w:val="22"/>
          <w:lang w:val="en-GB"/>
        </w:rPr>
        <w:t>.</w:t>
      </w:r>
    </w:p>
    <w:p w14:paraId="029CE674" w14:textId="62DC8829" w:rsidR="00A77F73" w:rsidRPr="00E111B9" w:rsidRDefault="00A77F73" w:rsidP="00E111B9">
      <w:pPr>
        <w:pStyle w:val="Title1"/>
        <w:numPr>
          <w:ilvl w:val="0"/>
          <w:numId w:val="86"/>
        </w:numPr>
        <w:spacing w:after="200" w:line="276" w:lineRule="auto"/>
        <w:ind w:left="714" w:right="0" w:hanging="357"/>
        <w:jc w:val="both"/>
        <w:rPr>
          <w:rFonts w:cs="Arial"/>
          <w:b w:val="0"/>
          <w:bCs w:val="0"/>
          <w:color w:val="auto"/>
          <w:sz w:val="22"/>
          <w:szCs w:val="22"/>
        </w:rPr>
      </w:pPr>
      <w:r w:rsidRPr="00E111B9">
        <w:rPr>
          <w:rFonts w:cs="Arial"/>
          <w:b w:val="0"/>
          <w:bCs w:val="0"/>
          <w:color w:val="auto"/>
          <w:sz w:val="22"/>
          <w:szCs w:val="22"/>
          <w:lang w:val="en-GB"/>
        </w:rPr>
        <w:t>Any change in the identifiers used in paragraphs (2) f) and (3) shall be publicly notified at least one month before its entry into force. The notification shall at least include the day of entry into force of the new identifiers and the correspondence between the old and the new identifier for each CNEC.</w:t>
      </w:r>
    </w:p>
    <w:p w14:paraId="41607BB7" w14:textId="42556E78" w:rsidR="00A77F73" w:rsidRDefault="00D228DC" w:rsidP="00D0161F">
      <w:pPr>
        <w:pStyle w:val="Title1"/>
        <w:numPr>
          <w:ilvl w:val="0"/>
          <w:numId w:val="86"/>
        </w:numPr>
        <w:spacing w:line="276" w:lineRule="auto"/>
        <w:ind w:right="0"/>
        <w:jc w:val="both"/>
        <w:rPr>
          <w:rFonts w:cs="Arial"/>
          <w:b w:val="0"/>
          <w:bCs w:val="0"/>
          <w:color w:val="auto"/>
          <w:sz w:val="22"/>
          <w:szCs w:val="22"/>
        </w:rPr>
      </w:pPr>
      <w:r w:rsidRPr="00D228DC">
        <w:rPr>
          <w:rFonts w:cs="Arial"/>
          <w:b w:val="0"/>
          <w:bCs w:val="0"/>
          <w:color w:val="auto"/>
          <w:sz w:val="22"/>
          <w:szCs w:val="22"/>
          <w:lang w:val="en-GB"/>
        </w:rPr>
        <w:t>Regulatory authorities may request additional information to be published by the TSOs. The relevant TSOs shall publish this information if requested by their competent regulatory authority. All regulatory authorities shall coordinate their requests among themselves, the relevant stakeholders and the Agency.</w:t>
      </w:r>
    </w:p>
    <w:p w14:paraId="36EF43D7" w14:textId="77777777" w:rsidR="005F304E" w:rsidRDefault="005F304E" w:rsidP="00CD68F5">
      <w:pPr>
        <w:pStyle w:val="Title1"/>
        <w:ind w:left="1276" w:right="0"/>
        <w:jc w:val="both"/>
        <w:rPr>
          <w:rFonts w:cs="Arial"/>
          <w:b w:val="0"/>
          <w:bCs w:val="0"/>
          <w:color w:val="auto"/>
          <w:sz w:val="22"/>
          <w:szCs w:val="22"/>
        </w:rPr>
      </w:pPr>
    </w:p>
    <w:p w14:paraId="1243A9A8" w14:textId="77777777" w:rsidR="00464615" w:rsidRDefault="00464615" w:rsidP="00C32F9B">
      <w:pPr>
        <w:pStyle w:val="Title1"/>
        <w:ind w:left="0" w:right="0"/>
        <w:jc w:val="both"/>
        <w:rPr>
          <w:rFonts w:cs="Arial"/>
          <w:b w:val="0"/>
          <w:bCs w:val="0"/>
          <w:color w:val="auto"/>
          <w:sz w:val="22"/>
          <w:szCs w:val="22"/>
        </w:rPr>
      </w:pPr>
    </w:p>
    <w:p w14:paraId="5F331DD5" w14:textId="4A9EAF50" w:rsidR="00D228DC" w:rsidRDefault="00D228DC" w:rsidP="00D228DC">
      <w:pPr>
        <w:pStyle w:val="Title1"/>
      </w:pPr>
      <w:r>
        <w:t>Article 17</w:t>
      </w:r>
    </w:p>
    <w:p w14:paraId="5D15DB18" w14:textId="2C35E378" w:rsidR="00D228DC" w:rsidRDefault="00D228DC" w:rsidP="00D0161F">
      <w:pPr>
        <w:pStyle w:val="Title1"/>
        <w:spacing w:after="240"/>
      </w:pPr>
      <w:r>
        <w:t>Quality of the data published</w:t>
      </w:r>
    </w:p>
    <w:p w14:paraId="7275CC92" w14:textId="634B2536" w:rsidR="00D228DC" w:rsidRDefault="00D228DC" w:rsidP="00D0161F">
      <w:pPr>
        <w:pStyle w:val="BodyText"/>
        <w:numPr>
          <w:ilvl w:val="0"/>
          <w:numId w:val="78"/>
        </w:numPr>
        <w:spacing w:after="200" w:line="276" w:lineRule="auto"/>
        <w:ind w:left="425" w:right="102" w:hanging="357"/>
        <w:jc w:val="both"/>
        <w:rPr>
          <w:rFonts w:cs="Arial"/>
        </w:rPr>
      </w:pPr>
      <w:r w:rsidRPr="00D0161F">
        <w:rPr>
          <w:rFonts w:cs="Arial"/>
        </w:rPr>
        <w:t xml:space="preserve">No later than six months before the implementation of this methodology, </w:t>
      </w:r>
      <w:r w:rsidR="0066795C">
        <w:rPr>
          <w:rFonts w:cs="Arial"/>
        </w:rPr>
        <w:t xml:space="preserve">SEE </w:t>
      </w:r>
      <w:r w:rsidRPr="00D0161F">
        <w:rPr>
          <w:rFonts w:cs="Arial"/>
        </w:rPr>
        <w:t xml:space="preserve">TSOs shall jointly establish and publish a common procedure for monitoring and ensuring the quality and availability of the data </w:t>
      </w:r>
      <w:r w:rsidRPr="00C161AD">
        <w:rPr>
          <w:rFonts w:cs="Arial"/>
        </w:rPr>
        <w:t>on the dedicated online communication platform</w:t>
      </w:r>
      <w:r w:rsidRPr="00D0161F">
        <w:rPr>
          <w:rFonts w:cs="Arial"/>
        </w:rPr>
        <w:t xml:space="preserve"> as referred to in </w:t>
      </w:r>
      <w:r w:rsidR="00AA59D9">
        <w:rPr>
          <w:rFonts w:cs="Arial"/>
        </w:rPr>
        <w:t xml:space="preserve">Article </w:t>
      </w:r>
      <w:r w:rsidR="00F940EC">
        <w:rPr>
          <w:rFonts w:cs="Arial"/>
        </w:rPr>
        <w:t>16</w:t>
      </w:r>
      <w:r w:rsidRPr="00D0161F">
        <w:rPr>
          <w:rFonts w:cs="Arial"/>
        </w:rPr>
        <w:t xml:space="preserve">. When doing so, they shall coordinate with relevant stakeholders and </w:t>
      </w:r>
      <w:r w:rsidR="00387134">
        <w:rPr>
          <w:rFonts w:cs="Arial"/>
        </w:rPr>
        <w:t>SEE</w:t>
      </w:r>
      <w:r w:rsidR="00E111B9">
        <w:rPr>
          <w:rFonts w:cs="Arial"/>
        </w:rPr>
        <w:t xml:space="preserve"> CCR</w:t>
      </w:r>
      <w:r w:rsidRPr="00D0161F">
        <w:rPr>
          <w:rFonts w:cs="Arial"/>
        </w:rPr>
        <w:t xml:space="preserve"> regulatory authorities</w:t>
      </w:r>
      <w:r>
        <w:rPr>
          <w:rFonts w:cs="Arial"/>
        </w:rPr>
        <w:t>.</w:t>
      </w:r>
    </w:p>
    <w:p w14:paraId="4D0E6AB7" w14:textId="68DA9F8E" w:rsidR="00D228DC" w:rsidRPr="007D6392" w:rsidRDefault="00D228DC" w:rsidP="00C161AD">
      <w:pPr>
        <w:pStyle w:val="BodyText"/>
        <w:numPr>
          <w:ilvl w:val="0"/>
          <w:numId w:val="78"/>
        </w:numPr>
        <w:spacing w:line="276" w:lineRule="auto"/>
        <w:ind w:left="425" w:right="102" w:hanging="357"/>
        <w:jc w:val="both"/>
        <w:rPr>
          <w:rFonts w:cs="Arial"/>
        </w:rPr>
      </w:pPr>
      <w:r w:rsidRPr="007245CD">
        <w:t>The proce</w:t>
      </w:r>
      <w:r>
        <w:t>dure pursuant to paragraph (1)</w:t>
      </w:r>
      <w:r w:rsidRPr="007245CD">
        <w:t xml:space="preserve"> shall be </w:t>
      </w:r>
      <w:r>
        <w:t>applied</w:t>
      </w:r>
      <w:r w:rsidRPr="007245CD">
        <w:t xml:space="preserve"> by the CCC and shall </w:t>
      </w:r>
      <w:r w:rsidR="00C161AD">
        <w:t>consist</w:t>
      </w:r>
      <w:r>
        <w:t xml:space="preserve"> of continuous monitoring process and reporting in the annual report. The continuous monitoring process shall monitor the following elements:</w:t>
      </w:r>
    </w:p>
    <w:p w14:paraId="772D5EF2" w14:textId="3223CA3F" w:rsidR="007D6392" w:rsidRDefault="007D6392" w:rsidP="00E111B9">
      <w:pPr>
        <w:pStyle w:val="NoSpacing"/>
        <w:numPr>
          <w:ilvl w:val="1"/>
          <w:numId w:val="78"/>
        </w:numPr>
        <w:spacing w:after="0"/>
        <w:ind w:left="1434" w:hanging="357"/>
      </w:pPr>
      <w:r>
        <w:t>individually</w:t>
      </w:r>
      <w:r w:rsidRPr="007245CD">
        <w:t xml:space="preserve"> </w:t>
      </w:r>
      <w:r>
        <w:t>for</w:t>
      </w:r>
      <w:r w:rsidRPr="007245CD">
        <w:t xml:space="preserve"> </w:t>
      </w:r>
      <w:r>
        <w:t xml:space="preserve">each </w:t>
      </w:r>
      <w:r w:rsidRPr="007245CD">
        <w:t xml:space="preserve">TSO </w:t>
      </w:r>
      <w:r>
        <w:t>and for the SEE CCR as a whole:</w:t>
      </w:r>
      <w:r w:rsidRPr="007245CD" w:rsidDel="003E0CAD">
        <w:t xml:space="preserve"> </w:t>
      </w:r>
      <w:r w:rsidRPr="007245CD">
        <w:t>data quality indicators, describing the precision, accuracy, representativeness, data completeness, comparability and sensitivity of the data</w:t>
      </w:r>
      <w:r>
        <w:t>;</w:t>
      </w:r>
    </w:p>
    <w:p w14:paraId="22A0591C" w14:textId="77777777" w:rsidR="007D6392" w:rsidRDefault="007D6392" w:rsidP="00E111B9">
      <w:pPr>
        <w:pStyle w:val="NoSpacing"/>
        <w:numPr>
          <w:ilvl w:val="1"/>
          <w:numId w:val="78"/>
        </w:numPr>
        <w:spacing w:after="0"/>
        <w:ind w:left="1434" w:hanging="357"/>
      </w:pPr>
      <w:r w:rsidRPr="007245CD">
        <w:t>the ease-of-use of the data retrieval, for both manual and automated purposes</w:t>
      </w:r>
      <w:r>
        <w:t>;</w:t>
      </w:r>
    </w:p>
    <w:p w14:paraId="7C874FED" w14:textId="77777777" w:rsidR="007D6392" w:rsidRDefault="007D6392" w:rsidP="00C161AD">
      <w:pPr>
        <w:pStyle w:val="NoSpacing"/>
        <w:numPr>
          <w:ilvl w:val="1"/>
          <w:numId w:val="78"/>
        </w:numPr>
        <w:spacing w:after="0"/>
        <w:ind w:left="1434" w:hanging="357"/>
      </w:pPr>
      <w:r>
        <w:lastRenderedPageBreak/>
        <w:t xml:space="preserve">perform </w:t>
      </w:r>
      <w:r w:rsidRPr="007245CD">
        <w:t xml:space="preserve">automated </w:t>
      </w:r>
      <w:r>
        <w:t xml:space="preserve">data </w:t>
      </w:r>
      <w:r w:rsidRPr="007245CD">
        <w:t xml:space="preserve">checks, which shall be conducted in order to automatically accept or reject individual data items before publication based on </w:t>
      </w:r>
      <w:r>
        <w:t>required</w:t>
      </w:r>
      <w:r w:rsidRPr="007245CD">
        <w:t xml:space="preserve"> data attributes (e.g. data type, lower/upper value bound</w:t>
      </w:r>
      <w:r>
        <w:t>, etc.</w:t>
      </w:r>
      <w:r w:rsidRPr="007245CD">
        <w:t>).</w:t>
      </w:r>
    </w:p>
    <w:p w14:paraId="6E121F3F" w14:textId="77777777" w:rsidR="007D6392" w:rsidRPr="007245CD" w:rsidRDefault="007D6392" w:rsidP="007D6392">
      <w:pPr>
        <w:pStyle w:val="NoSpacing"/>
        <w:numPr>
          <w:ilvl w:val="0"/>
          <w:numId w:val="0"/>
        </w:numPr>
        <w:ind w:left="360"/>
      </w:pPr>
      <w:r w:rsidRPr="007245CD">
        <w:t xml:space="preserve">The quality indicators shall be monitored in daily operation </w:t>
      </w:r>
      <w:r>
        <w:t xml:space="preserve">and shall be made available </w:t>
      </w:r>
      <w:r w:rsidRPr="007245CD">
        <w:t>on the platform for each dataset and data provider</w:t>
      </w:r>
      <w:r>
        <w:t xml:space="preserve"> such that users are able to take this information into account when accessing and using the data.</w:t>
      </w:r>
    </w:p>
    <w:p w14:paraId="17A578C0" w14:textId="77777777" w:rsidR="007D6392" w:rsidRPr="00387134" w:rsidRDefault="007D6392" w:rsidP="00C161AD">
      <w:pPr>
        <w:pStyle w:val="FootnoteText"/>
        <w:numPr>
          <w:ilvl w:val="0"/>
          <w:numId w:val="78"/>
        </w:numPr>
        <w:spacing w:after="0" w:line="276" w:lineRule="auto"/>
        <w:ind w:left="425" w:right="102" w:hanging="357"/>
        <w:rPr>
          <w:rFonts w:eastAsia="Times New Roman"/>
          <w:szCs w:val="22"/>
          <w:lang w:val="en-US"/>
        </w:rPr>
      </w:pPr>
      <w:r w:rsidRPr="00387134">
        <w:rPr>
          <w:rFonts w:eastAsia="Times New Roman" w:cs="Times New Roman"/>
          <w:sz w:val="22"/>
          <w:szCs w:val="22"/>
          <w:lang w:val="en-US"/>
        </w:rPr>
        <w:t>The CCC shall provide in the annual report at least the following:</w:t>
      </w:r>
    </w:p>
    <w:p w14:paraId="42162130" w14:textId="77777777" w:rsidR="007D6392" w:rsidRDefault="007D6392" w:rsidP="00C161AD">
      <w:pPr>
        <w:pStyle w:val="NoSpacing"/>
        <w:numPr>
          <w:ilvl w:val="1"/>
          <w:numId w:val="100"/>
        </w:numPr>
        <w:spacing w:after="0"/>
        <w:ind w:left="1418"/>
      </w:pPr>
      <w:r>
        <w:t>the summary of the quality of the data provided by each data provider;</w:t>
      </w:r>
    </w:p>
    <w:p w14:paraId="6603F432" w14:textId="77777777" w:rsidR="007D6392" w:rsidRDefault="007D6392" w:rsidP="00C161AD">
      <w:pPr>
        <w:pStyle w:val="NoSpacing"/>
        <w:numPr>
          <w:ilvl w:val="1"/>
          <w:numId w:val="100"/>
        </w:numPr>
        <w:spacing w:after="0"/>
        <w:ind w:left="1418"/>
      </w:pPr>
      <w:r>
        <w:t>the assessment of the ease-of-use of data retrieval (both manual and automated);</w:t>
      </w:r>
    </w:p>
    <w:p w14:paraId="3ED1D815" w14:textId="77777777" w:rsidR="007D6392" w:rsidRDefault="007D6392" w:rsidP="00C161AD">
      <w:pPr>
        <w:pStyle w:val="NoSpacing"/>
        <w:numPr>
          <w:ilvl w:val="1"/>
          <w:numId w:val="100"/>
        </w:numPr>
        <w:spacing w:after="0"/>
        <w:ind w:left="1418"/>
      </w:pPr>
      <w:r>
        <w:t>the results of the satisfaction survey performed annually with stakeholders and regulatory authorities;</w:t>
      </w:r>
    </w:p>
    <w:p w14:paraId="1A4F81A5" w14:textId="6FB90282" w:rsidR="007D6392" w:rsidRDefault="007D6392" w:rsidP="00C161AD">
      <w:pPr>
        <w:pStyle w:val="NoSpacing"/>
        <w:numPr>
          <w:ilvl w:val="1"/>
          <w:numId w:val="100"/>
        </w:numPr>
        <w:ind w:left="1418"/>
      </w:pPr>
      <w:r>
        <w:t>the suggestions for improving the quality of the provided data and/or the ease-of-use of data retrieval.</w:t>
      </w:r>
    </w:p>
    <w:p w14:paraId="27A21E34" w14:textId="0F7169CA" w:rsidR="007D6392" w:rsidRPr="00387134" w:rsidRDefault="00077EB8" w:rsidP="00464615">
      <w:pPr>
        <w:pStyle w:val="FootnoteText"/>
        <w:numPr>
          <w:ilvl w:val="0"/>
          <w:numId w:val="78"/>
        </w:numPr>
        <w:spacing w:after="0" w:line="276" w:lineRule="auto"/>
        <w:ind w:left="425" w:right="102" w:hanging="357"/>
        <w:rPr>
          <w:rFonts w:eastAsia="Times New Roman"/>
          <w:szCs w:val="22"/>
          <w:lang w:val="en-US"/>
        </w:rPr>
      </w:pPr>
      <w:r>
        <w:rPr>
          <w:rFonts w:eastAsia="Times New Roman" w:cs="Times New Roman"/>
          <w:sz w:val="22"/>
          <w:szCs w:val="22"/>
          <w:lang w:val="en-US"/>
        </w:rPr>
        <w:t>The</w:t>
      </w:r>
      <w:r w:rsidRPr="00387134">
        <w:rPr>
          <w:rFonts w:eastAsia="Times New Roman" w:cs="Times New Roman"/>
          <w:sz w:val="22"/>
          <w:szCs w:val="22"/>
          <w:lang w:val="en-US"/>
        </w:rPr>
        <w:t xml:space="preserve"> </w:t>
      </w:r>
      <w:r w:rsidR="007D6392" w:rsidRPr="00387134">
        <w:rPr>
          <w:rFonts w:eastAsia="Times New Roman" w:cs="Times New Roman"/>
          <w:sz w:val="22"/>
          <w:szCs w:val="22"/>
          <w:lang w:val="en-US"/>
        </w:rPr>
        <w:t>TSOs</w:t>
      </w:r>
      <w:r>
        <w:rPr>
          <w:rFonts w:eastAsia="Times New Roman" w:cs="Times New Roman"/>
          <w:sz w:val="22"/>
          <w:szCs w:val="22"/>
          <w:lang w:val="en-US"/>
        </w:rPr>
        <w:t xml:space="preserve"> of the SEE CCR</w:t>
      </w:r>
      <w:r w:rsidR="007D6392" w:rsidRPr="00387134">
        <w:rPr>
          <w:rFonts w:eastAsia="Times New Roman" w:cs="Times New Roman"/>
          <w:sz w:val="22"/>
          <w:szCs w:val="22"/>
          <w:lang w:val="en-US"/>
        </w:rPr>
        <w:t xml:space="preserve"> shall commit to a minimum value for at least some of the indicators mentioned in paragraph</w:t>
      </w:r>
      <w:r>
        <w:rPr>
          <w:rFonts w:eastAsia="Times New Roman" w:cs="Times New Roman"/>
          <w:sz w:val="22"/>
          <w:szCs w:val="22"/>
          <w:lang w:val="en-US"/>
        </w:rPr>
        <w:t xml:space="preserve"> </w:t>
      </w:r>
      <w:r w:rsidR="00A02EFF">
        <w:rPr>
          <w:rFonts w:eastAsia="Times New Roman" w:cs="Times New Roman"/>
          <w:sz w:val="22"/>
          <w:szCs w:val="22"/>
          <w:lang w:val="en-US"/>
        </w:rPr>
        <w:t>(2)</w:t>
      </w:r>
      <w:r w:rsidR="007D6392" w:rsidRPr="00387134">
        <w:rPr>
          <w:rFonts w:eastAsia="Times New Roman" w:cs="Times New Roman"/>
          <w:sz w:val="22"/>
          <w:szCs w:val="22"/>
          <w:lang w:val="en-US"/>
        </w:rPr>
        <w:t>, to be achieved by each TSO individually on average on a monthly basis. Should a TSO fail to fulfil at least one of the data quality requirements, this TSO shall provide to the CCC within 1 month following the infringement of the threshold, detailing reasons for the failure to provide information, as well as an action plan to correct past errors and prevent future errors. No later than three months after the infringement, this action plan shall fully be implemented and the issue resolved. This information shall be published on the online communication platform and in the annual report.</w:t>
      </w:r>
    </w:p>
    <w:p w14:paraId="16816B4E" w14:textId="77777777" w:rsidR="00464615" w:rsidRDefault="00464615" w:rsidP="002F5225">
      <w:pPr>
        <w:pStyle w:val="Title1"/>
      </w:pPr>
    </w:p>
    <w:p w14:paraId="6C2573E0" w14:textId="0CF4310B" w:rsidR="002F5225" w:rsidRDefault="002F5225" w:rsidP="002F5225">
      <w:pPr>
        <w:pStyle w:val="Title1"/>
      </w:pPr>
      <w:r>
        <w:t xml:space="preserve">Article </w:t>
      </w:r>
      <w:r w:rsidR="00D228DC">
        <w:t>18</w:t>
      </w:r>
    </w:p>
    <w:p w14:paraId="73DB4744" w14:textId="06C63B0E" w:rsidR="002F5225" w:rsidRDefault="002F5225" w:rsidP="002F5225">
      <w:pPr>
        <w:pStyle w:val="Title1"/>
      </w:pPr>
      <w:r>
        <w:t>Monitoring</w:t>
      </w:r>
      <w:r w:rsidR="00D00B4C">
        <w:t>, reporting</w:t>
      </w:r>
      <w:r>
        <w:t xml:space="preserve"> and information to regulatory authorities</w:t>
      </w:r>
    </w:p>
    <w:p w14:paraId="18068B3C" w14:textId="77777777" w:rsidR="002F5225" w:rsidRDefault="002F5225" w:rsidP="005F304E">
      <w:pPr>
        <w:pStyle w:val="BodyText"/>
        <w:spacing w:line="276" w:lineRule="auto"/>
        <w:ind w:right="102"/>
        <w:jc w:val="both"/>
      </w:pPr>
    </w:p>
    <w:p w14:paraId="4E183A03" w14:textId="00C829FB" w:rsidR="002F5225" w:rsidRDefault="002F5225" w:rsidP="00387134">
      <w:pPr>
        <w:pStyle w:val="BodyText"/>
        <w:numPr>
          <w:ilvl w:val="0"/>
          <w:numId w:val="94"/>
        </w:numPr>
        <w:spacing w:after="200" w:line="276" w:lineRule="auto"/>
        <w:ind w:left="426" w:right="102" w:hanging="284"/>
        <w:jc w:val="both"/>
        <w:rPr>
          <w:rFonts w:cs="Arial"/>
        </w:rPr>
      </w:pPr>
      <w:r>
        <w:rPr>
          <w:rFonts w:cs="Arial"/>
        </w:rPr>
        <w:t>With reference to the Whereas and Article 26(5) of the CACM Regulation, monitoring data shall be provided towards the SEE NRAs as basis for supervising a non-discriminatory and efficient SEE congestion management.</w:t>
      </w:r>
    </w:p>
    <w:p w14:paraId="45B37C56" w14:textId="05B1F539" w:rsidR="00122880" w:rsidRDefault="00122880" w:rsidP="00387134">
      <w:pPr>
        <w:pStyle w:val="BodyText"/>
        <w:numPr>
          <w:ilvl w:val="0"/>
          <w:numId w:val="94"/>
        </w:numPr>
        <w:spacing w:after="200" w:line="276" w:lineRule="auto"/>
        <w:ind w:left="425" w:right="102" w:hanging="357"/>
        <w:jc w:val="both"/>
        <w:rPr>
          <w:rFonts w:cs="Arial"/>
        </w:rPr>
      </w:pPr>
      <w:r>
        <w:rPr>
          <w:rFonts w:cs="Arial"/>
        </w:rPr>
        <w:t>The provided monitoring data shall also be the basis for the biennial report to be provided according to Article 31 of the CACM Regulation.</w:t>
      </w:r>
    </w:p>
    <w:p w14:paraId="5390CE67" w14:textId="06E9E4CF" w:rsidR="00ED3D5D" w:rsidRDefault="00ED3D5D" w:rsidP="00387134">
      <w:pPr>
        <w:pStyle w:val="BodyText"/>
        <w:numPr>
          <w:ilvl w:val="0"/>
          <w:numId w:val="94"/>
        </w:numPr>
        <w:spacing w:after="200" w:line="276" w:lineRule="auto"/>
        <w:ind w:left="425" w:right="102" w:hanging="357"/>
        <w:jc w:val="both"/>
        <w:rPr>
          <w:rFonts w:cs="Arial"/>
        </w:rPr>
      </w:pPr>
      <w:r>
        <w:rPr>
          <w:rFonts w:cs="Arial"/>
        </w:rPr>
        <w:t>The CCC, with the support of SEE</w:t>
      </w:r>
      <w:r w:rsidR="00077EB8">
        <w:rPr>
          <w:rFonts w:cs="Arial"/>
        </w:rPr>
        <w:t xml:space="preserve"> CCR</w:t>
      </w:r>
      <w:r>
        <w:rPr>
          <w:rFonts w:cs="Arial"/>
        </w:rPr>
        <w:t xml:space="preserve"> TSOs where relevant, shall draft and publish an annual report and a quarterly report satisfying the reporting obligations set in this methodology.</w:t>
      </w:r>
    </w:p>
    <w:p w14:paraId="2B49D040" w14:textId="3DB27BC0" w:rsidR="004A70E5" w:rsidRDefault="004A70E5" w:rsidP="00387134">
      <w:pPr>
        <w:pStyle w:val="BodyText"/>
        <w:numPr>
          <w:ilvl w:val="0"/>
          <w:numId w:val="94"/>
        </w:numPr>
        <w:spacing w:after="200" w:line="276" w:lineRule="auto"/>
        <w:ind w:left="425" w:right="102" w:hanging="357"/>
        <w:jc w:val="both"/>
        <w:rPr>
          <w:rFonts w:cs="Arial"/>
        </w:rPr>
      </w:pPr>
      <w:r>
        <w:rPr>
          <w:rFonts w:cs="Arial"/>
        </w:rPr>
        <w:t xml:space="preserve">The final, exhaustive and binding list of all monitoring items, respective templates and the data access point shall be developed by the SEE TSOs in </w:t>
      </w:r>
      <w:r w:rsidR="00A80F2F">
        <w:rPr>
          <w:rFonts w:cs="Arial"/>
        </w:rPr>
        <w:t xml:space="preserve">cooperation </w:t>
      </w:r>
      <w:r w:rsidR="0029517E">
        <w:rPr>
          <w:rFonts w:cs="Arial"/>
        </w:rPr>
        <w:t xml:space="preserve">with NRAs. An agreement between the SEE NRAs and SEE TSOs shall be reached no later than three months before the implementation of this methodology. </w:t>
      </w:r>
    </w:p>
    <w:p w14:paraId="42F32A7E" w14:textId="03425317" w:rsidR="00122880" w:rsidRDefault="00122880" w:rsidP="00464615">
      <w:pPr>
        <w:pStyle w:val="BodyText"/>
        <w:numPr>
          <w:ilvl w:val="0"/>
          <w:numId w:val="94"/>
        </w:numPr>
        <w:spacing w:line="276" w:lineRule="auto"/>
        <w:ind w:left="425" w:right="102" w:hanging="357"/>
        <w:jc w:val="both"/>
        <w:rPr>
          <w:rFonts w:cs="Arial"/>
        </w:rPr>
      </w:pPr>
      <w:r>
        <w:rPr>
          <w:rFonts w:cs="Arial"/>
        </w:rPr>
        <w:t xml:space="preserve">All technical and statistical information related to this </w:t>
      </w:r>
      <w:r w:rsidR="00E45FE5">
        <w:rPr>
          <w:rFonts w:cs="Arial"/>
        </w:rPr>
        <w:t xml:space="preserve">methodology </w:t>
      </w:r>
      <w:r>
        <w:rPr>
          <w:rFonts w:cs="Arial"/>
        </w:rPr>
        <w:t>shall be made available upon request to the NRAs in the SEE CCR.</w:t>
      </w:r>
    </w:p>
    <w:p w14:paraId="13ED6D29" w14:textId="77777777" w:rsidR="00464615" w:rsidRDefault="00464615" w:rsidP="00457547">
      <w:pPr>
        <w:pStyle w:val="Title1"/>
      </w:pPr>
    </w:p>
    <w:p w14:paraId="3380F5C3" w14:textId="227A40C5" w:rsidR="00457547" w:rsidRDefault="007F2107" w:rsidP="00457547">
      <w:pPr>
        <w:pStyle w:val="Title1"/>
      </w:pPr>
      <w:r>
        <w:t xml:space="preserve">Article </w:t>
      </w:r>
      <w:r w:rsidR="00D228DC">
        <w:t>19</w:t>
      </w:r>
    </w:p>
    <w:p w14:paraId="367CD659" w14:textId="6BB320CB" w:rsidR="002A72C5" w:rsidRDefault="007F2107" w:rsidP="00457547">
      <w:pPr>
        <w:pStyle w:val="Title1"/>
      </w:pPr>
      <w:r>
        <w:t>Language</w:t>
      </w:r>
    </w:p>
    <w:p w14:paraId="4902E92F" w14:textId="77777777" w:rsidR="00D86E1E" w:rsidRPr="00D86E1E" w:rsidRDefault="00D86E1E" w:rsidP="00457547">
      <w:pPr>
        <w:pStyle w:val="Title1"/>
        <w:rPr>
          <w:b w:val="0"/>
          <w:sz w:val="22"/>
          <w:szCs w:val="22"/>
        </w:rPr>
      </w:pPr>
    </w:p>
    <w:p w14:paraId="1FD7EFA1" w14:textId="7E6A905F" w:rsidR="00583E79" w:rsidRDefault="007F2107" w:rsidP="00B45A00">
      <w:pPr>
        <w:pStyle w:val="ListParagraph"/>
        <w:numPr>
          <w:ilvl w:val="0"/>
          <w:numId w:val="16"/>
        </w:numPr>
        <w:tabs>
          <w:tab w:val="left" w:pos="-4678"/>
        </w:tabs>
        <w:spacing w:after="120" w:line="276" w:lineRule="auto"/>
        <w:ind w:left="425" w:right="0" w:hanging="425"/>
      </w:pPr>
      <w:r>
        <w:t xml:space="preserve">The reference language for this </w:t>
      </w:r>
      <w:r w:rsidR="00D86E1E">
        <w:t>methodology</w:t>
      </w:r>
      <w:r>
        <w:t xml:space="preserve"> shall be</w:t>
      </w:r>
      <w:r w:rsidRPr="006B3B47">
        <w:t xml:space="preserve"> </w:t>
      </w:r>
      <w:r>
        <w:t>English.</w:t>
      </w:r>
      <w:r w:rsidR="00CD48E1">
        <w:t xml:space="preserve"> </w:t>
      </w:r>
      <w:r>
        <w:t>For the avoidance of doubt, where TSOs need to translate this methodology into their national language(s), in the event of inconsistencies between the English version published by TSOs</w:t>
      </w:r>
      <w:r w:rsidR="00617647">
        <w:t xml:space="preserve"> in </w:t>
      </w:r>
      <w:r>
        <w:t>accordance with Article 9(14) of the CACM Regulation and any version in another language, the relevant TSOs shall</w:t>
      </w:r>
      <w:r w:rsidR="0001490E">
        <w:t>, in accordance with national legislation,</w:t>
      </w:r>
      <w:r>
        <w:t xml:space="preserve"> provid</w:t>
      </w:r>
      <w:r w:rsidR="0001490E">
        <w:t>e</w:t>
      </w:r>
      <w:r>
        <w:t xml:space="preserve"> </w:t>
      </w:r>
      <w:r w:rsidR="0001490E">
        <w:t xml:space="preserve">the relevant national regulatory authorities with a </w:t>
      </w:r>
      <w:r w:rsidR="00DA1910">
        <w:t>revised</w:t>
      </w:r>
      <w:r>
        <w:t xml:space="preserve"> translation of </w:t>
      </w:r>
      <w:r w:rsidR="0001490E">
        <w:t xml:space="preserve">the </w:t>
      </w:r>
      <w:r>
        <w:t>methodology</w:t>
      </w:r>
      <w:r w:rsidR="0001490E">
        <w:t>.</w:t>
      </w:r>
    </w:p>
    <w:sectPr w:rsidR="00583E79" w:rsidSect="00F6725B">
      <w:footerReference w:type="default" r:id="rId10"/>
      <w:pgSz w:w="11900" w:h="16840"/>
      <w:pgMar w:top="1860" w:right="500" w:bottom="1100" w:left="1240" w:header="703"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07D14" w14:textId="77777777" w:rsidR="004748B0" w:rsidRDefault="004748B0">
      <w:r>
        <w:separator/>
      </w:r>
    </w:p>
  </w:endnote>
  <w:endnote w:type="continuationSeparator" w:id="0">
    <w:p w14:paraId="7BE62457" w14:textId="77777777" w:rsidR="004748B0" w:rsidRDefault="0047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D6087" w14:textId="7DCDD2B5" w:rsidR="00D2315C" w:rsidRDefault="00D2315C">
    <w:pPr>
      <w:pStyle w:val="BodyText"/>
      <w:spacing w:line="14" w:lineRule="auto"/>
      <w:rPr>
        <w:sz w:val="20"/>
      </w:rPr>
    </w:pPr>
    <w:r>
      <w:rPr>
        <w:noProof/>
      </w:rPr>
      <mc:AlternateContent>
        <mc:Choice Requires="wps">
          <w:drawing>
            <wp:anchor distT="0" distB="0" distL="114300" distR="114300" simplePos="0" relativeHeight="503304368" behindDoc="1" locked="0" layoutInCell="1" allowOverlap="1" wp14:anchorId="4BDE7247" wp14:editId="34997297">
              <wp:simplePos x="0" y="0"/>
              <wp:positionH relativeFrom="page">
                <wp:posOffset>7062470</wp:posOffset>
              </wp:positionH>
              <wp:positionV relativeFrom="page">
                <wp:posOffset>9976485</wp:posOffset>
              </wp:positionV>
              <wp:extent cx="128905" cy="165735"/>
              <wp:effectExtent l="4445" t="381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885AC" w14:textId="2BE63AE0" w:rsidR="00D2315C" w:rsidRDefault="00D2315C">
                          <w:pPr>
                            <w:pStyle w:val="BodyText"/>
                            <w:spacing w:line="246" w:lineRule="exact"/>
                            <w:ind w:left="40"/>
                            <w:rPr>
                              <w:rFonts w:ascii="Arial"/>
                            </w:rPr>
                          </w:pPr>
                          <w:r>
                            <w:fldChar w:fldCharType="begin"/>
                          </w:r>
                          <w:r>
                            <w:rPr>
                              <w:rFonts w:ascii="Arial"/>
                            </w:rPr>
                            <w:instrText xml:space="preserve"> PAGE </w:instrText>
                          </w:r>
                          <w:r>
                            <w:fldChar w:fldCharType="separate"/>
                          </w:r>
                          <w:r w:rsidR="005931D9">
                            <w:rPr>
                              <w:rFonts w:ascii="Arial"/>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7247" id="_x0000_t202" coordsize="21600,21600" o:spt="202" path="m,l,21600r21600,l21600,xe">
              <v:stroke joinstyle="miter"/>
              <v:path gradientshapeok="t" o:connecttype="rect"/>
            </v:shapetype>
            <v:shape id="Text Box 2" o:spid="_x0000_s1027" type="#_x0000_t202" style="position:absolute;margin-left:556.1pt;margin-top:785.55pt;width:10.15pt;height:13.05pt;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" filled="f" stroked="f">
              <v:textbox inset="0,0,0,0">
                <w:txbxContent>
                  <w:p w14:paraId="591885AC" w14:textId="2BE63AE0" w:rsidR="00D2315C" w:rsidRDefault="00D2315C">
                    <w:pPr>
                      <w:pStyle w:val="BodyText"/>
                      <w:spacing w:line="246" w:lineRule="exact"/>
                      <w:ind w:left="40"/>
                      <w:rPr>
                        <w:rFonts w:ascii="Arial"/>
                      </w:rPr>
                    </w:pPr>
                    <w:r>
                      <w:fldChar w:fldCharType="begin"/>
                    </w:r>
                    <w:r>
                      <w:rPr>
                        <w:rFonts w:ascii="Arial"/>
                      </w:rPr>
                      <w:instrText xml:space="preserve"> PAGE </w:instrText>
                    </w:r>
                    <w:r>
                      <w:fldChar w:fldCharType="separate"/>
                    </w:r>
                    <w:r w:rsidR="005931D9">
                      <w:rPr>
                        <w:rFonts w:ascii="Arial"/>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D7D1B" w14:textId="41A7276B" w:rsidR="00D2315C" w:rsidRDefault="00D2315C">
    <w:pPr>
      <w:pStyle w:val="BodyText"/>
      <w:spacing w:line="14" w:lineRule="auto"/>
      <w:rPr>
        <w:sz w:val="20"/>
      </w:rPr>
    </w:pPr>
    <w:r>
      <w:rPr>
        <w:noProof/>
      </w:rPr>
      <mc:AlternateContent>
        <mc:Choice Requires="wps">
          <w:drawing>
            <wp:anchor distT="0" distB="0" distL="114300" distR="114300" simplePos="0" relativeHeight="503304392" behindDoc="1" locked="0" layoutInCell="1" allowOverlap="1" wp14:anchorId="2FD2FAD1" wp14:editId="5158A59E">
              <wp:simplePos x="0" y="0"/>
              <wp:positionH relativeFrom="page">
                <wp:posOffset>6985000</wp:posOffset>
              </wp:positionH>
              <wp:positionV relativeFrom="page">
                <wp:posOffset>10142220</wp:posOffset>
              </wp:positionV>
              <wp:extent cx="207010" cy="165735"/>
              <wp:effectExtent l="0" t="0" r="254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4607" w14:textId="67361D0D" w:rsidR="00D2315C" w:rsidRPr="007650FE" w:rsidRDefault="00D2315C">
                          <w:pPr>
                            <w:pStyle w:val="BodyText"/>
                            <w:spacing w:line="246" w:lineRule="exact"/>
                            <w:ind w:left="40"/>
                            <w:rPr>
                              <w:rFonts w:ascii="Arial"/>
                              <w:sz w:val="18"/>
                              <w:szCs w:val="18"/>
                            </w:rPr>
                          </w:pPr>
                          <w:r w:rsidRPr="007650FE">
                            <w:rPr>
                              <w:sz w:val="18"/>
                              <w:szCs w:val="18"/>
                            </w:rPr>
                            <w:fldChar w:fldCharType="begin"/>
                          </w:r>
                          <w:r w:rsidRPr="007650FE">
                            <w:rPr>
                              <w:rFonts w:ascii="Arial"/>
                              <w:sz w:val="18"/>
                              <w:szCs w:val="18"/>
                            </w:rPr>
                            <w:instrText xml:space="preserve"> PAGE </w:instrText>
                          </w:r>
                          <w:r w:rsidRPr="007650FE">
                            <w:rPr>
                              <w:sz w:val="18"/>
                              <w:szCs w:val="18"/>
                            </w:rPr>
                            <w:fldChar w:fldCharType="separate"/>
                          </w:r>
                          <w:r w:rsidR="005931D9">
                            <w:rPr>
                              <w:rFonts w:ascii="Arial"/>
                              <w:noProof/>
                              <w:sz w:val="18"/>
                              <w:szCs w:val="18"/>
                            </w:rPr>
                            <w:t>17</w:t>
                          </w:r>
                          <w:r w:rsidRPr="007650FE">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2FAD1" id="_x0000_t202" coordsize="21600,21600" o:spt="202" path="m,l,21600r21600,l21600,xe">
              <v:stroke joinstyle="miter"/>
              <v:path gradientshapeok="t" o:connecttype="rect"/>
            </v:shapetype>
            <v:shape id="Text Box 1" o:spid="_x0000_s1028" type="#_x0000_t202" style="position:absolute;margin-left:550pt;margin-top:798.6pt;width:16.3pt;height:13.05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" filled="f" stroked="f">
              <v:textbox inset="0,0,0,0">
                <w:txbxContent>
                  <w:p w14:paraId="7E164607" w14:textId="67361D0D" w:rsidR="00D2315C" w:rsidRPr="007650FE" w:rsidRDefault="00D2315C">
                    <w:pPr>
                      <w:pStyle w:val="BodyText"/>
                      <w:spacing w:line="246" w:lineRule="exact"/>
                      <w:ind w:left="40"/>
                      <w:rPr>
                        <w:rFonts w:ascii="Arial"/>
                        <w:sz w:val="18"/>
                        <w:szCs w:val="18"/>
                      </w:rPr>
                    </w:pPr>
                    <w:r w:rsidRPr="007650FE">
                      <w:rPr>
                        <w:sz w:val="18"/>
                        <w:szCs w:val="18"/>
                      </w:rPr>
                      <w:fldChar w:fldCharType="begin"/>
                    </w:r>
                    <w:r w:rsidRPr="007650FE">
                      <w:rPr>
                        <w:rFonts w:ascii="Arial"/>
                        <w:sz w:val="18"/>
                        <w:szCs w:val="18"/>
                      </w:rPr>
                      <w:instrText xml:space="preserve"> PAGE </w:instrText>
                    </w:r>
                    <w:r w:rsidRPr="007650FE">
                      <w:rPr>
                        <w:sz w:val="18"/>
                        <w:szCs w:val="18"/>
                      </w:rPr>
                      <w:fldChar w:fldCharType="separate"/>
                    </w:r>
                    <w:r w:rsidR="005931D9">
                      <w:rPr>
                        <w:rFonts w:ascii="Arial"/>
                        <w:noProof/>
                        <w:sz w:val="18"/>
                        <w:szCs w:val="18"/>
                      </w:rPr>
                      <w:t>17</w:t>
                    </w:r>
                    <w:r w:rsidRPr="007650FE">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A538A" w14:textId="77777777" w:rsidR="004748B0" w:rsidRDefault="004748B0">
      <w:r>
        <w:separator/>
      </w:r>
    </w:p>
  </w:footnote>
  <w:footnote w:type="continuationSeparator" w:id="0">
    <w:p w14:paraId="091E649B" w14:textId="77777777" w:rsidR="004748B0" w:rsidRDefault="0047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53A5" w14:textId="4C08AC3F" w:rsidR="00D2315C" w:rsidRDefault="00D2315C">
    <w:pPr>
      <w:pStyle w:val="BodyText"/>
      <w:spacing w:line="14" w:lineRule="auto"/>
      <w:rPr>
        <w:sz w:val="20"/>
      </w:rPr>
    </w:pPr>
    <w:r>
      <w:rPr>
        <w:noProof/>
      </w:rPr>
      <mc:AlternateContent>
        <mc:Choice Requires="wps">
          <w:drawing>
            <wp:anchor distT="0" distB="0" distL="114300" distR="114300" simplePos="0" relativeHeight="503304344" behindDoc="1" locked="0" layoutInCell="1" allowOverlap="1" wp14:anchorId="734226FB" wp14:editId="296E5D5C">
              <wp:simplePos x="0" y="0"/>
              <wp:positionH relativeFrom="page">
                <wp:posOffset>970059</wp:posOffset>
              </wp:positionH>
              <wp:positionV relativeFrom="page">
                <wp:posOffset>349856</wp:posOffset>
              </wp:positionV>
              <wp:extent cx="5895975" cy="405517"/>
              <wp:effectExtent l="0" t="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05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E26A" w14:textId="7A713C8E" w:rsidR="00D2315C" w:rsidRPr="00464615" w:rsidRDefault="00D2315C" w:rsidP="00464615">
                          <w:pPr>
                            <w:ind w:left="19" w:right="18"/>
                            <w:jc w:val="center"/>
                            <w:rPr>
                              <w:sz w:val="18"/>
                              <w:szCs w:val="18"/>
                            </w:rPr>
                          </w:pPr>
                          <w:r w:rsidRPr="00464615">
                            <w:rPr>
                              <w:sz w:val="18"/>
                              <w:szCs w:val="18"/>
                            </w:rPr>
                            <w:t>SEE CCR TSOs’ proposal for the common capacity calculation methodology for the day-ahead and intraday market time-frame in accordance with Article 21 of Commission Regulation (EU) 2015/1222 of 24 July 2015 establishing a guideline on capacity allocation and congestion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26FB" id="_x0000_t202" coordsize="21600,21600" o:spt="202" path="m,l,21600r21600,l21600,xe">
              <v:stroke joinstyle="miter"/>
              <v:path gradientshapeok="t" o:connecttype="rect"/>
            </v:shapetype>
            <v:shape id="Text Box 3" o:spid="_x0000_s1026" type="#_x0000_t202" style="position:absolute;margin-left:76.4pt;margin-top:27.55pt;width:464.25pt;height:31.95pt;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" filled="f" stroked="f">
              <v:textbox inset="0,0,0,0">
                <w:txbxContent>
                  <w:p w14:paraId="4BECE26A" w14:textId="7A713C8E" w:rsidR="00D2315C" w:rsidRPr="00464615" w:rsidRDefault="00D2315C" w:rsidP="00464615">
                    <w:pPr>
                      <w:ind w:left="19" w:right="18"/>
                      <w:jc w:val="center"/>
                      <w:rPr>
                        <w:sz w:val="18"/>
                        <w:szCs w:val="18"/>
                      </w:rPr>
                    </w:pPr>
                    <w:r w:rsidRPr="00464615">
                      <w:rPr>
                        <w:sz w:val="18"/>
                        <w:szCs w:val="18"/>
                      </w:rPr>
                      <w:t>SEE CCR TSOs’ proposal for the common capacity calculation methodology for the day-ahead and intraday market time-frame in accordance with Article 21 of Commission Regulation (EU) 2015/1222 of 24 July 2015 establishing a guideline on capacity allocation and congestion management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26A"/>
    <w:multiLevelType w:val="hybridMultilevel"/>
    <w:tmpl w:val="A97EF0BE"/>
    <w:lvl w:ilvl="0" w:tplc="1C7C1CE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DB6A93"/>
    <w:multiLevelType w:val="hybridMultilevel"/>
    <w:tmpl w:val="CFBC0136"/>
    <w:lvl w:ilvl="0" w:tplc="6C36AC00">
      <w:start w:val="10"/>
      <w:numFmt w:val="decimal"/>
      <w:lvlText w:val="(%1)"/>
      <w:lvlJc w:val="left"/>
      <w:pPr>
        <w:ind w:left="360" w:hanging="360"/>
      </w:pPr>
      <w:rPr>
        <w:rFonts w:ascii="Times New Roman" w:eastAsia="Times New Roman" w:hAnsi="Times New Roman" w:cs="Times New Roman" w:hint="default"/>
        <w:w w:val="10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353038"/>
    <w:multiLevelType w:val="multilevel"/>
    <w:tmpl w:val="7A00EF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D402D2"/>
    <w:multiLevelType w:val="hybridMultilevel"/>
    <w:tmpl w:val="A710B070"/>
    <w:lvl w:ilvl="0" w:tplc="D9B458FC">
      <w:start w:val="3"/>
      <w:numFmt w:val="decimal"/>
      <w:lvlText w:val="%1."/>
      <w:lvlJc w:val="left"/>
      <w:pPr>
        <w:ind w:left="1282" w:hanging="428"/>
      </w:pPr>
      <w:rPr>
        <w:rFonts w:ascii="Times New Roman" w:eastAsia="Times New Roman" w:hAnsi="Times New Roman" w:cs="Times New Roman" w:hint="default"/>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AB0E88"/>
    <w:multiLevelType w:val="hybridMultilevel"/>
    <w:tmpl w:val="5896C85C"/>
    <w:lvl w:ilvl="0" w:tplc="EEEEBA10">
      <w:start w:val="1"/>
      <w:numFmt w:val="decimal"/>
      <w:lvlText w:val="%1."/>
      <w:lvlJc w:val="left"/>
      <w:pPr>
        <w:ind w:left="548" w:hanging="428"/>
      </w:pPr>
      <w:rPr>
        <w:rFonts w:ascii="Times New Roman" w:eastAsia="Times New Roman" w:hAnsi="Times New Roman" w:cs="Times New Roman" w:hint="default"/>
        <w:w w:val="100"/>
        <w:sz w:val="22"/>
        <w:szCs w:val="22"/>
      </w:rPr>
    </w:lvl>
    <w:lvl w:ilvl="1" w:tplc="6E5AE33E">
      <w:numFmt w:val="bullet"/>
      <w:lvlText w:val="•"/>
      <w:lvlJc w:val="left"/>
      <w:pPr>
        <w:ind w:left="1502" w:hanging="428"/>
      </w:pPr>
      <w:rPr>
        <w:rFonts w:hint="default"/>
      </w:rPr>
    </w:lvl>
    <w:lvl w:ilvl="2" w:tplc="5A7CBDD0">
      <w:numFmt w:val="bullet"/>
      <w:lvlText w:val="•"/>
      <w:lvlJc w:val="left"/>
      <w:pPr>
        <w:ind w:left="2464" w:hanging="428"/>
      </w:pPr>
      <w:rPr>
        <w:rFonts w:hint="default"/>
      </w:rPr>
    </w:lvl>
    <w:lvl w:ilvl="3" w:tplc="63F060FE">
      <w:numFmt w:val="bullet"/>
      <w:lvlText w:val="•"/>
      <w:lvlJc w:val="left"/>
      <w:pPr>
        <w:ind w:left="3426" w:hanging="428"/>
      </w:pPr>
      <w:rPr>
        <w:rFonts w:hint="default"/>
      </w:rPr>
    </w:lvl>
    <w:lvl w:ilvl="4" w:tplc="806C13A4">
      <w:numFmt w:val="bullet"/>
      <w:lvlText w:val="•"/>
      <w:lvlJc w:val="left"/>
      <w:pPr>
        <w:ind w:left="4388" w:hanging="428"/>
      </w:pPr>
      <w:rPr>
        <w:rFonts w:hint="default"/>
      </w:rPr>
    </w:lvl>
    <w:lvl w:ilvl="5" w:tplc="CD6097B0">
      <w:numFmt w:val="bullet"/>
      <w:lvlText w:val="•"/>
      <w:lvlJc w:val="left"/>
      <w:pPr>
        <w:ind w:left="5350" w:hanging="428"/>
      </w:pPr>
      <w:rPr>
        <w:rFonts w:hint="default"/>
      </w:rPr>
    </w:lvl>
    <w:lvl w:ilvl="6" w:tplc="DC5E9B1A">
      <w:numFmt w:val="bullet"/>
      <w:lvlText w:val="•"/>
      <w:lvlJc w:val="left"/>
      <w:pPr>
        <w:ind w:left="6312" w:hanging="428"/>
      </w:pPr>
      <w:rPr>
        <w:rFonts w:hint="default"/>
      </w:rPr>
    </w:lvl>
    <w:lvl w:ilvl="7" w:tplc="A72E3762">
      <w:numFmt w:val="bullet"/>
      <w:lvlText w:val="•"/>
      <w:lvlJc w:val="left"/>
      <w:pPr>
        <w:ind w:left="7274" w:hanging="428"/>
      </w:pPr>
      <w:rPr>
        <w:rFonts w:hint="default"/>
      </w:rPr>
    </w:lvl>
    <w:lvl w:ilvl="8" w:tplc="FC306C68">
      <w:numFmt w:val="bullet"/>
      <w:lvlText w:val="•"/>
      <w:lvlJc w:val="left"/>
      <w:pPr>
        <w:ind w:left="8236" w:hanging="428"/>
      </w:pPr>
      <w:rPr>
        <w:rFonts w:hint="default"/>
      </w:rPr>
    </w:lvl>
  </w:abstractNum>
  <w:abstractNum w:abstractNumId="5" w15:restartNumberingAfterBreak="0">
    <w:nsid w:val="081A0AA2"/>
    <w:multiLevelType w:val="hybridMultilevel"/>
    <w:tmpl w:val="03D09F4C"/>
    <w:lvl w:ilvl="0" w:tplc="DFE6169E">
      <w:start w:val="1"/>
      <w:numFmt w:val="decimal"/>
      <w:lvlText w:val="(%1)"/>
      <w:lvlJc w:val="left"/>
      <w:pPr>
        <w:ind w:left="720" w:hanging="360"/>
      </w:pPr>
      <w:rPr>
        <w:rFonts w:ascii="Times New Roman" w:eastAsia="Times New Roman" w:hAnsi="Times New Roman" w:cs="Times New Roman" w:hint="default"/>
        <w:w w:val="100"/>
        <w:sz w:val="22"/>
        <w:szCs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AE94D6A"/>
    <w:multiLevelType w:val="hybridMultilevel"/>
    <w:tmpl w:val="298AE948"/>
    <w:lvl w:ilvl="0" w:tplc="5BD0B5D4">
      <w:start w:val="10"/>
      <w:numFmt w:val="decimal"/>
      <w:lvlText w:val="%1."/>
      <w:lvlJc w:val="left"/>
      <w:pPr>
        <w:ind w:left="144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C066172"/>
    <w:multiLevelType w:val="hybridMultilevel"/>
    <w:tmpl w:val="5ABEABD0"/>
    <w:lvl w:ilvl="0" w:tplc="DFE6169E">
      <w:start w:val="1"/>
      <w:numFmt w:val="decimal"/>
      <w:lvlText w:val="(%1)"/>
      <w:lvlJc w:val="left"/>
      <w:pPr>
        <w:ind w:left="1282" w:hanging="428"/>
      </w:pPr>
      <w:rPr>
        <w:rFonts w:ascii="Times New Roman" w:eastAsia="Times New Roman" w:hAnsi="Times New Roman" w:cs="Times New Roman" w:hint="default"/>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D216AE3"/>
    <w:multiLevelType w:val="hybridMultilevel"/>
    <w:tmpl w:val="A320B654"/>
    <w:lvl w:ilvl="0" w:tplc="1BD666E6">
      <w:start w:val="8"/>
      <w:numFmt w:val="decimal"/>
      <w:lvlText w:val="%1."/>
      <w:lvlJc w:val="left"/>
      <w:pPr>
        <w:ind w:left="36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E61584A"/>
    <w:multiLevelType w:val="hybridMultilevel"/>
    <w:tmpl w:val="930EF35A"/>
    <w:lvl w:ilvl="0" w:tplc="93908EAE">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10AD7CA4"/>
    <w:multiLevelType w:val="multilevel"/>
    <w:tmpl w:val="65EC899C"/>
    <w:lvl w:ilvl="0">
      <w:start w:val="1"/>
      <w:numFmt w:val="decimal"/>
      <w:pStyle w:val="NoSpacing"/>
      <w:lvlText w:val="(%1)"/>
      <w:lvlJc w:val="right"/>
      <w:pPr>
        <w:tabs>
          <w:tab w:val="num" w:pos="-360"/>
        </w:tabs>
        <w:ind w:left="360" w:hanging="360"/>
      </w:pPr>
      <w:rPr>
        <w:rFonts w:ascii="Times New Roman" w:eastAsia="Calibri" w:hAnsi="Times New Roman" w:cs="Times New Roman" w:hint="default"/>
        <w:i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2.%3.%4."/>
      <w:lvlJc w:val="left"/>
      <w:pPr>
        <w:tabs>
          <w:tab w:val="num" w:pos="-360"/>
        </w:tabs>
        <w:ind w:left="2520" w:hanging="360"/>
      </w:pPr>
      <w:rPr>
        <w:rFonts w:cs="Times New Roman" w:hint="default"/>
      </w:rPr>
    </w:lvl>
    <w:lvl w:ilvl="4">
      <w:start w:val="1"/>
      <w:numFmt w:val="lowerLetter"/>
      <w:lvlText w:val="%2.%3.%4.%5."/>
      <w:lvlJc w:val="left"/>
      <w:pPr>
        <w:tabs>
          <w:tab w:val="num" w:pos="-360"/>
        </w:tabs>
        <w:ind w:left="3240" w:hanging="360"/>
      </w:pPr>
      <w:rPr>
        <w:rFonts w:cs="Times New Roman" w:hint="default"/>
      </w:rPr>
    </w:lvl>
    <w:lvl w:ilvl="5">
      <w:start w:val="1"/>
      <w:numFmt w:val="lowerRoman"/>
      <w:lvlText w:val="%2.%3.%4.%5.%6."/>
      <w:lvlJc w:val="right"/>
      <w:pPr>
        <w:tabs>
          <w:tab w:val="num" w:pos="-360"/>
        </w:tabs>
        <w:ind w:left="3960" w:hanging="180"/>
      </w:pPr>
      <w:rPr>
        <w:rFonts w:cs="Times New Roman" w:hint="default"/>
      </w:rPr>
    </w:lvl>
    <w:lvl w:ilvl="6">
      <w:start w:val="1"/>
      <w:numFmt w:val="decimal"/>
      <w:lvlText w:val="%2.%3.%4.%5.%6.%7."/>
      <w:lvlJc w:val="left"/>
      <w:pPr>
        <w:tabs>
          <w:tab w:val="num" w:pos="-360"/>
        </w:tabs>
        <w:ind w:left="4680" w:hanging="360"/>
      </w:pPr>
      <w:rPr>
        <w:rFonts w:cs="Times New Roman" w:hint="default"/>
      </w:rPr>
    </w:lvl>
    <w:lvl w:ilvl="7">
      <w:start w:val="1"/>
      <w:numFmt w:val="lowerLetter"/>
      <w:lvlText w:val="%2.%3.%4.%5.%6.%7.%8."/>
      <w:lvlJc w:val="left"/>
      <w:pPr>
        <w:tabs>
          <w:tab w:val="num" w:pos="-360"/>
        </w:tabs>
        <w:ind w:left="5400" w:hanging="360"/>
      </w:pPr>
      <w:rPr>
        <w:rFonts w:cs="Times New Roman" w:hint="default"/>
      </w:rPr>
    </w:lvl>
    <w:lvl w:ilvl="8">
      <w:start w:val="1"/>
      <w:numFmt w:val="lowerRoman"/>
      <w:lvlText w:val="%2.%3.%4.%5.%6.%7.%8.%9."/>
      <w:lvlJc w:val="right"/>
      <w:pPr>
        <w:tabs>
          <w:tab w:val="num" w:pos="-360"/>
        </w:tabs>
        <w:ind w:left="6120" w:hanging="180"/>
      </w:pPr>
      <w:rPr>
        <w:rFonts w:cs="Times New Roman" w:hint="default"/>
      </w:rPr>
    </w:lvl>
  </w:abstractNum>
  <w:abstractNum w:abstractNumId="11" w15:restartNumberingAfterBreak="0">
    <w:nsid w:val="12DC2E90"/>
    <w:multiLevelType w:val="multilevel"/>
    <w:tmpl w:val="F6A0FEDE"/>
    <w:lvl w:ilvl="0">
      <w:start w:val="1"/>
      <w:numFmt w:val="decimal"/>
      <w:lvlText w:val="(%1)"/>
      <w:lvlJc w:val="right"/>
      <w:pPr>
        <w:tabs>
          <w:tab w:val="num" w:pos="-360"/>
        </w:tabs>
        <w:ind w:left="360" w:hanging="360"/>
      </w:pPr>
      <w:rPr>
        <w:rFonts w:ascii="Times New Roman" w:eastAsia="Calibri" w:hAnsi="Times New Roman" w:cs="Times New Roman" w:hint="default"/>
        <w:i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2.%3.%4."/>
      <w:lvlJc w:val="left"/>
      <w:pPr>
        <w:tabs>
          <w:tab w:val="num" w:pos="-360"/>
        </w:tabs>
        <w:ind w:left="2520" w:hanging="360"/>
      </w:pPr>
      <w:rPr>
        <w:rFonts w:cs="Times New Roman" w:hint="default"/>
      </w:rPr>
    </w:lvl>
    <w:lvl w:ilvl="4">
      <w:start w:val="1"/>
      <w:numFmt w:val="lowerLetter"/>
      <w:lvlText w:val="%2.%3.%4.%5."/>
      <w:lvlJc w:val="left"/>
      <w:pPr>
        <w:tabs>
          <w:tab w:val="num" w:pos="-360"/>
        </w:tabs>
        <w:ind w:left="3240" w:hanging="360"/>
      </w:pPr>
      <w:rPr>
        <w:rFonts w:cs="Times New Roman" w:hint="default"/>
      </w:rPr>
    </w:lvl>
    <w:lvl w:ilvl="5">
      <w:start w:val="1"/>
      <w:numFmt w:val="lowerRoman"/>
      <w:lvlText w:val="%2.%3.%4.%5.%6."/>
      <w:lvlJc w:val="right"/>
      <w:pPr>
        <w:tabs>
          <w:tab w:val="num" w:pos="-360"/>
        </w:tabs>
        <w:ind w:left="3960" w:hanging="180"/>
      </w:pPr>
      <w:rPr>
        <w:rFonts w:cs="Times New Roman" w:hint="default"/>
      </w:rPr>
    </w:lvl>
    <w:lvl w:ilvl="6">
      <w:start w:val="1"/>
      <w:numFmt w:val="decimal"/>
      <w:lvlText w:val="%2.%3.%4.%5.%6.%7."/>
      <w:lvlJc w:val="left"/>
      <w:pPr>
        <w:tabs>
          <w:tab w:val="num" w:pos="-360"/>
        </w:tabs>
        <w:ind w:left="4680" w:hanging="360"/>
      </w:pPr>
      <w:rPr>
        <w:rFonts w:cs="Times New Roman" w:hint="default"/>
      </w:rPr>
    </w:lvl>
    <w:lvl w:ilvl="7">
      <w:start w:val="1"/>
      <w:numFmt w:val="lowerLetter"/>
      <w:lvlText w:val="%2.%3.%4.%5.%6.%7.%8."/>
      <w:lvlJc w:val="left"/>
      <w:pPr>
        <w:tabs>
          <w:tab w:val="num" w:pos="-360"/>
        </w:tabs>
        <w:ind w:left="5400" w:hanging="360"/>
      </w:pPr>
      <w:rPr>
        <w:rFonts w:cs="Times New Roman" w:hint="default"/>
      </w:rPr>
    </w:lvl>
    <w:lvl w:ilvl="8">
      <w:start w:val="1"/>
      <w:numFmt w:val="lowerRoman"/>
      <w:lvlText w:val="%2.%3.%4.%5.%6.%7.%8.%9."/>
      <w:lvlJc w:val="right"/>
      <w:pPr>
        <w:tabs>
          <w:tab w:val="num" w:pos="-360"/>
        </w:tabs>
        <w:ind w:left="6120" w:hanging="180"/>
      </w:pPr>
      <w:rPr>
        <w:rFonts w:cs="Times New Roman" w:hint="default"/>
      </w:rPr>
    </w:lvl>
  </w:abstractNum>
  <w:abstractNum w:abstractNumId="12" w15:restartNumberingAfterBreak="0">
    <w:nsid w:val="12DF37CE"/>
    <w:multiLevelType w:val="hybridMultilevel"/>
    <w:tmpl w:val="44F038BA"/>
    <w:lvl w:ilvl="0" w:tplc="DFE6169E">
      <w:start w:val="1"/>
      <w:numFmt w:val="decimal"/>
      <w:lvlText w:val="(%1)"/>
      <w:lvlJc w:val="left"/>
      <w:pPr>
        <w:ind w:left="360" w:hanging="360"/>
      </w:pPr>
      <w:rPr>
        <w:rFonts w:ascii="Times New Roman" w:eastAsia="Times New Roman" w:hAnsi="Times New Roman" w:cs="Times New Roman" w:hint="default"/>
        <w:w w:val="100"/>
        <w:sz w:val="22"/>
        <w:szCs w:val="22"/>
      </w:rPr>
    </w:lvl>
    <w:lvl w:ilvl="1" w:tplc="04080019">
      <w:start w:val="1"/>
      <w:numFmt w:val="lowerLetter"/>
      <w:lvlText w:val="%2."/>
      <w:lvlJc w:val="left"/>
      <w:pPr>
        <w:ind w:left="1440" w:hanging="360"/>
      </w:pPr>
    </w:lvl>
    <w:lvl w:ilvl="2" w:tplc="04130019">
      <w:start w:val="1"/>
      <w:numFmt w:val="lowerLetter"/>
      <w:lvlText w:val="%3."/>
      <w:lvlJc w:val="lef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4331B83"/>
    <w:multiLevelType w:val="hybridMultilevel"/>
    <w:tmpl w:val="5C3E2CDA"/>
    <w:lvl w:ilvl="0" w:tplc="9F2028D2">
      <w:start w:val="1"/>
      <w:numFmt w:val="decimal"/>
      <w:lvlText w:val="(%1)"/>
      <w:lvlJc w:val="left"/>
      <w:pPr>
        <w:ind w:left="1114" w:hanging="634"/>
      </w:pPr>
      <w:rPr>
        <w:rFonts w:ascii="Times New Roman" w:eastAsia="Times New Roman" w:hAnsi="Times New Roman" w:cs="Times New Roman" w:hint="default"/>
        <w:w w:val="100"/>
        <w:sz w:val="22"/>
        <w:szCs w:val="22"/>
      </w:rPr>
    </w:lvl>
    <w:lvl w:ilvl="1" w:tplc="5E22B8DC">
      <w:start w:val="1"/>
      <w:numFmt w:val="lowerLetter"/>
      <w:lvlText w:val="(%2)"/>
      <w:lvlJc w:val="left"/>
      <w:pPr>
        <w:ind w:left="2364" w:hanging="1252"/>
      </w:pPr>
      <w:rPr>
        <w:rFonts w:ascii="Times New Roman" w:eastAsia="Times New Roman" w:hAnsi="Times New Roman" w:cs="Times New Roman" w:hint="default"/>
        <w:i/>
        <w:spacing w:val="-2"/>
        <w:w w:val="100"/>
        <w:sz w:val="22"/>
        <w:szCs w:val="22"/>
      </w:rPr>
    </w:lvl>
    <w:lvl w:ilvl="2" w:tplc="8758D202">
      <w:start w:val="1"/>
      <w:numFmt w:val="lowerRoman"/>
      <w:lvlText w:val="(%3)"/>
      <w:lvlJc w:val="left"/>
      <w:pPr>
        <w:ind w:left="3687" w:hanging="1323"/>
      </w:pPr>
      <w:rPr>
        <w:rFonts w:ascii="Times New Roman" w:eastAsia="Times New Roman" w:hAnsi="Times New Roman" w:cs="Times New Roman" w:hint="default"/>
        <w:i/>
        <w:spacing w:val="-2"/>
        <w:w w:val="100"/>
        <w:sz w:val="22"/>
        <w:szCs w:val="22"/>
      </w:rPr>
    </w:lvl>
    <w:lvl w:ilvl="3" w:tplc="42540F18">
      <w:numFmt w:val="bullet"/>
      <w:lvlText w:val="•"/>
      <w:lvlJc w:val="left"/>
      <w:pPr>
        <w:ind w:left="3720" w:hanging="1323"/>
      </w:pPr>
      <w:rPr>
        <w:rFonts w:hint="default"/>
      </w:rPr>
    </w:lvl>
    <w:lvl w:ilvl="4" w:tplc="55FC257E">
      <w:numFmt w:val="bullet"/>
      <w:lvlText w:val="•"/>
      <w:lvlJc w:val="left"/>
      <w:pPr>
        <w:ind w:left="4640" w:hanging="1323"/>
      </w:pPr>
      <w:rPr>
        <w:rFonts w:hint="default"/>
      </w:rPr>
    </w:lvl>
    <w:lvl w:ilvl="5" w:tplc="DFF675E0">
      <w:numFmt w:val="bullet"/>
      <w:lvlText w:val="•"/>
      <w:lvlJc w:val="left"/>
      <w:pPr>
        <w:ind w:left="5560" w:hanging="1323"/>
      </w:pPr>
      <w:rPr>
        <w:rFonts w:hint="default"/>
      </w:rPr>
    </w:lvl>
    <w:lvl w:ilvl="6" w:tplc="726C2A96">
      <w:numFmt w:val="bullet"/>
      <w:lvlText w:val="•"/>
      <w:lvlJc w:val="left"/>
      <w:pPr>
        <w:ind w:left="6480" w:hanging="1323"/>
      </w:pPr>
      <w:rPr>
        <w:rFonts w:hint="default"/>
      </w:rPr>
    </w:lvl>
    <w:lvl w:ilvl="7" w:tplc="0144FFD4">
      <w:numFmt w:val="bullet"/>
      <w:lvlText w:val="•"/>
      <w:lvlJc w:val="left"/>
      <w:pPr>
        <w:ind w:left="7400" w:hanging="1323"/>
      </w:pPr>
      <w:rPr>
        <w:rFonts w:hint="default"/>
      </w:rPr>
    </w:lvl>
    <w:lvl w:ilvl="8" w:tplc="F1FC0F22">
      <w:numFmt w:val="bullet"/>
      <w:lvlText w:val="•"/>
      <w:lvlJc w:val="left"/>
      <w:pPr>
        <w:ind w:left="8320" w:hanging="1323"/>
      </w:pPr>
      <w:rPr>
        <w:rFonts w:hint="default"/>
      </w:rPr>
    </w:lvl>
  </w:abstractNum>
  <w:abstractNum w:abstractNumId="14" w15:restartNumberingAfterBreak="0">
    <w:nsid w:val="143B61FA"/>
    <w:multiLevelType w:val="hybridMultilevel"/>
    <w:tmpl w:val="DD7EECA2"/>
    <w:lvl w:ilvl="0" w:tplc="04080019">
      <w:start w:val="1"/>
      <w:numFmt w:val="lowerLetter"/>
      <w:lvlText w:val="%1."/>
      <w:lvlJc w:val="left"/>
      <w:pPr>
        <w:ind w:left="144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4F06C75"/>
    <w:multiLevelType w:val="hybridMultilevel"/>
    <w:tmpl w:val="848A16C8"/>
    <w:lvl w:ilvl="0" w:tplc="DFE6169E">
      <w:start w:val="1"/>
      <w:numFmt w:val="decimal"/>
      <w:lvlText w:val="(%1)"/>
      <w:lvlJc w:val="left"/>
      <w:pPr>
        <w:ind w:left="720" w:hanging="360"/>
      </w:pPr>
      <w:rPr>
        <w:rFonts w:ascii="Times New Roman" w:eastAsia="Times New Roman" w:hAnsi="Times New Roman" w:cs="Times New Roman" w:hint="default"/>
        <w:w w:val="10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AF971FC"/>
    <w:multiLevelType w:val="hybridMultilevel"/>
    <w:tmpl w:val="A1B64F02"/>
    <w:lvl w:ilvl="0" w:tplc="8014EC7A">
      <w:start w:val="1"/>
      <w:numFmt w:val="decimal"/>
      <w:lvlText w:val="%1."/>
      <w:lvlJc w:val="left"/>
      <w:pPr>
        <w:ind w:left="1642" w:hanging="360"/>
      </w:pPr>
      <w:rPr>
        <w:rFonts w:hint="default"/>
      </w:rPr>
    </w:lvl>
    <w:lvl w:ilvl="1" w:tplc="04180019" w:tentative="1">
      <w:start w:val="1"/>
      <w:numFmt w:val="lowerLetter"/>
      <w:lvlText w:val="%2."/>
      <w:lvlJc w:val="left"/>
      <w:pPr>
        <w:ind w:left="2362" w:hanging="360"/>
      </w:pPr>
    </w:lvl>
    <w:lvl w:ilvl="2" w:tplc="0418001B" w:tentative="1">
      <w:start w:val="1"/>
      <w:numFmt w:val="lowerRoman"/>
      <w:lvlText w:val="%3."/>
      <w:lvlJc w:val="right"/>
      <w:pPr>
        <w:ind w:left="3082" w:hanging="180"/>
      </w:pPr>
    </w:lvl>
    <w:lvl w:ilvl="3" w:tplc="0418000F" w:tentative="1">
      <w:start w:val="1"/>
      <w:numFmt w:val="decimal"/>
      <w:lvlText w:val="%4."/>
      <w:lvlJc w:val="left"/>
      <w:pPr>
        <w:ind w:left="3802" w:hanging="360"/>
      </w:pPr>
    </w:lvl>
    <w:lvl w:ilvl="4" w:tplc="04180019" w:tentative="1">
      <w:start w:val="1"/>
      <w:numFmt w:val="lowerLetter"/>
      <w:lvlText w:val="%5."/>
      <w:lvlJc w:val="left"/>
      <w:pPr>
        <w:ind w:left="4522" w:hanging="360"/>
      </w:pPr>
    </w:lvl>
    <w:lvl w:ilvl="5" w:tplc="0418001B" w:tentative="1">
      <w:start w:val="1"/>
      <w:numFmt w:val="lowerRoman"/>
      <w:lvlText w:val="%6."/>
      <w:lvlJc w:val="right"/>
      <w:pPr>
        <w:ind w:left="5242" w:hanging="180"/>
      </w:pPr>
    </w:lvl>
    <w:lvl w:ilvl="6" w:tplc="0418000F" w:tentative="1">
      <w:start w:val="1"/>
      <w:numFmt w:val="decimal"/>
      <w:lvlText w:val="%7."/>
      <w:lvlJc w:val="left"/>
      <w:pPr>
        <w:ind w:left="5962" w:hanging="360"/>
      </w:pPr>
    </w:lvl>
    <w:lvl w:ilvl="7" w:tplc="04180019" w:tentative="1">
      <w:start w:val="1"/>
      <w:numFmt w:val="lowerLetter"/>
      <w:lvlText w:val="%8."/>
      <w:lvlJc w:val="left"/>
      <w:pPr>
        <w:ind w:left="6682" w:hanging="360"/>
      </w:pPr>
    </w:lvl>
    <w:lvl w:ilvl="8" w:tplc="0418001B" w:tentative="1">
      <w:start w:val="1"/>
      <w:numFmt w:val="lowerRoman"/>
      <w:lvlText w:val="%9."/>
      <w:lvlJc w:val="right"/>
      <w:pPr>
        <w:ind w:left="7402" w:hanging="180"/>
      </w:pPr>
    </w:lvl>
  </w:abstractNum>
  <w:abstractNum w:abstractNumId="17" w15:restartNumberingAfterBreak="0">
    <w:nsid w:val="1C076CC2"/>
    <w:multiLevelType w:val="hybridMultilevel"/>
    <w:tmpl w:val="5F1E7938"/>
    <w:lvl w:ilvl="0" w:tplc="89AC18EA">
      <w:start w:val="9"/>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D806C2A"/>
    <w:multiLevelType w:val="hybridMultilevel"/>
    <w:tmpl w:val="05D4D8B6"/>
    <w:lvl w:ilvl="0" w:tplc="C1A67E8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DBE44DC"/>
    <w:multiLevelType w:val="hybridMultilevel"/>
    <w:tmpl w:val="90160DA2"/>
    <w:lvl w:ilvl="0" w:tplc="DFE6169E">
      <w:start w:val="1"/>
      <w:numFmt w:val="decimal"/>
      <w:lvlText w:val="(%1)"/>
      <w:lvlJc w:val="left"/>
      <w:pPr>
        <w:ind w:left="548" w:hanging="428"/>
      </w:pPr>
      <w:rPr>
        <w:rFonts w:ascii="Times New Roman" w:eastAsia="Times New Roman" w:hAnsi="Times New Roman" w:cs="Times New Roman" w:hint="default"/>
        <w:w w:val="100"/>
        <w:sz w:val="22"/>
        <w:szCs w:val="22"/>
      </w:rPr>
    </w:lvl>
    <w:lvl w:ilvl="1" w:tplc="20AA7F80">
      <w:numFmt w:val="bullet"/>
      <w:lvlText w:val="•"/>
      <w:lvlJc w:val="left"/>
      <w:pPr>
        <w:ind w:left="1502" w:hanging="428"/>
      </w:pPr>
      <w:rPr>
        <w:rFonts w:hint="default"/>
      </w:rPr>
    </w:lvl>
    <w:lvl w:ilvl="2" w:tplc="CF069CE4">
      <w:numFmt w:val="bullet"/>
      <w:lvlText w:val="•"/>
      <w:lvlJc w:val="left"/>
      <w:pPr>
        <w:ind w:left="2464" w:hanging="428"/>
      </w:pPr>
      <w:rPr>
        <w:rFonts w:hint="default"/>
      </w:rPr>
    </w:lvl>
    <w:lvl w:ilvl="3" w:tplc="5ED8E92E">
      <w:numFmt w:val="bullet"/>
      <w:lvlText w:val="•"/>
      <w:lvlJc w:val="left"/>
      <w:pPr>
        <w:ind w:left="3426" w:hanging="428"/>
      </w:pPr>
      <w:rPr>
        <w:rFonts w:hint="default"/>
      </w:rPr>
    </w:lvl>
    <w:lvl w:ilvl="4" w:tplc="33268A28">
      <w:numFmt w:val="bullet"/>
      <w:lvlText w:val="•"/>
      <w:lvlJc w:val="left"/>
      <w:pPr>
        <w:ind w:left="4388" w:hanging="428"/>
      </w:pPr>
      <w:rPr>
        <w:rFonts w:hint="default"/>
      </w:rPr>
    </w:lvl>
    <w:lvl w:ilvl="5" w:tplc="9A3C7804">
      <w:numFmt w:val="bullet"/>
      <w:lvlText w:val="•"/>
      <w:lvlJc w:val="left"/>
      <w:pPr>
        <w:ind w:left="5350" w:hanging="428"/>
      </w:pPr>
      <w:rPr>
        <w:rFonts w:hint="default"/>
      </w:rPr>
    </w:lvl>
    <w:lvl w:ilvl="6" w:tplc="95D20020">
      <w:numFmt w:val="bullet"/>
      <w:lvlText w:val="•"/>
      <w:lvlJc w:val="left"/>
      <w:pPr>
        <w:ind w:left="6312" w:hanging="428"/>
      </w:pPr>
      <w:rPr>
        <w:rFonts w:hint="default"/>
      </w:rPr>
    </w:lvl>
    <w:lvl w:ilvl="7" w:tplc="3EE2F86C">
      <w:numFmt w:val="bullet"/>
      <w:lvlText w:val="•"/>
      <w:lvlJc w:val="left"/>
      <w:pPr>
        <w:ind w:left="7274" w:hanging="428"/>
      </w:pPr>
      <w:rPr>
        <w:rFonts w:hint="default"/>
      </w:rPr>
    </w:lvl>
    <w:lvl w:ilvl="8" w:tplc="05A861DA">
      <w:numFmt w:val="bullet"/>
      <w:lvlText w:val="•"/>
      <w:lvlJc w:val="left"/>
      <w:pPr>
        <w:ind w:left="8236" w:hanging="428"/>
      </w:pPr>
      <w:rPr>
        <w:rFonts w:hint="default"/>
      </w:rPr>
    </w:lvl>
  </w:abstractNum>
  <w:abstractNum w:abstractNumId="20" w15:restartNumberingAfterBreak="0">
    <w:nsid w:val="1E6701C3"/>
    <w:multiLevelType w:val="hybridMultilevel"/>
    <w:tmpl w:val="AAC24CEE"/>
    <w:lvl w:ilvl="0" w:tplc="98CC5132">
      <w:start w:val="4"/>
      <w:numFmt w:val="decimal"/>
      <w:lvlText w:val="%1."/>
      <w:lvlJc w:val="left"/>
      <w:pPr>
        <w:ind w:left="548" w:hanging="428"/>
      </w:pPr>
      <w:rPr>
        <w:rFonts w:ascii="Times New Roman" w:eastAsia="Times New Roman" w:hAnsi="Times New Roman" w:cs="Times New Roman" w:hint="default"/>
        <w:w w:val="10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1783E5C"/>
    <w:multiLevelType w:val="hybridMultilevel"/>
    <w:tmpl w:val="358CA632"/>
    <w:lvl w:ilvl="0" w:tplc="0410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28D3E17"/>
    <w:multiLevelType w:val="hybridMultilevel"/>
    <w:tmpl w:val="8AA2EF46"/>
    <w:lvl w:ilvl="0" w:tplc="67022EBC">
      <w:start w:val="7"/>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57060B5"/>
    <w:multiLevelType w:val="hybridMultilevel"/>
    <w:tmpl w:val="AB9C0382"/>
    <w:lvl w:ilvl="0" w:tplc="F4AAE74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5C53EE7"/>
    <w:multiLevelType w:val="hybridMultilevel"/>
    <w:tmpl w:val="B6346C5A"/>
    <w:lvl w:ilvl="0" w:tplc="A5E25924">
      <w:start w:val="1"/>
      <w:numFmt w:val="lowerRoman"/>
      <w:lvlText w:val="%1). "/>
      <w:lvlJc w:val="righ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5" w15:restartNumberingAfterBreak="0">
    <w:nsid w:val="25E921CD"/>
    <w:multiLevelType w:val="hybridMultilevel"/>
    <w:tmpl w:val="622E15B2"/>
    <w:lvl w:ilvl="0" w:tplc="DFE6169E">
      <w:start w:val="1"/>
      <w:numFmt w:val="decimal"/>
      <w:lvlText w:val="(%1)"/>
      <w:lvlJc w:val="left"/>
      <w:pPr>
        <w:ind w:left="360" w:hanging="360"/>
      </w:pPr>
      <w:rPr>
        <w:rFonts w:ascii="Times New Roman" w:eastAsia="Times New Roman" w:hAnsi="Times New Roman" w:cs="Times New Roman" w:hint="default"/>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272734C6"/>
    <w:multiLevelType w:val="hybridMultilevel"/>
    <w:tmpl w:val="A7FE50EC"/>
    <w:lvl w:ilvl="0" w:tplc="AF802CC8">
      <w:start w:val="6"/>
      <w:numFmt w:val="decimal"/>
      <w:lvlText w:val="%1."/>
      <w:lvlJc w:val="left"/>
      <w:pPr>
        <w:ind w:left="502" w:hanging="360"/>
      </w:pPr>
      <w:rPr>
        <w:rFonts w:hint="default"/>
      </w:rPr>
    </w:lvl>
    <w:lvl w:ilvl="1" w:tplc="04180019" w:tentative="1">
      <w:start w:val="1"/>
      <w:numFmt w:val="lowerLetter"/>
      <w:lvlText w:val="%2."/>
      <w:lvlJc w:val="left"/>
      <w:pPr>
        <w:ind w:left="862" w:hanging="360"/>
      </w:pPr>
    </w:lvl>
    <w:lvl w:ilvl="2" w:tplc="0418001B" w:tentative="1">
      <w:start w:val="1"/>
      <w:numFmt w:val="lowerRoman"/>
      <w:lvlText w:val="%3."/>
      <w:lvlJc w:val="right"/>
      <w:pPr>
        <w:ind w:left="1582" w:hanging="180"/>
      </w:pPr>
    </w:lvl>
    <w:lvl w:ilvl="3" w:tplc="0418000F" w:tentative="1">
      <w:start w:val="1"/>
      <w:numFmt w:val="decimal"/>
      <w:lvlText w:val="%4."/>
      <w:lvlJc w:val="left"/>
      <w:pPr>
        <w:ind w:left="2302" w:hanging="360"/>
      </w:pPr>
    </w:lvl>
    <w:lvl w:ilvl="4" w:tplc="04180019" w:tentative="1">
      <w:start w:val="1"/>
      <w:numFmt w:val="lowerLetter"/>
      <w:lvlText w:val="%5."/>
      <w:lvlJc w:val="left"/>
      <w:pPr>
        <w:ind w:left="3022" w:hanging="360"/>
      </w:pPr>
    </w:lvl>
    <w:lvl w:ilvl="5" w:tplc="0418001B" w:tentative="1">
      <w:start w:val="1"/>
      <w:numFmt w:val="lowerRoman"/>
      <w:lvlText w:val="%6."/>
      <w:lvlJc w:val="right"/>
      <w:pPr>
        <w:ind w:left="3742" w:hanging="180"/>
      </w:pPr>
    </w:lvl>
    <w:lvl w:ilvl="6" w:tplc="0418000F" w:tentative="1">
      <w:start w:val="1"/>
      <w:numFmt w:val="decimal"/>
      <w:lvlText w:val="%7."/>
      <w:lvlJc w:val="left"/>
      <w:pPr>
        <w:ind w:left="4462" w:hanging="360"/>
      </w:pPr>
    </w:lvl>
    <w:lvl w:ilvl="7" w:tplc="04180019" w:tentative="1">
      <w:start w:val="1"/>
      <w:numFmt w:val="lowerLetter"/>
      <w:lvlText w:val="%8."/>
      <w:lvlJc w:val="left"/>
      <w:pPr>
        <w:ind w:left="5182" w:hanging="360"/>
      </w:pPr>
    </w:lvl>
    <w:lvl w:ilvl="8" w:tplc="0418001B" w:tentative="1">
      <w:start w:val="1"/>
      <w:numFmt w:val="lowerRoman"/>
      <w:lvlText w:val="%9."/>
      <w:lvlJc w:val="right"/>
      <w:pPr>
        <w:ind w:left="5902" w:hanging="180"/>
      </w:pPr>
    </w:lvl>
  </w:abstractNum>
  <w:abstractNum w:abstractNumId="27" w15:restartNumberingAfterBreak="0">
    <w:nsid w:val="278B4CC2"/>
    <w:multiLevelType w:val="hybridMultilevel"/>
    <w:tmpl w:val="2A72E1A4"/>
    <w:lvl w:ilvl="0" w:tplc="11FC6B26">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29224AF7"/>
    <w:multiLevelType w:val="hybridMultilevel"/>
    <w:tmpl w:val="5CEE7E5A"/>
    <w:lvl w:ilvl="0" w:tplc="1AC663F6">
      <w:start w:val="6"/>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95C6F19"/>
    <w:multiLevelType w:val="hybridMultilevel"/>
    <w:tmpl w:val="E42AD002"/>
    <w:lvl w:ilvl="0" w:tplc="C9740A80">
      <w:start w:val="10"/>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9CC3B1A"/>
    <w:multiLevelType w:val="hybridMultilevel"/>
    <w:tmpl w:val="4184CAF0"/>
    <w:lvl w:ilvl="0" w:tplc="DFE6169E">
      <w:start w:val="1"/>
      <w:numFmt w:val="decimal"/>
      <w:lvlText w:val="(%1)"/>
      <w:lvlJc w:val="left"/>
      <w:pPr>
        <w:ind w:left="360" w:hanging="360"/>
      </w:pPr>
      <w:rPr>
        <w:rFonts w:ascii="Times New Roman" w:eastAsia="Times New Roman" w:hAnsi="Times New Roman" w:cs="Times New Roman" w:hint="default"/>
        <w:w w:val="100"/>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2C5751F0"/>
    <w:multiLevelType w:val="hybridMultilevel"/>
    <w:tmpl w:val="E02EF2C6"/>
    <w:lvl w:ilvl="0" w:tplc="DFE6169E">
      <w:start w:val="1"/>
      <w:numFmt w:val="decimal"/>
      <w:lvlText w:val="(%1)"/>
      <w:lvlJc w:val="left"/>
      <w:pPr>
        <w:ind w:left="4114" w:hanging="428"/>
      </w:pPr>
      <w:rPr>
        <w:rFonts w:ascii="Times New Roman" w:eastAsia="Times New Roman" w:hAnsi="Times New Roman" w:cs="Times New Roman" w:hint="default"/>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0F43673"/>
    <w:multiLevelType w:val="hybridMultilevel"/>
    <w:tmpl w:val="BE88F7EC"/>
    <w:lvl w:ilvl="0" w:tplc="DFE6169E">
      <w:start w:val="1"/>
      <w:numFmt w:val="decimal"/>
      <w:lvlText w:val="(%1)"/>
      <w:lvlJc w:val="left"/>
      <w:pPr>
        <w:ind w:left="360" w:hanging="360"/>
      </w:pPr>
      <w:rPr>
        <w:rFonts w:ascii="Times New Roman" w:eastAsia="Times New Roman" w:hAnsi="Times New Roman" w:cs="Times New Roman" w:hint="default"/>
        <w:w w:val="100"/>
        <w:sz w:val="22"/>
        <w:szCs w:val="22"/>
      </w:rPr>
    </w:lvl>
    <w:lvl w:ilvl="1" w:tplc="04080019">
      <w:start w:val="1"/>
      <w:numFmt w:val="lowerLetter"/>
      <w:lvlText w:val="%2."/>
      <w:lvlJc w:val="left"/>
      <w:pPr>
        <w:ind w:left="1069"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13D27FD"/>
    <w:multiLevelType w:val="hybridMultilevel"/>
    <w:tmpl w:val="8E98F39C"/>
    <w:lvl w:ilvl="0" w:tplc="DFE6169E">
      <w:start w:val="1"/>
      <w:numFmt w:val="decimal"/>
      <w:lvlText w:val="(%1)"/>
      <w:lvlJc w:val="left"/>
      <w:pPr>
        <w:ind w:left="548" w:hanging="428"/>
      </w:pPr>
      <w:rPr>
        <w:rFonts w:ascii="Times New Roman" w:eastAsia="Times New Roman" w:hAnsi="Times New Roman" w:cs="Times New Roman" w:hint="default"/>
        <w:w w:val="100"/>
        <w:sz w:val="22"/>
        <w:szCs w:val="22"/>
      </w:rPr>
    </w:lvl>
    <w:lvl w:ilvl="1" w:tplc="0450BE5C">
      <w:numFmt w:val="bullet"/>
      <w:lvlText w:val="•"/>
      <w:lvlJc w:val="left"/>
      <w:pPr>
        <w:ind w:left="1502" w:hanging="428"/>
      </w:pPr>
      <w:rPr>
        <w:rFonts w:hint="default"/>
      </w:rPr>
    </w:lvl>
    <w:lvl w:ilvl="2" w:tplc="46162DE0">
      <w:numFmt w:val="bullet"/>
      <w:lvlText w:val="•"/>
      <w:lvlJc w:val="left"/>
      <w:pPr>
        <w:ind w:left="2464" w:hanging="428"/>
      </w:pPr>
      <w:rPr>
        <w:rFonts w:hint="default"/>
      </w:rPr>
    </w:lvl>
    <w:lvl w:ilvl="3" w:tplc="6866ACB8">
      <w:numFmt w:val="bullet"/>
      <w:lvlText w:val="•"/>
      <w:lvlJc w:val="left"/>
      <w:pPr>
        <w:ind w:left="3426" w:hanging="428"/>
      </w:pPr>
      <w:rPr>
        <w:rFonts w:hint="default"/>
      </w:rPr>
    </w:lvl>
    <w:lvl w:ilvl="4" w:tplc="8D128576">
      <w:numFmt w:val="bullet"/>
      <w:lvlText w:val="•"/>
      <w:lvlJc w:val="left"/>
      <w:pPr>
        <w:ind w:left="4388" w:hanging="428"/>
      </w:pPr>
      <w:rPr>
        <w:rFonts w:hint="default"/>
      </w:rPr>
    </w:lvl>
    <w:lvl w:ilvl="5" w:tplc="7772DAB8">
      <w:numFmt w:val="bullet"/>
      <w:lvlText w:val="•"/>
      <w:lvlJc w:val="left"/>
      <w:pPr>
        <w:ind w:left="5350" w:hanging="428"/>
      </w:pPr>
      <w:rPr>
        <w:rFonts w:hint="default"/>
      </w:rPr>
    </w:lvl>
    <w:lvl w:ilvl="6" w:tplc="8342D8E2">
      <w:numFmt w:val="bullet"/>
      <w:lvlText w:val="•"/>
      <w:lvlJc w:val="left"/>
      <w:pPr>
        <w:ind w:left="6312" w:hanging="428"/>
      </w:pPr>
      <w:rPr>
        <w:rFonts w:hint="default"/>
      </w:rPr>
    </w:lvl>
    <w:lvl w:ilvl="7" w:tplc="D33E9FF4">
      <w:numFmt w:val="bullet"/>
      <w:lvlText w:val="•"/>
      <w:lvlJc w:val="left"/>
      <w:pPr>
        <w:ind w:left="7274" w:hanging="428"/>
      </w:pPr>
      <w:rPr>
        <w:rFonts w:hint="default"/>
      </w:rPr>
    </w:lvl>
    <w:lvl w:ilvl="8" w:tplc="01206A08">
      <w:numFmt w:val="bullet"/>
      <w:lvlText w:val="•"/>
      <w:lvlJc w:val="left"/>
      <w:pPr>
        <w:ind w:left="8236" w:hanging="428"/>
      </w:pPr>
      <w:rPr>
        <w:rFonts w:hint="default"/>
      </w:rPr>
    </w:lvl>
  </w:abstractNum>
  <w:abstractNum w:abstractNumId="34" w15:restartNumberingAfterBreak="0">
    <w:nsid w:val="32343ED1"/>
    <w:multiLevelType w:val="hybridMultilevel"/>
    <w:tmpl w:val="D9BA4832"/>
    <w:lvl w:ilvl="0" w:tplc="DFE6169E">
      <w:start w:val="1"/>
      <w:numFmt w:val="decimal"/>
      <w:lvlText w:val="(%1)"/>
      <w:lvlJc w:val="left"/>
      <w:pPr>
        <w:ind w:left="854" w:hanging="428"/>
      </w:pPr>
      <w:rPr>
        <w:rFonts w:ascii="Times New Roman" w:eastAsia="Times New Roman" w:hAnsi="Times New Roman" w:cs="Times New Roman" w:hint="default"/>
        <w:w w:val="100"/>
        <w:sz w:val="22"/>
        <w:szCs w:val="22"/>
      </w:rPr>
    </w:lvl>
    <w:lvl w:ilvl="1" w:tplc="88083C74">
      <w:numFmt w:val="bullet"/>
      <w:lvlText w:val="•"/>
      <w:lvlJc w:val="left"/>
      <w:pPr>
        <w:ind w:left="2236" w:hanging="428"/>
      </w:pPr>
      <w:rPr>
        <w:rFonts w:hint="default"/>
      </w:rPr>
    </w:lvl>
    <w:lvl w:ilvl="2" w:tplc="B8FC4BD8">
      <w:numFmt w:val="bullet"/>
      <w:lvlText w:val="•"/>
      <w:lvlJc w:val="left"/>
      <w:pPr>
        <w:ind w:left="3198" w:hanging="428"/>
      </w:pPr>
      <w:rPr>
        <w:rFonts w:hint="default"/>
      </w:rPr>
    </w:lvl>
    <w:lvl w:ilvl="3" w:tplc="29529612">
      <w:numFmt w:val="bullet"/>
      <w:lvlText w:val="•"/>
      <w:lvlJc w:val="left"/>
      <w:pPr>
        <w:ind w:left="4160" w:hanging="428"/>
      </w:pPr>
      <w:rPr>
        <w:rFonts w:hint="default"/>
      </w:rPr>
    </w:lvl>
    <w:lvl w:ilvl="4" w:tplc="A860ED32">
      <w:numFmt w:val="bullet"/>
      <w:lvlText w:val="•"/>
      <w:lvlJc w:val="left"/>
      <w:pPr>
        <w:ind w:left="5122" w:hanging="428"/>
      </w:pPr>
      <w:rPr>
        <w:rFonts w:hint="default"/>
      </w:rPr>
    </w:lvl>
    <w:lvl w:ilvl="5" w:tplc="19E01C16">
      <w:numFmt w:val="bullet"/>
      <w:lvlText w:val="•"/>
      <w:lvlJc w:val="left"/>
      <w:pPr>
        <w:ind w:left="6084" w:hanging="428"/>
      </w:pPr>
      <w:rPr>
        <w:rFonts w:hint="default"/>
      </w:rPr>
    </w:lvl>
    <w:lvl w:ilvl="6" w:tplc="D05E3F0E">
      <w:numFmt w:val="bullet"/>
      <w:lvlText w:val="•"/>
      <w:lvlJc w:val="left"/>
      <w:pPr>
        <w:ind w:left="7046" w:hanging="428"/>
      </w:pPr>
      <w:rPr>
        <w:rFonts w:hint="default"/>
      </w:rPr>
    </w:lvl>
    <w:lvl w:ilvl="7" w:tplc="5E323718">
      <w:numFmt w:val="bullet"/>
      <w:lvlText w:val="•"/>
      <w:lvlJc w:val="left"/>
      <w:pPr>
        <w:ind w:left="8008" w:hanging="428"/>
      </w:pPr>
      <w:rPr>
        <w:rFonts w:hint="default"/>
      </w:rPr>
    </w:lvl>
    <w:lvl w:ilvl="8" w:tplc="0C686836">
      <w:numFmt w:val="bullet"/>
      <w:lvlText w:val="•"/>
      <w:lvlJc w:val="left"/>
      <w:pPr>
        <w:ind w:left="8970" w:hanging="428"/>
      </w:pPr>
      <w:rPr>
        <w:rFonts w:hint="default"/>
      </w:rPr>
    </w:lvl>
  </w:abstractNum>
  <w:abstractNum w:abstractNumId="35" w15:restartNumberingAfterBreak="0">
    <w:nsid w:val="364E7EF8"/>
    <w:multiLevelType w:val="hybridMultilevel"/>
    <w:tmpl w:val="891EE5D2"/>
    <w:lvl w:ilvl="0" w:tplc="5CB89B22">
      <w:start w:val="1"/>
      <w:numFmt w:val="lowerLetter"/>
      <w:lvlText w:val="%1)"/>
      <w:lvlJc w:val="left"/>
      <w:pPr>
        <w:ind w:left="828" w:hanging="360"/>
      </w:pPr>
      <w:rPr>
        <w:rFonts w:ascii="Times New Roman" w:eastAsia="Times New Roman" w:hAnsi="Times New Roman" w:cs="Times New Roman" w:hint="default"/>
        <w:w w:val="100"/>
        <w:sz w:val="22"/>
        <w:szCs w:val="22"/>
      </w:rPr>
    </w:lvl>
    <w:lvl w:ilvl="1" w:tplc="1246614A">
      <w:numFmt w:val="bullet"/>
      <w:lvlText w:val="•"/>
      <w:lvlJc w:val="left"/>
      <w:pPr>
        <w:ind w:left="1754" w:hanging="360"/>
      </w:pPr>
      <w:rPr>
        <w:rFonts w:hint="default"/>
      </w:rPr>
    </w:lvl>
    <w:lvl w:ilvl="2" w:tplc="E0522FAE">
      <w:numFmt w:val="bullet"/>
      <w:lvlText w:val="•"/>
      <w:lvlJc w:val="left"/>
      <w:pPr>
        <w:ind w:left="2688" w:hanging="360"/>
      </w:pPr>
      <w:rPr>
        <w:rFonts w:hint="default"/>
      </w:rPr>
    </w:lvl>
    <w:lvl w:ilvl="3" w:tplc="9372EE8E">
      <w:numFmt w:val="bullet"/>
      <w:lvlText w:val="•"/>
      <w:lvlJc w:val="left"/>
      <w:pPr>
        <w:ind w:left="3622" w:hanging="360"/>
      </w:pPr>
      <w:rPr>
        <w:rFonts w:hint="default"/>
      </w:rPr>
    </w:lvl>
    <w:lvl w:ilvl="4" w:tplc="601A4A2E">
      <w:numFmt w:val="bullet"/>
      <w:lvlText w:val="•"/>
      <w:lvlJc w:val="left"/>
      <w:pPr>
        <w:ind w:left="4556" w:hanging="360"/>
      </w:pPr>
      <w:rPr>
        <w:rFonts w:hint="default"/>
      </w:rPr>
    </w:lvl>
    <w:lvl w:ilvl="5" w:tplc="1FE4C4FA">
      <w:numFmt w:val="bullet"/>
      <w:lvlText w:val="•"/>
      <w:lvlJc w:val="left"/>
      <w:pPr>
        <w:ind w:left="5490" w:hanging="360"/>
      </w:pPr>
      <w:rPr>
        <w:rFonts w:hint="default"/>
      </w:rPr>
    </w:lvl>
    <w:lvl w:ilvl="6" w:tplc="55F282EA">
      <w:numFmt w:val="bullet"/>
      <w:lvlText w:val="•"/>
      <w:lvlJc w:val="left"/>
      <w:pPr>
        <w:ind w:left="6424" w:hanging="360"/>
      </w:pPr>
      <w:rPr>
        <w:rFonts w:hint="default"/>
      </w:rPr>
    </w:lvl>
    <w:lvl w:ilvl="7" w:tplc="D9D2E024">
      <w:numFmt w:val="bullet"/>
      <w:lvlText w:val="•"/>
      <w:lvlJc w:val="left"/>
      <w:pPr>
        <w:ind w:left="7358" w:hanging="360"/>
      </w:pPr>
      <w:rPr>
        <w:rFonts w:hint="default"/>
      </w:rPr>
    </w:lvl>
    <w:lvl w:ilvl="8" w:tplc="7F7AD108">
      <w:numFmt w:val="bullet"/>
      <w:lvlText w:val="•"/>
      <w:lvlJc w:val="left"/>
      <w:pPr>
        <w:ind w:left="8292" w:hanging="360"/>
      </w:pPr>
      <w:rPr>
        <w:rFonts w:hint="default"/>
      </w:rPr>
    </w:lvl>
  </w:abstractNum>
  <w:abstractNum w:abstractNumId="36" w15:restartNumberingAfterBreak="0">
    <w:nsid w:val="376E270C"/>
    <w:multiLevelType w:val="hybridMultilevel"/>
    <w:tmpl w:val="3D881C58"/>
    <w:lvl w:ilvl="0" w:tplc="DCC4DFDA">
      <w:start w:val="1"/>
      <w:numFmt w:val="decimal"/>
      <w:lvlText w:val="%1."/>
      <w:lvlJc w:val="left"/>
      <w:pPr>
        <w:ind w:left="548" w:hanging="428"/>
      </w:pPr>
      <w:rPr>
        <w:rFonts w:ascii="Times New Roman" w:eastAsia="Times New Roman" w:hAnsi="Times New Roman" w:cs="Times New Roman" w:hint="default"/>
        <w:w w:val="100"/>
        <w:sz w:val="22"/>
        <w:szCs w:val="22"/>
      </w:rPr>
    </w:lvl>
    <w:lvl w:ilvl="1" w:tplc="6A24555A">
      <w:numFmt w:val="bullet"/>
      <w:lvlText w:val="•"/>
      <w:lvlJc w:val="left"/>
      <w:pPr>
        <w:ind w:left="1502" w:hanging="428"/>
      </w:pPr>
      <w:rPr>
        <w:rFonts w:hint="default"/>
      </w:rPr>
    </w:lvl>
    <w:lvl w:ilvl="2" w:tplc="C1A68D8C">
      <w:numFmt w:val="bullet"/>
      <w:lvlText w:val="•"/>
      <w:lvlJc w:val="left"/>
      <w:pPr>
        <w:ind w:left="2464" w:hanging="428"/>
      </w:pPr>
      <w:rPr>
        <w:rFonts w:hint="default"/>
      </w:rPr>
    </w:lvl>
    <w:lvl w:ilvl="3" w:tplc="AAAC0192">
      <w:numFmt w:val="bullet"/>
      <w:lvlText w:val="•"/>
      <w:lvlJc w:val="left"/>
      <w:pPr>
        <w:ind w:left="3426" w:hanging="428"/>
      </w:pPr>
      <w:rPr>
        <w:rFonts w:hint="default"/>
      </w:rPr>
    </w:lvl>
    <w:lvl w:ilvl="4" w:tplc="9F3C4082">
      <w:numFmt w:val="bullet"/>
      <w:lvlText w:val="•"/>
      <w:lvlJc w:val="left"/>
      <w:pPr>
        <w:ind w:left="4388" w:hanging="428"/>
      </w:pPr>
      <w:rPr>
        <w:rFonts w:hint="default"/>
      </w:rPr>
    </w:lvl>
    <w:lvl w:ilvl="5" w:tplc="3D6A5DDA">
      <w:numFmt w:val="bullet"/>
      <w:lvlText w:val="•"/>
      <w:lvlJc w:val="left"/>
      <w:pPr>
        <w:ind w:left="5350" w:hanging="428"/>
      </w:pPr>
      <w:rPr>
        <w:rFonts w:hint="default"/>
      </w:rPr>
    </w:lvl>
    <w:lvl w:ilvl="6" w:tplc="E486A192">
      <w:numFmt w:val="bullet"/>
      <w:lvlText w:val="•"/>
      <w:lvlJc w:val="left"/>
      <w:pPr>
        <w:ind w:left="6312" w:hanging="428"/>
      </w:pPr>
      <w:rPr>
        <w:rFonts w:hint="default"/>
      </w:rPr>
    </w:lvl>
    <w:lvl w:ilvl="7" w:tplc="D3A01E02">
      <w:numFmt w:val="bullet"/>
      <w:lvlText w:val="•"/>
      <w:lvlJc w:val="left"/>
      <w:pPr>
        <w:ind w:left="7274" w:hanging="428"/>
      </w:pPr>
      <w:rPr>
        <w:rFonts w:hint="default"/>
      </w:rPr>
    </w:lvl>
    <w:lvl w:ilvl="8" w:tplc="BBE01E34">
      <w:numFmt w:val="bullet"/>
      <w:lvlText w:val="•"/>
      <w:lvlJc w:val="left"/>
      <w:pPr>
        <w:ind w:left="8236" w:hanging="428"/>
      </w:pPr>
      <w:rPr>
        <w:rFonts w:hint="default"/>
      </w:rPr>
    </w:lvl>
  </w:abstractNum>
  <w:abstractNum w:abstractNumId="37" w15:restartNumberingAfterBreak="0">
    <w:nsid w:val="38140EF6"/>
    <w:multiLevelType w:val="hybridMultilevel"/>
    <w:tmpl w:val="47CCD068"/>
    <w:lvl w:ilvl="0" w:tplc="A7ACE5D8">
      <w:start w:val="1"/>
      <w:numFmt w:val="decimal"/>
      <w:lvlText w:val="%1."/>
      <w:lvlJc w:val="left"/>
      <w:pPr>
        <w:ind w:left="548" w:hanging="428"/>
      </w:pPr>
      <w:rPr>
        <w:rFonts w:ascii="Times New Roman" w:eastAsia="Times New Roman" w:hAnsi="Times New Roman" w:cs="Times New Roman" w:hint="default"/>
        <w:w w:val="100"/>
        <w:sz w:val="22"/>
        <w:szCs w:val="22"/>
      </w:rPr>
    </w:lvl>
    <w:lvl w:ilvl="1" w:tplc="188E68A8">
      <w:numFmt w:val="bullet"/>
      <w:lvlText w:val="•"/>
      <w:lvlJc w:val="left"/>
      <w:pPr>
        <w:ind w:left="1502" w:hanging="428"/>
      </w:pPr>
      <w:rPr>
        <w:rFonts w:hint="default"/>
      </w:rPr>
    </w:lvl>
    <w:lvl w:ilvl="2" w:tplc="4D38B62A">
      <w:numFmt w:val="bullet"/>
      <w:lvlText w:val="•"/>
      <w:lvlJc w:val="left"/>
      <w:pPr>
        <w:ind w:left="2464" w:hanging="428"/>
      </w:pPr>
      <w:rPr>
        <w:rFonts w:hint="default"/>
      </w:rPr>
    </w:lvl>
    <w:lvl w:ilvl="3" w:tplc="E76823BC">
      <w:numFmt w:val="bullet"/>
      <w:lvlText w:val="•"/>
      <w:lvlJc w:val="left"/>
      <w:pPr>
        <w:ind w:left="3426" w:hanging="428"/>
      </w:pPr>
      <w:rPr>
        <w:rFonts w:hint="default"/>
      </w:rPr>
    </w:lvl>
    <w:lvl w:ilvl="4" w:tplc="38E074CE">
      <w:numFmt w:val="bullet"/>
      <w:lvlText w:val="•"/>
      <w:lvlJc w:val="left"/>
      <w:pPr>
        <w:ind w:left="4388" w:hanging="428"/>
      </w:pPr>
      <w:rPr>
        <w:rFonts w:hint="default"/>
      </w:rPr>
    </w:lvl>
    <w:lvl w:ilvl="5" w:tplc="6B6ECCFC">
      <w:numFmt w:val="bullet"/>
      <w:lvlText w:val="•"/>
      <w:lvlJc w:val="left"/>
      <w:pPr>
        <w:ind w:left="5350" w:hanging="428"/>
      </w:pPr>
      <w:rPr>
        <w:rFonts w:hint="default"/>
      </w:rPr>
    </w:lvl>
    <w:lvl w:ilvl="6" w:tplc="5B3C928E">
      <w:numFmt w:val="bullet"/>
      <w:lvlText w:val="•"/>
      <w:lvlJc w:val="left"/>
      <w:pPr>
        <w:ind w:left="6312" w:hanging="428"/>
      </w:pPr>
      <w:rPr>
        <w:rFonts w:hint="default"/>
      </w:rPr>
    </w:lvl>
    <w:lvl w:ilvl="7" w:tplc="CB3E8A06">
      <w:numFmt w:val="bullet"/>
      <w:lvlText w:val="•"/>
      <w:lvlJc w:val="left"/>
      <w:pPr>
        <w:ind w:left="7274" w:hanging="428"/>
      </w:pPr>
      <w:rPr>
        <w:rFonts w:hint="default"/>
      </w:rPr>
    </w:lvl>
    <w:lvl w:ilvl="8" w:tplc="B1F0D8DA">
      <w:numFmt w:val="bullet"/>
      <w:lvlText w:val="•"/>
      <w:lvlJc w:val="left"/>
      <w:pPr>
        <w:ind w:left="8236" w:hanging="428"/>
      </w:pPr>
      <w:rPr>
        <w:rFonts w:hint="default"/>
      </w:rPr>
    </w:lvl>
  </w:abstractNum>
  <w:abstractNum w:abstractNumId="38" w15:restartNumberingAfterBreak="0">
    <w:nsid w:val="3B1D079B"/>
    <w:multiLevelType w:val="hybridMultilevel"/>
    <w:tmpl w:val="A8C2C250"/>
    <w:lvl w:ilvl="0" w:tplc="DFE6169E">
      <w:start w:val="1"/>
      <w:numFmt w:val="decimal"/>
      <w:lvlText w:val="(%1)"/>
      <w:lvlJc w:val="left"/>
      <w:pPr>
        <w:ind w:left="1440" w:hanging="360"/>
      </w:pPr>
      <w:rPr>
        <w:rFonts w:ascii="Times New Roman" w:eastAsia="Times New Roman" w:hAnsi="Times New Roman" w:cs="Times New Roman" w:hint="default"/>
        <w:w w:val="10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BE32F1E"/>
    <w:multiLevelType w:val="hybridMultilevel"/>
    <w:tmpl w:val="7F208DB4"/>
    <w:lvl w:ilvl="0" w:tplc="C90A405C">
      <w:start w:val="1"/>
      <w:numFmt w:val="decimal"/>
      <w:lvlText w:val="%1."/>
      <w:lvlJc w:val="left"/>
      <w:pPr>
        <w:ind w:left="548" w:hanging="428"/>
      </w:pPr>
      <w:rPr>
        <w:rFonts w:ascii="Times New Roman" w:eastAsia="Times New Roman" w:hAnsi="Times New Roman" w:cs="Times New Roman" w:hint="default"/>
        <w:w w:val="100"/>
        <w:sz w:val="22"/>
        <w:szCs w:val="22"/>
      </w:rPr>
    </w:lvl>
    <w:lvl w:ilvl="1" w:tplc="832A5EBA">
      <w:numFmt w:val="bullet"/>
      <w:lvlText w:val="•"/>
      <w:lvlJc w:val="left"/>
      <w:pPr>
        <w:ind w:left="1502" w:hanging="428"/>
      </w:pPr>
      <w:rPr>
        <w:rFonts w:hint="default"/>
      </w:rPr>
    </w:lvl>
    <w:lvl w:ilvl="2" w:tplc="9A985D9C">
      <w:numFmt w:val="bullet"/>
      <w:lvlText w:val="•"/>
      <w:lvlJc w:val="left"/>
      <w:pPr>
        <w:ind w:left="2464" w:hanging="428"/>
      </w:pPr>
      <w:rPr>
        <w:rFonts w:hint="default"/>
      </w:rPr>
    </w:lvl>
    <w:lvl w:ilvl="3" w:tplc="A5DEB192">
      <w:numFmt w:val="bullet"/>
      <w:lvlText w:val="•"/>
      <w:lvlJc w:val="left"/>
      <w:pPr>
        <w:ind w:left="3426" w:hanging="428"/>
      </w:pPr>
      <w:rPr>
        <w:rFonts w:hint="default"/>
      </w:rPr>
    </w:lvl>
    <w:lvl w:ilvl="4" w:tplc="A086E07A">
      <w:numFmt w:val="bullet"/>
      <w:lvlText w:val="•"/>
      <w:lvlJc w:val="left"/>
      <w:pPr>
        <w:ind w:left="4388" w:hanging="428"/>
      </w:pPr>
      <w:rPr>
        <w:rFonts w:hint="default"/>
      </w:rPr>
    </w:lvl>
    <w:lvl w:ilvl="5" w:tplc="6E10B932">
      <w:numFmt w:val="bullet"/>
      <w:lvlText w:val="•"/>
      <w:lvlJc w:val="left"/>
      <w:pPr>
        <w:ind w:left="5350" w:hanging="428"/>
      </w:pPr>
      <w:rPr>
        <w:rFonts w:hint="default"/>
      </w:rPr>
    </w:lvl>
    <w:lvl w:ilvl="6" w:tplc="58D43064">
      <w:numFmt w:val="bullet"/>
      <w:lvlText w:val="•"/>
      <w:lvlJc w:val="left"/>
      <w:pPr>
        <w:ind w:left="6312" w:hanging="428"/>
      </w:pPr>
      <w:rPr>
        <w:rFonts w:hint="default"/>
      </w:rPr>
    </w:lvl>
    <w:lvl w:ilvl="7" w:tplc="D402E7F6">
      <w:numFmt w:val="bullet"/>
      <w:lvlText w:val="•"/>
      <w:lvlJc w:val="left"/>
      <w:pPr>
        <w:ind w:left="7274" w:hanging="428"/>
      </w:pPr>
      <w:rPr>
        <w:rFonts w:hint="default"/>
      </w:rPr>
    </w:lvl>
    <w:lvl w:ilvl="8" w:tplc="7C02DAB2">
      <w:numFmt w:val="bullet"/>
      <w:lvlText w:val="•"/>
      <w:lvlJc w:val="left"/>
      <w:pPr>
        <w:ind w:left="8236" w:hanging="428"/>
      </w:pPr>
      <w:rPr>
        <w:rFonts w:hint="default"/>
      </w:rPr>
    </w:lvl>
  </w:abstractNum>
  <w:abstractNum w:abstractNumId="40" w15:restartNumberingAfterBreak="0">
    <w:nsid w:val="3E823B54"/>
    <w:multiLevelType w:val="hybridMultilevel"/>
    <w:tmpl w:val="C1A2DAFE"/>
    <w:lvl w:ilvl="0" w:tplc="04130019">
      <w:start w:val="1"/>
      <w:numFmt w:val="lowerLetter"/>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1" w15:restartNumberingAfterBreak="0">
    <w:nsid w:val="40926E20"/>
    <w:multiLevelType w:val="hybridMultilevel"/>
    <w:tmpl w:val="D30E59B6"/>
    <w:lvl w:ilvl="0" w:tplc="DFE6169E">
      <w:start w:val="1"/>
      <w:numFmt w:val="decimal"/>
      <w:lvlText w:val="(%1)"/>
      <w:lvlJc w:val="left"/>
      <w:pPr>
        <w:ind w:left="360" w:hanging="360"/>
      </w:pPr>
      <w:rPr>
        <w:rFonts w:ascii="Times New Roman" w:eastAsia="Times New Roman" w:hAnsi="Times New Roman" w:cs="Times New Roman" w:hint="default"/>
        <w:w w:val="100"/>
        <w:sz w:val="22"/>
        <w:szCs w:val="22"/>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457852C2"/>
    <w:multiLevelType w:val="hybridMultilevel"/>
    <w:tmpl w:val="89BEA5EC"/>
    <w:lvl w:ilvl="0" w:tplc="DFE6169E">
      <w:start w:val="1"/>
      <w:numFmt w:val="decimal"/>
      <w:lvlText w:val="(%1)"/>
      <w:lvlJc w:val="left"/>
      <w:pPr>
        <w:ind w:left="428" w:hanging="428"/>
      </w:pPr>
      <w:rPr>
        <w:rFonts w:ascii="Times New Roman" w:eastAsia="Times New Roman" w:hAnsi="Times New Roman" w:cs="Times New Roman" w:hint="default"/>
        <w:w w:val="100"/>
        <w:sz w:val="22"/>
        <w:szCs w:val="22"/>
      </w:rPr>
    </w:lvl>
    <w:lvl w:ilvl="1" w:tplc="D8024072">
      <w:numFmt w:val="bullet"/>
      <w:lvlText w:val="•"/>
      <w:lvlJc w:val="left"/>
      <w:pPr>
        <w:ind w:left="1382" w:hanging="428"/>
      </w:pPr>
      <w:rPr>
        <w:rFonts w:hint="default"/>
      </w:rPr>
    </w:lvl>
    <w:lvl w:ilvl="2" w:tplc="A588F67A">
      <w:numFmt w:val="bullet"/>
      <w:lvlText w:val="•"/>
      <w:lvlJc w:val="left"/>
      <w:pPr>
        <w:ind w:left="2344" w:hanging="428"/>
      </w:pPr>
      <w:rPr>
        <w:rFonts w:hint="default"/>
      </w:rPr>
    </w:lvl>
    <w:lvl w:ilvl="3" w:tplc="686458B8">
      <w:numFmt w:val="bullet"/>
      <w:lvlText w:val="•"/>
      <w:lvlJc w:val="left"/>
      <w:pPr>
        <w:ind w:left="3306" w:hanging="428"/>
      </w:pPr>
      <w:rPr>
        <w:rFonts w:hint="default"/>
      </w:rPr>
    </w:lvl>
    <w:lvl w:ilvl="4" w:tplc="EBE661BC">
      <w:numFmt w:val="bullet"/>
      <w:lvlText w:val="•"/>
      <w:lvlJc w:val="left"/>
      <w:pPr>
        <w:ind w:left="4268" w:hanging="428"/>
      </w:pPr>
      <w:rPr>
        <w:rFonts w:hint="default"/>
      </w:rPr>
    </w:lvl>
    <w:lvl w:ilvl="5" w:tplc="03425990">
      <w:numFmt w:val="bullet"/>
      <w:lvlText w:val="•"/>
      <w:lvlJc w:val="left"/>
      <w:pPr>
        <w:ind w:left="5230" w:hanging="428"/>
      </w:pPr>
      <w:rPr>
        <w:rFonts w:hint="default"/>
      </w:rPr>
    </w:lvl>
    <w:lvl w:ilvl="6" w:tplc="5B400552">
      <w:numFmt w:val="bullet"/>
      <w:lvlText w:val="•"/>
      <w:lvlJc w:val="left"/>
      <w:pPr>
        <w:ind w:left="6192" w:hanging="428"/>
      </w:pPr>
      <w:rPr>
        <w:rFonts w:hint="default"/>
      </w:rPr>
    </w:lvl>
    <w:lvl w:ilvl="7" w:tplc="912CECFC">
      <w:numFmt w:val="bullet"/>
      <w:lvlText w:val="•"/>
      <w:lvlJc w:val="left"/>
      <w:pPr>
        <w:ind w:left="7154" w:hanging="428"/>
      </w:pPr>
      <w:rPr>
        <w:rFonts w:hint="default"/>
      </w:rPr>
    </w:lvl>
    <w:lvl w:ilvl="8" w:tplc="45623984">
      <w:numFmt w:val="bullet"/>
      <w:lvlText w:val="•"/>
      <w:lvlJc w:val="left"/>
      <w:pPr>
        <w:ind w:left="8116" w:hanging="428"/>
      </w:pPr>
      <w:rPr>
        <w:rFonts w:hint="default"/>
      </w:rPr>
    </w:lvl>
  </w:abstractNum>
  <w:abstractNum w:abstractNumId="43" w15:restartNumberingAfterBreak="0">
    <w:nsid w:val="46073734"/>
    <w:multiLevelType w:val="hybridMultilevel"/>
    <w:tmpl w:val="E9F061FA"/>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4" w15:restartNumberingAfterBreak="0">
    <w:nsid w:val="46D234AD"/>
    <w:multiLevelType w:val="hybridMultilevel"/>
    <w:tmpl w:val="0F3CE6F8"/>
    <w:lvl w:ilvl="0" w:tplc="DFE6169E">
      <w:start w:val="1"/>
      <w:numFmt w:val="decimal"/>
      <w:lvlText w:val="(%1)"/>
      <w:lvlJc w:val="left"/>
      <w:pPr>
        <w:ind w:left="720" w:hanging="360"/>
      </w:pPr>
      <w:rPr>
        <w:rFonts w:ascii="Times New Roman" w:eastAsia="Times New Roman" w:hAnsi="Times New Roman" w:cs="Times New Roman" w:hint="default"/>
        <w:w w:val="10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7A24E7A"/>
    <w:multiLevelType w:val="hybridMultilevel"/>
    <w:tmpl w:val="EA043B08"/>
    <w:lvl w:ilvl="0" w:tplc="AE9C4C80">
      <w:start w:val="1"/>
      <w:numFmt w:val="lowerLetter"/>
      <w:lvlText w:val="%1)"/>
      <w:lvlJc w:val="left"/>
      <w:pPr>
        <w:ind w:left="2356" w:hanging="360"/>
      </w:pPr>
      <w:rPr>
        <w:rFonts w:ascii="Times New Roman" w:eastAsiaTheme="minorEastAsia" w:hAnsi="Times New Roman" w:cs="Times New Roman" w:hint="default"/>
      </w:rPr>
    </w:lvl>
    <w:lvl w:ilvl="1" w:tplc="04180019" w:tentative="1">
      <w:start w:val="1"/>
      <w:numFmt w:val="lowerLetter"/>
      <w:lvlText w:val="%2."/>
      <w:lvlJc w:val="left"/>
      <w:pPr>
        <w:ind w:left="3076" w:hanging="360"/>
      </w:pPr>
    </w:lvl>
    <w:lvl w:ilvl="2" w:tplc="0418001B" w:tentative="1">
      <w:start w:val="1"/>
      <w:numFmt w:val="lowerRoman"/>
      <w:lvlText w:val="%3."/>
      <w:lvlJc w:val="right"/>
      <w:pPr>
        <w:ind w:left="3796" w:hanging="180"/>
      </w:pPr>
    </w:lvl>
    <w:lvl w:ilvl="3" w:tplc="0418000F" w:tentative="1">
      <w:start w:val="1"/>
      <w:numFmt w:val="decimal"/>
      <w:lvlText w:val="%4."/>
      <w:lvlJc w:val="left"/>
      <w:pPr>
        <w:ind w:left="4516" w:hanging="360"/>
      </w:pPr>
    </w:lvl>
    <w:lvl w:ilvl="4" w:tplc="04180019" w:tentative="1">
      <w:start w:val="1"/>
      <w:numFmt w:val="lowerLetter"/>
      <w:lvlText w:val="%5."/>
      <w:lvlJc w:val="left"/>
      <w:pPr>
        <w:ind w:left="5236" w:hanging="360"/>
      </w:pPr>
    </w:lvl>
    <w:lvl w:ilvl="5" w:tplc="0418001B" w:tentative="1">
      <w:start w:val="1"/>
      <w:numFmt w:val="lowerRoman"/>
      <w:lvlText w:val="%6."/>
      <w:lvlJc w:val="right"/>
      <w:pPr>
        <w:ind w:left="5956" w:hanging="180"/>
      </w:pPr>
    </w:lvl>
    <w:lvl w:ilvl="6" w:tplc="0418000F" w:tentative="1">
      <w:start w:val="1"/>
      <w:numFmt w:val="decimal"/>
      <w:lvlText w:val="%7."/>
      <w:lvlJc w:val="left"/>
      <w:pPr>
        <w:ind w:left="6676" w:hanging="360"/>
      </w:pPr>
    </w:lvl>
    <w:lvl w:ilvl="7" w:tplc="04180019" w:tentative="1">
      <w:start w:val="1"/>
      <w:numFmt w:val="lowerLetter"/>
      <w:lvlText w:val="%8."/>
      <w:lvlJc w:val="left"/>
      <w:pPr>
        <w:ind w:left="7396" w:hanging="360"/>
      </w:pPr>
    </w:lvl>
    <w:lvl w:ilvl="8" w:tplc="0418001B" w:tentative="1">
      <w:start w:val="1"/>
      <w:numFmt w:val="lowerRoman"/>
      <w:lvlText w:val="%9."/>
      <w:lvlJc w:val="right"/>
      <w:pPr>
        <w:ind w:left="8116" w:hanging="180"/>
      </w:pPr>
    </w:lvl>
  </w:abstractNum>
  <w:abstractNum w:abstractNumId="46" w15:restartNumberingAfterBreak="0">
    <w:nsid w:val="49B62277"/>
    <w:multiLevelType w:val="hybridMultilevel"/>
    <w:tmpl w:val="BB2C1F54"/>
    <w:lvl w:ilvl="0" w:tplc="04130019">
      <w:start w:val="1"/>
      <w:numFmt w:val="lowerLetter"/>
      <w:lvlText w:val="%1."/>
      <w:lvlJc w:val="left"/>
      <w:pPr>
        <w:ind w:left="1264" w:hanging="360"/>
      </w:pPr>
    </w:lvl>
    <w:lvl w:ilvl="1" w:tplc="04180019" w:tentative="1">
      <w:start w:val="1"/>
      <w:numFmt w:val="lowerLetter"/>
      <w:lvlText w:val="%2."/>
      <w:lvlJc w:val="left"/>
      <w:pPr>
        <w:ind w:left="1984" w:hanging="360"/>
      </w:pPr>
    </w:lvl>
    <w:lvl w:ilvl="2" w:tplc="0418001B" w:tentative="1">
      <w:start w:val="1"/>
      <w:numFmt w:val="lowerRoman"/>
      <w:lvlText w:val="%3."/>
      <w:lvlJc w:val="right"/>
      <w:pPr>
        <w:ind w:left="2704" w:hanging="180"/>
      </w:pPr>
    </w:lvl>
    <w:lvl w:ilvl="3" w:tplc="0418000F" w:tentative="1">
      <w:start w:val="1"/>
      <w:numFmt w:val="decimal"/>
      <w:lvlText w:val="%4."/>
      <w:lvlJc w:val="left"/>
      <w:pPr>
        <w:ind w:left="3424" w:hanging="360"/>
      </w:pPr>
    </w:lvl>
    <w:lvl w:ilvl="4" w:tplc="04180019" w:tentative="1">
      <w:start w:val="1"/>
      <w:numFmt w:val="lowerLetter"/>
      <w:lvlText w:val="%5."/>
      <w:lvlJc w:val="left"/>
      <w:pPr>
        <w:ind w:left="4144" w:hanging="360"/>
      </w:pPr>
    </w:lvl>
    <w:lvl w:ilvl="5" w:tplc="0418001B" w:tentative="1">
      <w:start w:val="1"/>
      <w:numFmt w:val="lowerRoman"/>
      <w:lvlText w:val="%6."/>
      <w:lvlJc w:val="right"/>
      <w:pPr>
        <w:ind w:left="4864" w:hanging="180"/>
      </w:pPr>
    </w:lvl>
    <w:lvl w:ilvl="6" w:tplc="0418000F" w:tentative="1">
      <w:start w:val="1"/>
      <w:numFmt w:val="decimal"/>
      <w:lvlText w:val="%7."/>
      <w:lvlJc w:val="left"/>
      <w:pPr>
        <w:ind w:left="5584" w:hanging="360"/>
      </w:pPr>
    </w:lvl>
    <w:lvl w:ilvl="7" w:tplc="04180019" w:tentative="1">
      <w:start w:val="1"/>
      <w:numFmt w:val="lowerLetter"/>
      <w:lvlText w:val="%8."/>
      <w:lvlJc w:val="left"/>
      <w:pPr>
        <w:ind w:left="6304" w:hanging="360"/>
      </w:pPr>
    </w:lvl>
    <w:lvl w:ilvl="8" w:tplc="0418001B" w:tentative="1">
      <w:start w:val="1"/>
      <w:numFmt w:val="lowerRoman"/>
      <w:lvlText w:val="%9."/>
      <w:lvlJc w:val="right"/>
      <w:pPr>
        <w:ind w:left="7024" w:hanging="180"/>
      </w:pPr>
    </w:lvl>
  </w:abstractNum>
  <w:abstractNum w:abstractNumId="47" w15:restartNumberingAfterBreak="0">
    <w:nsid w:val="4AC82FD2"/>
    <w:multiLevelType w:val="hybridMultilevel"/>
    <w:tmpl w:val="9AF09010"/>
    <w:lvl w:ilvl="0" w:tplc="8A9E5A10">
      <w:start w:val="10"/>
      <w:numFmt w:val="decimal"/>
      <w:lvlText w:val="%1."/>
      <w:lvlJc w:val="left"/>
      <w:pPr>
        <w:ind w:left="36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4AF430D1"/>
    <w:multiLevelType w:val="hybridMultilevel"/>
    <w:tmpl w:val="1E90E616"/>
    <w:lvl w:ilvl="0" w:tplc="16286994">
      <w:start w:val="1"/>
      <w:numFmt w:val="decimal"/>
      <w:lvlText w:val="%1."/>
      <w:lvlJc w:val="left"/>
      <w:pPr>
        <w:ind w:left="548" w:hanging="428"/>
      </w:pPr>
      <w:rPr>
        <w:rFonts w:ascii="Times New Roman" w:eastAsia="Times New Roman" w:hAnsi="Times New Roman" w:cs="Times New Roman" w:hint="default"/>
        <w:w w:val="100"/>
        <w:sz w:val="22"/>
        <w:szCs w:val="22"/>
      </w:rPr>
    </w:lvl>
    <w:lvl w:ilvl="1" w:tplc="04100019">
      <w:start w:val="1"/>
      <w:numFmt w:val="lowerLetter"/>
      <w:lvlText w:val="%2."/>
      <w:lvlJc w:val="left"/>
      <w:pPr>
        <w:ind w:left="1502" w:hanging="428"/>
      </w:pPr>
      <w:rPr>
        <w:rFonts w:hint="default"/>
      </w:rPr>
    </w:lvl>
    <w:lvl w:ilvl="2" w:tplc="A588F67A">
      <w:numFmt w:val="bullet"/>
      <w:lvlText w:val="•"/>
      <w:lvlJc w:val="left"/>
      <w:pPr>
        <w:ind w:left="2464" w:hanging="428"/>
      </w:pPr>
      <w:rPr>
        <w:rFonts w:hint="default"/>
      </w:rPr>
    </w:lvl>
    <w:lvl w:ilvl="3" w:tplc="686458B8">
      <w:numFmt w:val="bullet"/>
      <w:lvlText w:val="•"/>
      <w:lvlJc w:val="left"/>
      <w:pPr>
        <w:ind w:left="3426" w:hanging="428"/>
      </w:pPr>
      <w:rPr>
        <w:rFonts w:hint="default"/>
      </w:rPr>
    </w:lvl>
    <w:lvl w:ilvl="4" w:tplc="EBE661BC">
      <w:numFmt w:val="bullet"/>
      <w:lvlText w:val="•"/>
      <w:lvlJc w:val="left"/>
      <w:pPr>
        <w:ind w:left="4388" w:hanging="428"/>
      </w:pPr>
      <w:rPr>
        <w:rFonts w:hint="default"/>
      </w:rPr>
    </w:lvl>
    <w:lvl w:ilvl="5" w:tplc="03425990">
      <w:numFmt w:val="bullet"/>
      <w:lvlText w:val="•"/>
      <w:lvlJc w:val="left"/>
      <w:pPr>
        <w:ind w:left="5350" w:hanging="428"/>
      </w:pPr>
      <w:rPr>
        <w:rFonts w:hint="default"/>
      </w:rPr>
    </w:lvl>
    <w:lvl w:ilvl="6" w:tplc="5B400552">
      <w:numFmt w:val="bullet"/>
      <w:lvlText w:val="•"/>
      <w:lvlJc w:val="left"/>
      <w:pPr>
        <w:ind w:left="6312" w:hanging="428"/>
      </w:pPr>
      <w:rPr>
        <w:rFonts w:hint="default"/>
      </w:rPr>
    </w:lvl>
    <w:lvl w:ilvl="7" w:tplc="912CECFC">
      <w:numFmt w:val="bullet"/>
      <w:lvlText w:val="•"/>
      <w:lvlJc w:val="left"/>
      <w:pPr>
        <w:ind w:left="7274" w:hanging="428"/>
      </w:pPr>
      <w:rPr>
        <w:rFonts w:hint="default"/>
      </w:rPr>
    </w:lvl>
    <w:lvl w:ilvl="8" w:tplc="45623984">
      <w:numFmt w:val="bullet"/>
      <w:lvlText w:val="•"/>
      <w:lvlJc w:val="left"/>
      <w:pPr>
        <w:ind w:left="8236" w:hanging="428"/>
      </w:pPr>
      <w:rPr>
        <w:rFonts w:hint="default"/>
      </w:rPr>
    </w:lvl>
  </w:abstractNum>
  <w:abstractNum w:abstractNumId="49" w15:restartNumberingAfterBreak="0">
    <w:nsid w:val="4B08337A"/>
    <w:multiLevelType w:val="hybridMultilevel"/>
    <w:tmpl w:val="13E0FD52"/>
    <w:lvl w:ilvl="0" w:tplc="04130019">
      <w:start w:val="1"/>
      <w:numFmt w:val="lowerLetter"/>
      <w:lvlText w:val="%1."/>
      <w:lvlJc w:val="left"/>
      <w:pPr>
        <w:ind w:left="1270" w:hanging="360"/>
      </w:pPr>
    </w:lvl>
    <w:lvl w:ilvl="1" w:tplc="04180019" w:tentative="1">
      <w:start w:val="1"/>
      <w:numFmt w:val="lowerLetter"/>
      <w:lvlText w:val="%2."/>
      <w:lvlJc w:val="left"/>
      <w:pPr>
        <w:ind w:left="1990" w:hanging="360"/>
      </w:pPr>
    </w:lvl>
    <w:lvl w:ilvl="2" w:tplc="0418001B" w:tentative="1">
      <w:start w:val="1"/>
      <w:numFmt w:val="lowerRoman"/>
      <w:lvlText w:val="%3."/>
      <w:lvlJc w:val="right"/>
      <w:pPr>
        <w:ind w:left="2710" w:hanging="180"/>
      </w:pPr>
    </w:lvl>
    <w:lvl w:ilvl="3" w:tplc="0418000F" w:tentative="1">
      <w:start w:val="1"/>
      <w:numFmt w:val="decimal"/>
      <w:lvlText w:val="%4."/>
      <w:lvlJc w:val="left"/>
      <w:pPr>
        <w:ind w:left="3430" w:hanging="360"/>
      </w:pPr>
    </w:lvl>
    <w:lvl w:ilvl="4" w:tplc="04180019" w:tentative="1">
      <w:start w:val="1"/>
      <w:numFmt w:val="lowerLetter"/>
      <w:lvlText w:val="%5."/>
      <w:lvlJc w:val="left"/>
      <w:pPr>
        <w:ind w:left="4150" w:hanging="360"/>
      </w:pPr>
    </w:lvl>
    <w:lvl w:ilvl="5" w:tplc="0418001B" w:tentative="1">
      <w:start w:val="1"/>
      <w:numFmt w:val="lowerRoman"/>
      <w:lvlText w:val="%6."/>
      <w:lvlJc w:val="right"/>
      <w:pPr>
        <w:ind w:left="4870" w:hanging="180"/>
      </w:pPr>
    </w:lvl>
    <w:lvl w:ilvl="6" w:tplc="0418000F" w:tentative="1">
      <w:start w:val="1"/>
      <w:numFmt w:val="decimal"/>
      <w:lvlText w:val="%7."/>
      <w:lvlJc w:val="left"/>
      <w:pPr>
        <w:ind w:left="5590" w:hanging="360"/>
      </w:pPr>
    </w:lvl>
    <w:lvl w:ilvl="7" w:tplc="04180019" w:tentative="1">
      <w:start w:val="1"/>
      <w:numFmt w:val="lowerLetter"/>
      <w:lvlText w:val="%8."/>
      <w:lvlJc w:val="left"/>
      <w:pPr>
        <w:ind w:left="6310" w:hanging="360"/>
      </w:pPr>
    </w:lvl>
    <w:lvl w:ilvl="8" w:tplc="0418001B" w:tentative="1">
      <w:start w:val="1"/>
      <w:numFmt w:val="lowerRoman"/>
      <w:lvlText w:val="%9."/>
      <w:lvlJc w:val="right"/>
      <w:pPr>
        <w:ind w:left="7030" w:hanging="180"/>
      </w:pPr>
    </w:lvl>
  </w:abstractNum>
  <w:abstractNum w:abstractNumId="50" w15:restartNumberingAfterBreak="0">
    <w:nsid w:val="4C6E6AC0"/>
    <w:multiLevelType w:val="hybridMultilevel"/>
    <w:tmpl w:val="189C9446"/>
    <w:lvl w:ilvl="0" w:tplc="DFE6169E">
      <w:start w:val="1"/>
      <w:numFmt w:val="decimal"/>
      <w:lvlText w:val="(%1)"/>
      <w:lvlJc w:val="left"/>
      <w:pPr>
        <w:ind w:left="360" w:hanging="360"/>
      </w:pPr>
      <w:rPr>
        <w:rFonts w:ascii="Times New Roman" w:eastAsia="Times New Roman" w:hAnsi="Times New Roman" w:cs="Times New Roman" w:hint="default"/>
        <w:w w:val="100"/>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4CF35E27"/>
    <w:multiLevelType w:val="hybridMultilevel"/>
    <w:tmpl w:val="6BF61694"/>
    <w:lvl w:ilvl="0" w:tplc="04100019">
      <w:start w:val="1"/>
      <w:numFmt w:val="lowerLetter"/>
      <w:lvlText w:val="%1."/>
      <w:lvlJc w:val="left"/>
      <w:pPr>
        <w:ind w:left="2002" w:hanging="360"/>
      </w:pPr>
    </w:lvl>
    <w:lvl w:ilvl="1" w:tplc="04180019" w:tentative="1">
      <w:start w:val="1"/>
      <w:numFmt w:val="lowerLetter"/>
      <w:lvlText w:val="%2."/>
      <w:lvlJc w:val="left"/>
      <w:pPr>
        <w:ind w:left="2722" w:hanging="360"/>
      </w:pPr>
    </w:lvl>
    <w:lvl w:ilvl="2" w:tplc="0418001B" w:tentative="1">
      <w:start w:val="1"/>
      <w:numFmt w:val="lowerRoman"/>
      <w:lvlText w:val="%3."/>
      <w:lvlJc w:val="right"/>
      <w:pPr>
        <w:ind w:left="3442" w:hanging="180"/>
      </w:pPr>
    </w:lvl>
    <w:lvl w:ilvl="3" w:tplc="0418000F" w:tentative="1">
      <w:start w:val="1"/>
      <w:numFmt w:val="decimal"/>
      <w:lvlText w:val="%4."/>
      <w:lvlJc w:val="left"/>
      <w:pPr>
        <w:ind w:left="4162" w:hanging="360"/>
      </w:pPr>
    </w:lvl>
    <w:lvl w:ilvl="4" w:tplc="04180019" w:tentative="1">
      <w:start w:val="1"/>
      <w:numFmt w:val="lowerLetter"/>
      <w:lvlText w:val="%5."/>
      <w:lvlJc w:val="left"/>
      <w:pPr>
        <w:ind w:left="4882" w:hanging="360"/>
      </w:pPr>
    </w:lvl>
    <w:lvl w:ilvl="5" w:tplc="0418001B" w:tentative="1">
      <w:start w:val="1"/>
      <w:numFmt w:val="lowerRoman"/>
      <w:lvlText w:val="%6."/>
      <w:lvlJc w:val="right"/>
      <w:pPr>
        <w:ind w:left="5602" w:hanging="180"/>
      </w:pPr>
    </w:lvl>
    <w:lvl w:ilvl="6" w:tplc="0418000F" w:tentative="1">
      <w:start w:val="1"/>
      <w:numFmt w:val="decimal"/>
      <w:lvlText w:val="%7."/>
      <w:lvlJc w:val="left"/>
      <w:pPr>
        <w:ind w:left="6322" w:hanging="360"/>
      </w:pPr>
    </w:lvl>
    <w:lvl w:ilvl="7" w:tplc="04180019" w:tentative="1">
      <w:start w:val="1"/>
      <w:numFmt w:val="lowerLetter"/>
      <w:lvlText w:val="%8."/>
      <w:lvlJc w:val="left"/>
      <w:pPr>
        <w:ind w:left="7042" w:hanging="360"/>
      </w:pPr>
    </w:lvl>
    <w:lvl w:ilvl="8" w:tplc="0418001B" w:tentative="1">
      <w:start w:val="1"/>
      <w:numFmt w:val="lowerRoman"/>
      <w:lvlText w:val="%9."/>
      <w:lvlJc w:val="right"/>
      <w:pPr>
        <w:ind w:left="7762" w:hanging="180"/>
      </w:pPr>
    </w:lvl>
  </w:abstractNum>
  <w:abstractNum w:abstractNumId="52" w15:restartNumberingAfterBreak="0">
    <w:nsid w:val="4D493748"/>
    <w:multiLevelType w:val="hybridMultilevel"/>
    <w:tmpl w:val="4BDEF3EE"/>
    <w:lvl w:ilvl="0" w:tplc="2D5CAD5E">
      <w:start w:val="1"/>
      <w:numFmt w:val="decimal"/>
      <w:lvlText w:val="%1."/>
      <w:lvlJc w:val="left"/>
      <w:pPr>
        <w:ind w:left="548" w:hanging="428"/>
      </w:pPr>
      <w:rPr>
        <w:rFonts w:ascii="Times New Roman" w:eastAsia="Times New Roman" w:hAnsi="Times New Roman" w:cs="Times New Roman" w:hint="default"/>
        <w:w w:val="100"/>
        <w:sz w:val="22"/>
        <w:szCs w:val="22"/>
      </w:rPr>
    </w:lvl>
    <w:lvl w:ilvl="1" w:tplc="8A8A7B3C">
      <w:numFmt w:val="bullet"/>
      <w:lvlText w:val="•"/>
      <w:lvlJc w:val="left"/>
      <w:pPr>
        <w:ind w:left="1502" w:hanging="428"/>
      </w:pPr>
      <w:rPr>
        <w:rFonts w:hint="default"/>
      </w:rPr>
    </w:lvl>
    <w:lvl w:ilvl="2" w:tplc="0F22DD36">
      <w:numFmt w:val="bullet"/>
      <w:lvlText w:val="•"/>
      <w:lvlJc w:val="left"/>
      <w:pPr>
        <w:ind w:left="2464" w:hanging="428"/>
      </w:pPr>
      <w:rPr>
        <w:rFonts w:hint="default"/>
      </w:rPr>
    </w:lvl>
    <w:lvl w:ilvl="3" w:tplc="F8BE5C70">
      <w:numFmt w:val="bullet"/>
      <w:lvlText w:val="•"/>
      <w:lvlJc w:val="left"/>
      <w:pPr>
        <w:ind w:left="3426" w:hanging="428"/>
      </w:pPr>
      <w:rPr>
        <w:rFonts w:hint="default"/>
      </w:rPr>
    </w:lvl>
    <w:lvl w:ilvl="4" w:tplc="A968A292">
      <w:numFmt w:val="bullet"/>
      <w:lvlText w:val="•"/>
      <w:lvlJc w:val="left"/>
      <w:pPr>
        <w:ind w:left="4388" w:hanging="428"/>
      </w:pPr>
      <w:rPr>
        <w:rFonts w:hint="default"/>
      </w:rPr>
    </w:lvl>
    <w:lvl w:ilvl="5" w:tplc="4D6C8302">
      <w:numFmt w:val="bullet"/>
      <w:lvlText w:val="•"/>
      <w:lvlJc w:val="left"/>
      <w:pPr>
        <w:ind w:left="5350" w:hanging="428"/>
      </w:pPr>
      <w:rPr>
        <w:rFonts w:hint="default"/>
      </w:rPr>
    </w:lvl>
    <w:lvl w:ilvl="6" w:tplc="6CC4350A">
      <w:numFmt w:val="bullet"/>
      <w:lvlText w:val="•"/>
      <w:lvlJc w:val="left"/>
      <w:pPr>
        <w:ind w:left="6312" w:hanging="428"/>
      </w:pPr>
      <w:rPr>
        <w:rFonts w:hint="default"/>
      </w:rPr>
    </w:lvl>
    <w:lvl w:ilvl="7" w:tplc="2CAACFCA">
      <w:numFmt w:val="bullet"/>
      <w:lvlText w:val="•"/>
      <w:lvlJc w:val="left"/>
      <w:pPr>
        <w:ind w:left="7274" w:hanging="428"/>
      </w:pPr>
      <w:rPr>
        <w:rFonts w:hint="default"/>
      </w:rPr>
    </w:lvl>
    <w:lvl w:ilvl="8" w:tplc="223CDD06">
      <w:numFmt w:val="bullet"/>
      <w:lvlText w:val="•"/>
      <w:lvlJc w:val="left"/>
      <w:pPr>
        <w:ind w:left="8236" w:hanging="428"/>
      </w:pPr>
      <w:rPr>
        <w:rFonts w:hint="default"/>
      </w:rPr>
    </w:lvl>
  </w:abstractNum>
  <w:abstractNum w:abstractNumId="53" w15:restartNumberingAfterBreak="0">
    <w:nsid w:val="4E2B0980"/>
    <w:multiLevelType w:val="hybridMultilevel"/>
    <w:tmpl w:val="5E22CB40"/>
    <w:lvl w:ilvl="0" w:tplc="D72AFC02">
      <w:start w:val="1"/>
      <w:numFmt w:val="decimal"/>
      <w:lvlText w:val="%1."/>
      <w:lvlJc w:val="left"/>
      <w:pPr>
        <w:ind w:left="1282" w:hanging="428"/>
      </w:pPr>
      <w:rPr>
        <w:rFonts w:ascii="Times New Roman" w:eastAsia="Times New Roman" w:hAnsi="Times New Roman" w:cs="Times New Roman" w:hint="default"/>
        <w:w w:val="100"/>
        <w:sz w:val="22"/>
        <w:szCs w:val="22"/>
      </w:rPr>
    </w:lvl>
    <w:lvl w:ilvl="1" w:tplc="88083C74">
      <w:numFmt w:val="bullet"/>
      <w:lvlText w:val="•"/>
      <w:lvlJc w:val="left"/>
      <w:pPr>
        <w:ind w:left="2236" w:hanging="428"/>
      </w:pPr>
      <w:rPr>
        <w:rFonts w:hint="default"/>
      </w:rPr>
    </w:lvl>
    <w:lvl w:ilvl="2" w:tplc="B8FC4BD8">
      <w:numFmt w:val="bullet"/>
      <w:lvlText w:val="•"/>
      <w:lvlJc w:val="left"/>
      <w:pPr>
        <w:ind w:left="3198" w:hanging="428"/>
      </w:pPr>
      <w:rPr>
        <w:rFonts w:hint="default"/>
      </w:rPr>
    </w:lvl>
    <w:lvl w:ilvl="3" w:tplc="29529612">
      <w:numFmt w:val="bullet"/>
      <w:lvlText w:val="•"/>
      <w:lvlJc w:val="left"/>
      <w:pPr>
        <w:ind w:left="4160" w:hanging="428"/>
      </w:pPr>
      <w:rPr>
        <w:rFonts w:hint="default"/>
      </w:rPr>
    </w:lvl>
    <w:lvl w:ilvl="4" w:tplc="A860ED32">
      <w:numFmt w:val="bullet"/>
      <w:lvlText w:val="•"/>
      <w:lvlJc w:val="left"/>
      <w:pPr>
        <w:ind w:left="5122" w:hanging="428"/>
      </w:pPr>
      <w:rPr>
        <w:rFonts w:hint="default"/>
      </w:rPr>
    </w:lvl>
    <w:lvl w:ilvl="5" w:tplc="19E01C16">
      <w:numFmt w:val="bullet"/>
      <w:lvlText w:val="•"/>
      <w:lvlJc w:val="left"/>
      <w:pPr>
        <w:ind w:left="6084" w:hanging="428"/>
      </w:pPr>
      <w:rPr>
        <w:rFonts w:hint="default"/>
      </w:rPr>
    </w:lvl>
    <w:lvl w:ilvl="6" w:tplc="D05E3F0E">
      <w:numFmt w:val="bullet"/>
      <w:lvlText w:val="•"/>
      <w:lvlJc w:val="left"/>
      <w:pPr>
        <w:ind w:left="7046" w:hanging="428"/>
      </w:pPr>
      <w:rPr>
        <w:rFonts w:hint="default"/>
      </w:rPr>
    </w:lvl>
    <w:lvl w:ilvl="7" w:tplc="5E323718">
      <w:numFmt w:val="bullet"/>
      <w:lvlText w:val="•"/>
      <w:lvlJc w:val="left"/>
      <w:pPr>
        <w:ind w:left="8008" w:hanging="428"/>
      </w:pPr>
      <w:rPr>
        <w:rFonts w:hint="default"/>
      </w:rPr>
    </w:lvl>
    <w:lvl w:ilvl="8" w:tplc="0C686836">
      <w:numFmt w:val="bullet"/>
      <w:lvlText w:val="•"/>
      <w:lvlJc w:val="left"/>
      <w:pPr>
        <w:ind w:left="8970" w:hanging="428"/>
      </w:pPr>
      <w:rPr>
        <w:rFonts w:hint="default"/>
      </w:rPr>
    </w:lvl>
  </w:abstractNum>
  <w:abstractNum w:abstractNumId="54" w15:restartNumberingAfterBreak="0">
    <w:nsid w:val="4E474D40"/>
    <w:multiLevelType w:val="hybridMultilevel"/>
    <w:tmpl w:val="8E5287F6"/>
    <w:lvl w:ilvl="0" w:tplc="04130001">
      <w:start w:val="1"/>
      <w:numFmt w:val="bullet"/>
      <w:lvlText w:val=""/>
      <w:lvlJc w:val="left"/>
      <w:pPr>
        <w:ind w:left="862" w:hanging="360"/>
      </w:pPr>
      <w:rPr>
        <w:rFonts w:ascii="Symbol" w:hAnsi="Symbol" w:hint="default"/>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55" w15:restartNumberingAfterBreak="0">
    <w:nsid w:val="4F0707B0"/>
    <w:multiLevelType w:val="hybridMultilevel"/>
    <w:tmpl w:val="196237CA"/>
    <w:lvl w:ilvl="0" w:tplc="1E18074E">
      <w:start w:val="7"/>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4F3C7231"/>
    <w:multiLevelType w:val="hybridMultilevel"/>
    <w:tmpl w:val="C79E9128"/>
    <w:lvl w:ilvl="0" w:tplc="DFE6169E">
      <w:start w:val="1"/>
      <w:numFmt w:val="decimal"/>
      <w:lvlText w:val="(%1)"/>
      <w:lvlJc w:val="left"/>
      <w:pPr>
        <w:ind w:left="548" w:hanging="428"/>
      </w:pPr>
      <w:rPr>
        <w:rFonts w:ascii="Times New Roman" w:eastAsia="Times New Roman" w:hAnsi="Times New Roman" w:cs="Times New Roman" w:hint="default"/>
        <w:w w:val="100"/>
        <w:sz w:val="22"/>
        <w:szCs w:val="22"/>
      </w:rPr>
    </w:lvl>
    <w:lvl w:ilvl="1" w:tplc="0450BE5C">
      <w:numFmt w:val="bullet"/>
      <w:lvlText w:val="•"/>
      <w:lvlJc w:val="left"/>
      <w:pPr>
        <w:ind w:left="1502" w:hanging="428"/>
      </w:pPr>
      <w:rPr>
        <w:rFonts w:hint="default"/>
      </w:rPr>
    </w:lvl>
    <w:lvl w:ilvl="2" w:tplc="46162DE0">
      <w:numFmt w:val="bullet"/>
      <w:lvlText w:val="•"/>
      <w:lvlJc w:val="left"/>
      <w:pPr>
        <w:ind w:left="2464" w:hanging="428"/>
      </w:pPr>
      <w:rPr>
        <w:rFonts w:hint="default"/>
      </w:rPr>
    </w:lvl>
    <w:lvl w:ilvl="3" w:tplc="6866ACB8">
      <w:numFmt w:val="bullet"/>
      <w:lvlText w:val="•"/>
      <w:lvlJc w:val="left"/>
      <w:pPr>
        <w:ind w:left="3426" w:hanging="428"/>
      </w:pPr>
      <w:rPr>
        <w:rFonts w:hint="default"/>
      </w:rPr>
    </w:lvl>
    <w:lvl w:ilvl="4" w:tplc="8D128576">
      <w:numFmt w:val="bullet"/>
      <w:lvlText w:val="•"/>
      <w:lvlJc w:val="left"/>
      <w:pPr>
        <w:ind w:left="4388" w:hanging="428"/>
      </w:pPr>
      <w:rPr>
        <w:rFonts w:hint="default"/>
      </w:rPr>
    </w:lvl>
    <w:lvl w:ilvl="5" w:tplc="7772DAB8">
      <w:numFmt w:val="bullet"/>
      <w:lvlText w:val="•"/>
      <w:lvlJc w:val="left"/>
      <w:pPr>
        <w:ind w:left="5350" w:hanging="428"/>
      </w:pPr>
      <w:rPr>
        <w:rFonts w:hint="default"/>
      </w:rPr>
    </w:lvl>
    <w:lvl w:ilvl="6" w:tplc="8342D8E2">
      <w:numFmt w:val="bullet"/>
      <w:lvlText w:val="•"/>
      <w:lvlJc w:val="left"/>
      <w:pPr>
        <w:ind w:left="6312" w:hanging="428"/>
      </w:pPr>
      <w:rPr>
        <w:rFonts w:hint="default"/>
      </w:rPr>
    </w:lvl>
    <w:lvl w:ilvl="7" w:tplc="D33E9FF4">
      <w:numFmt w:val="bullet"/>
      <w:lvlText w:val="•"/>
      <w:lvlJc w:val="left"/>
      <w:pPr>
        <w:ind w:left="7274" w:hanging="428"/>
      </w:pPr>
      <w:rPr>
        <w:rFonts w:hint="default"/>
      </w:rPr>
    </w:lvl>
    <w:lvl w:ilvl="8" w:tplc="01206A08">
      <w:numFmt w:val="bullet"/>
      <w:lvlText w:val="•"/>
      <w:lvlJc w:val="left"/>
      <w:pPr>
        <w:ind w:left="8236" w:hanging="428"/>
      </w:pPr>
      <w:rPr>
        <w:rFonts w:hint="default"/>
      </w:rPr>
    </w:lvl>
  </w:abstractNum>
  <w:abstractNum w:abstractNumId="57" w15:restartNumberingAfterBreak="0">
    <w:nsid w:val="51FA22E4"/>
    <w:multiLevelType w:val="hybridMultilevel"/>
    <w:tmpl w:val="9D0EAD6E"/>
    <w:lvl w:ilvl="0" w:tplc="DFE6169E">
      <w:start w:val="1"/>
      <w:numFmt w:val="decimal"/>
      <w:lvlText w:val="(%1)"/>
      <w:lvlJc w:val="left"/>
      <w:pPr>
        <w:ind w:left="1184" w:hanging="360"/>
      </w:pPr>
      <w:rPr>
        <w:rFonts w:ascii="Times New Roman" w:eastAsia="Times New Roman" w:hAnsi="Times New Roman" w:cs="Times New Roman" w:hint="default"/>
        <w:w w:val="100"/>
        <w:sz w:val="22"/>
        <w:szCs w:val="22"/>
      </w:rPr>
    </w:lvl>
    <w:lvl w:ilvl="1" w:tplc="04180019" w:tentative="1">
      <w:start w:val="1"/>
      <w:numFmt w:val="lowerLetter"/>
      <w:lvlText w:val="%2."/>
      <w:lvlJc w:val="left"/>
      <w:pPr>
        <w:ind w:left="1904" w:hanging="360"/>
      </w:pPr>
    </w:lvl>
    <w:lvl w:ilvl="2" w:tplc="0418001B" w:tentative="1">
      <w:start w:val="1"/>
      <w:numFmt w:val="lowerRoman"/>
      <w:lvlText w:val="%3."/>
      <w:lvlJc w:val="right"/>
      <w:pPr>
        <w:ind w:left="2624" w:hanging="180"/>
      </w:pPr>
    </w:lvl>
    <w:lvl w:ilvl="3" w:tplc="0418000F" w:tentative="1">
      <w:start w:val="1"/>
      <w:numFmt w:val="decimal"/>
      <w:lvlText w:val="%4."/>
      <w:lvlJc w:val="left"/>
      <w:pPr>
        <w:ind w:left="3344" w:hanging="360"/>
      </w:pPr>
    </w:lvl>
    <w:lvl w:ilvl="4" w:tplc="04180019" w:tentative="1">
      <w:start w:val="1"/>
      <w:numFmt w:val="lowerLetter"/>
      <w:lvlText w:val="%5."/>
      <w:lvlJc w:val="left"/>
      <w:pPr>
        <w:ind w:left="4064" w:hanging="360"/>
      </w:pPr>
    </w:lvl>
    <w:lvl w:ilvl="5" w:tplc="0418001B" w:tentative="1">
      <w:start w:val="1"/>
      <w:numFmt w:val="lowerRoman"/>
      <w:lvlText w:val="%6."/>
      <w:lvlJc w:val="right"/>
      <w:pPr>
        <w:ind w:left="4784" w:hanging="180"/>
      </w:pPr>
    </w:lvl>
    <w:lvl w:ilvl="6" w:tplc="0418000F" w:tentative="1">
      <w:start w:val="1"/>
      <w:numFmt w:val="decimal"/>
      <w:lvlText w:val="%7."/>
      <w:lvlJc w:val="left"/>
      <w:pPr>
        <w:ind w:left="5504" w:hanging="360"/>
      </w:pPr>
    </w:lvl>
    <w:lvl w:ilvl="7" w:tplc="04180019" w:tentative="1">
      <w:start w:val="1"/>
      <w:numFmt w:val="lowerLetter"/>
      <w:lvlText w:val="%8."/>
      <w:lvlJc w:val="left"/>
      <w:pPr>
        <w:ind w:left="6224" w:hanging="360"/>
      </w:pPr>
    </w:lvl>
    <w:lvl w:ilvl="8" w:tplc="0418001B" w:tentative="1">
      <w:start w:val="1"/>
      <w:numFmt w:val="lowerRoman"/>
      <w:lvlText w:val="%9."/>
      <w:lvlJc w:val="right"/>
      <w:pPr>
        <w:ind w:left="6944" w:hanging="180"/>
      </w:pPr>
    </w:lvl>
  </w:abstractNum>
  <w:abstractNum w:abstractNumId="58" w15:restartNumberingAfterBreak="0">
    <w:nsid w:val="52CB0E72"/>
    <w:multiLevelType w:val="hybridMultilevel"/>
    <w:tmpl w:val="092E9A9C"/>
    <w:lvl w:ilvl="0" w:tplc="DFE6169E">
      <w:start w:val="1"/>
      <w:numFmt w:val="decimal"/>
      <w:lvlText w:val="(%1)"/>
      <w:lvlJc w:val="left"/>
      <w:pPr>
        <w:ind w:left="840" w:hanging="720"/>
      </w:pPr>
      <w:rPr>
        <w:rFonts w:ascii="Times New Roman" w:eastAsia="Times New Roman" w:hAnsi="Times New Roman" w:cs="Times New Roman" w:hint="default"/>
        <w:w w:val="100"/>
        <w:sz w:val="22"/>
        <w:szCs w:val="22"/>
      </w:rPr>
    </w:lvl>
    <w:lvl w:ilvl="1" w:tplc="0409000F">
      <w:start w:val="1"/>
      <w:numFmt w:val="decimal"/>
      <w:lvlText w:val="%2."/>
      <w:lvlJc w:val="left"/>
      <w:pPr>
        <w:ind w:left="1560" w:hanging="360"/>
      </w:pPr>
      <w:rPr>
        <w:rFonts w:hint="default"/>
        <w:w w:val="100"/>
        <w:sz w:val="22"/>
        <w:szCs w:val="22"/>
      </w:rPr>
    </w:lvl>
    <w:lvl w:ilvl="2" w:tplc="205CCC8C">
      <w:numFmt w:val="bullet"/>
      <w:lvlText w:val="•"/>
      <w:lvlJc w:val="left"/>
      <w:pPr>
        <w:ind w:left="2515" w:hanging="360"/>
      </w:pPr>
      <w:rPr>
        <w:rFonts w:hint="default"/>
      </w:rPr>
    </w:lvl>
    <w:lvl w:ilvl="3" w:tplc="9DA8E016">
      <w:numFmt w:val="bullet"/>
      <w:lvlText w:val="•"/>
      <w:lvlJc w:val="left"/>
      <w:pPr>
        <w:ind w:left="3471" w:hanging="360"/>
      </w:pPr>
      <w:rPr>
        <w:rFonts w:hint="default"/>
      </w:rPr>
    </w:lvl>
    <w:lvl w:ilvl="4" w:tplc="2AE06004">
      <w:numFmt w:val="bullet"/>
      <w:lvlText w:val="•"/>
      <w:lvlJc w:val="left"/>
      <w:pPr>
        <w:ind w:left="4426" w:hanging="360"/>
      </w:pPr>
      <w:rPr>
        <w:rFonts w:hint="default"/>
      </w:rPr>
    </w:lvl>
    <w:lvl w:ilvl="5" w:tplc="EC760BCC">
      <w:numFmt w:val="bullet"/>
      <w:lvlText w:val="•"/>
      <w:lvlJc w:val="left"/>
      <w:pPr>
        <w:ind w:left="5382" w:hanging="360"/>
      </w:pPr>
      <w:rPr>
        <w:rFonts w:hint="default"/>
      </w:rPr>
    </w:lvl>
    <w:lvl w:ilvl="6" w:tplc="1206C684">
      <w:numFmt w:val="bullet"/>
      <w:lvlText w:val="•"/>
      <w:lvlJc w:val="left"/>
      <w:pPr>
        <w:ind w:left="6337" w:hanging="360"/>
      </w:pPr>
      <w:rPr>
        <w:rFonts w:hint="default"/>
      </w:rPr>
    </w:lvl>
    <w:lvl w:ilvl="7" w:tplc="39467F16">
      <w:numFmt w:val="bullet"/>
      <w:lvlText w:val="•"/>
      <w:lvlJc w:val="left"/>
      <w:pPr>
        <w:ind w:left="7293" w:hanging="360"/>
      </w:pPr>
      <w:rPr>
        <w:rFonts w:hint="default"/>
      </w:rPr>
    </w:lvl>
    <w:lvl w:ilvl="8" w:tplc="0E042CD4">
      <w:numFmt w:val="bullet"/>
      <w:lvlText w:val="•"/>
      <w:lvlJc w:val="left"/>
      <w:pPr>
        <w:ind w:left="8248" w:hanging="360"/>
      </w:pPr>
      <w:rPr>
        <w:rFonts w:hint="default"/>
      </w:rPr>
    </w:lvl>
  </w:abstractNum>
  <w:abstractNum w:abstractNumId="59" w15:restartNumberingAfterBreak="0">
    <w:nsid w:val="531C20DE"/>
    <w:multiLevelType w:val="hybridMultilevel"/>
    <w:tmpl w:val="89BEA5EC"/>
    <w:lvl w:ilvl="0" w:tplc="DFE6169E">
      <w:start w:val="1"/>
      <w:numFmt w:val="decimal"/>
      <w:lvlText w:val="(%1)"/>
      <w:lvlJc w:val="left"/>
      <w:pPr>
        <w:ind w:left="428" w:hanging="428"/>
      </w:pPr>
      <w:rPr>
        <w:rFonts w:ascii="Times New Roman" w:eastAsia="Times New Roman" w:hAnsi="Times New Roman" w:cs="Times New Roman" w:hint="default"/>
        <w:w w:val="100"/>
        <w:sz w:val="22"/>
        <w:szCs w:val="22"/>
      </w:rPr>
    </w:lvl>
    <w:lvl w:ilvl="1" w:tplc="D8024072">
      <w:numFmt w:val="bullet"/>
      <w:lvlText w:val="•"/>
      <w:lvlJc w:val="left"/>
      <w:pPr>
        <w:ind w:left="1382" w:hanging="428"/>
      </w:pPr>
      <w:rPr>
        <w:rFonts w:hint="default"/>
      </w:rPr>
    </w:lvl>
    <w:lvl w:ilvl="2" w:tplc="A588F67A">
      <w:numFmt w:val="bullet"/>
      <w:lvlText w:val="•"/>
      <w:lvlJc w:val="left"/>
      <w:pPr>
        <w:ind w:left="2344" w:hanging="428"/>
      </w:pPr>
      <w:rPr>
        <w:rFonts w:hint="default"/>
      </w:rPr>
    </w:lvl>
    <w:lvl w:ilvl="3" w:tplc="686458B8">
      <w:numFmt w:val="bullet"/>
      <w:lvlText w:val="•"/>
      <w:lvlJc w:val="left"/>
      <w:pPr>
        <w:ind w:left="3306" w:hanging="428"/>
      </w:pPr>
      <w:rPr>
        <w:rFonts w:hint="default"/>
      </w:rPr>
    </w:lvl>
    <w:lvl w:ilvl="4" w:tplc="EBE661BC">
      <w:numFmt w:val="bullet"/>
      <w:lvlText w:val="•"/>
      <w:lvlJc w:val="left"/>
      <w:pPr>
        <w:ind w:left="4268" w:hanging="428"/>
      </w:pPr>
      <w:rPr>
        <w:rFonts w:hint="default"/>
      </w:rPr>
    </w:lvl>
    <w:lvl w:ilvl="5" w:tplc="03425990">
      <w:numFmt w:val="bullet"/>
      <w:lvlText w:val="•"/>
      <w:lvlJc w:val="left"/>
      <w:pPr>
        <w:ind w:left="5230" w:hanging="428"/>
      </w:pPr>
      <w:rPr>
        <w:rFonts w:hint="default"/>
      </w:rPr>
    </w:lvl>
    <w:lvl w:ilvl="6" w:tplc="5B400552">
      <w:numFmt w:val="bullet"/>
      <w:lvlText w:val="•"/>
      <w:lvlJc w:val="left"/>
      <w:pPr>
        <w:ind w:left="6192" w:hanging="428"/>
      </w:pPr>
      <w:rPr>
        <w:rFonts w:hint="default"/>
      </w:rPr>
    </w:lvl>
    <w:lvl w:ilvl="7" w:tplc="912CECFC">
      <w:numFmt w:val="bullet"/>
      <w:lvlText w:val="•"/>
      <w:lvlJc w:val="left"/>
      <w:pPr>
        <w:ind w:left="7154" w:hanging="428"/>
      </w:pPr>
      <w:rPr>
        <w:rFonts w:hint="default"/>
      </w:rPr>
    </w:lvl>
    <w:lvl w:ilvl="8" w:tplc="45623984">
      <w:numFmt w:val="bullet"/>
      <w:lvlText w:val="•"/>
      <w:lvlJc w:val="left"/>
      <w:pPr>
        <w:ind w:left="8116" w:hanging="428"/>
      </w:pPr>
      <w:rPr>
        <w:rFonts w:hint="default"/>
      </w:rPr>
    </w:lvl>
  </w:abstractNum>
  <w:abstractNum w:abstractNumId="60" w15:restartNumberingAfterBreak="0">
    <w:nsid w:val="534004C3"/>
    <w:multiLevelType w:val="hybridMultilevel"/>
    <w:tmpl w:val="9A8EB70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53DB3FF0"/>
    <w:multiLevelType w:val="hybridMultilevel"/>
    <w:tmpl w:val="97F88584"/>
    <w:lvl w:ilvl="0" w:tplc="DFE6169E">
      <w:start w:val="1"/>
      <w:numFmt w:val="decimal"/>
      <w:lvlText w:val="(%1)"/>
      <w:lvlJc w:val="left"/>
      <w:pPr>
        <w:ind w:left="548" w:hanging="428"/>
      </w:pPr>
      <w:rPr>
        <w:rFonts w:ascii="Times New Roman" w:eastAsia="Times New Roman" w:hAnsi="Times New Roman" w:cs="Times New Roman" w:hint="default"/>
        <w:w w:val="100"/>
        <w:sz w:val="22"/>
        <w:szCs w:val="22"/>
      </w:rPr>
    </w:lvl>
    <w:lvl w:ilvl="1" w:tplc="36A0018C">
      <w:numFmt w:val="bullet"/>
      <w:lvlText w:val="•"/>
      <w:lvlJc w:val="left"/>
      <w:pPr>
        <w:ind w:left="1502" w:hanging="428"/>
      </w:pPr>
      <w:rPr>
        <w:rFonts w:hint="default"/>
      </w:rPr>
    </w:lvl>
    <w:lvl w:ilvl="2" w:tplc="A5706E18">
      <w:numFmt w:val="bullet"/>
      <w:lvlText w:val="•"/>
      <w:lvlJc w:val="left"/>
      <w:pPr>
        <w:ind w:left="2464" w:hanging="428"/>
      </w:pPr>
      <w:rPr>
        <w:rFonts w:hint="default"/>
      </w:rPr>
    </w:lvl>
    <w:lvl w:ilvl="3" w:tplc="0A4C52FC">
      <w:numFmt w:val="bullet"/>
      <w:lvlText w:val="•"/>
      <w:lvlJc w:val="left"/>
      <w:pPr>
        <w:ind w:left="3426" w:hanging="428"/>
      </w:pPr>
      <w:rPr>
        <w:rFonts w:hint="default"/>
      </w:rPr>
    </w:lvl>
    <w:lvl w:ilvl="4" w:tplc="1EC82D84">
      <w:numFmt w:val="bullet"/>
      <w:lvlText w:val="•"/>
      <w:lvlJc w:val="left"/>
      <w:pPr>
        <w:ind w:left="4388" w:hanging="428"/>
      </w:pPr>
      <w:rPr>
        <w:rFonts w:hint="default"/>
      </w:rPr>
    </w:lvl>
    <w:lvl w:ilvl="5" w:tplc="793A48B8">
      <w:numFmt w:val="bullet"/>
      <w:lvlText w:val="•"/>
      <w:lvlJc w:val="left"/>
      <w:pPr>
        <w:ind w:left="5350" w:hanging="428"/>
      </w:pPr>
      <w:rPr>
        <w:rFonts w:hint="default"/>
      </w:rPr>
    </w:lvl>
    <w:lvl w:ilvl="6" w:tplc="1A9071F0">
      <w:numFmt w:val="bullet"/>
      <w:lvlText w:val="•"/>
      <w:lvlJc w:val="left"/>
      <w:pPr>
        <w:ind w:left="6312" w:hanging="428"/>
      </w:pPr>
      <w:rPr>
        <w:rFonts w:hint="default"/>
      </w:rPr>
    </w:lvl>
    <w:lvl w:ilvl="7" w:tplc="6CAC59FE">
      <w:numFmt w:val="bullet"/>
      <w:lvlText w:val="•"/>
      <w:lvlJc w:val="left"/>
      <w:pPr>
        <w:ind w:left="7274" w:hanging="428"/>
      </w:pPr>
      <w:rPr>
        <w:rFonts w:hint="default"/>
      </w:rPr>
    </w:lvl>
    <w:lvl w:ilvl="8" w:tplc="FE8605E2">
      <w:numFmt w:val="bullet"/>
      <w:lvlText w:val="•"/>
      <w:lvlJc w:val="left"/>
      <w:pPr>
        <w:ind w:left="8236" w:hanging="428"/>
      </w:pPr>
      <w:rPr>
        <w:rFonts w:hint="default"/>
      </w:rPr>
    </w:lvl>
  </w:abstractNum>
  <w:abstractNum w:abstractNumId="62" w15:restartNumberingAfterBreak="0">
    <w:nsid w:val="56913460"/>
    <w:multiLevelType w:val="hybridMultilevel"/>
    <w:tmpl w:val="4BDEF3EE"/>
    <w:lvl w:ilvl="0" w:tplc="2D5CAD5E">
      <w:start w:val="1"/>
      <w:numFmt w:val="decimal"/>
      <w:lvlText w:val="%1."/>
      <w:lvlJc w:val="left"/>
      <w:pPr>
        <w:ind w:left="548" w:hanging="428"/>
      </w:pPr>
      <w:rPr>
        <w:rFonts w:ascii="Times New Roman" w:eastAsia="Times New Roman" w:hAnsi="Times New Roman" w:cs="Times New Roman" w:hint="default"/>
        <w:w w:val="100"/>
        <w:sz w:val="22"/>
        <w:szCs w:val="22"/>
      </w:rPr>
    </w:lvl>
    <w:lvl w:ilvl="1" w:tplc="8A8A7B3C">
      <w:numFmt w:val="bullet"/>
      <w:lvlText w:val="•"/>
      <w:lvlJc w:val="left"/>
      <w:pPr>
        <w:ind w:left="1502" w:hanging="428"/>
      </w:pPr>
      <w:rPr>
        <w:rFonts w:hint="default"/>
      </w:rPr>
    </w:lvl>
    <w:lvl w:ilvl="2" w:tplc="0F22DD36">
      <w:numFmt w:val="bullet"/>
      <w:lvlText w:val="•"/>
      <w:lvlJc w:val="left"/>
      <w:pPr>
        <w:ind w:left="2464" w:hanging="428"/>
      </w:pPr>
      <w:rPr>
        <w:rFonts w:hint="default"/>
      </w:rPr>
    </w:lvl>
    <w:lvl w:ilvl="3" w:tplc="F8BE5C70">
      <w:numFmt w:val="bullet"/>
      <w:lvlText w:val="•"/>
      <w:lvlJc w:val="left"/>
      <w:pPr>
        <w:ind w:left="3426" w:hanging="428"/>
      </w:pPr>
      <w:rPr>
        <w:rFonts w:hint="default"/>
      </w:rPr>
    </w:lvl>
    <w:lvl w:ilvl="4" w:tplc="A968A292">
      <w:numFmt w:val="bullet"/>
      <w:lvlText w:val="•"/>
      <w:lvlJc w:val="left"/>
      <w:pPr>
        <w:ind w:left="4388" w:hanging="428"/>
      </w:pPr>
      <w:rPr>
        <w:rFonts w:hint="default"/>
      </w:rPr>
    </w:lvl>
    <w:lvl w:ilvl="5" w:tplc="4D6C8302">
      <w:numFmt w:val="bullet"/>
      <w:lvlText w:val="•"/>
      <w:lvlJc w:val="left"/>
      <w:pPr>
        <w:ind w:left="5350" w:hanging="428"/>
      </w:pPr>
      <w:rPr>
        <w:rFonts w:hint="default"/>
      </w:rPr>
    </w:lvl>
    <w:lvl w:ilvl="6" w:tplc="6CC4350A">
      <w:numFmt w:val="bullet"/>
      <w:lvlText w:val="•"/>
      <w:lvlJc w:val="left"/>
      <w:pPr>
        <w:ind w:left="6312" w:hanging="428"/>
      </w:pPr>
      <w:rPr>
        <w:rFonts w:hint="default"/>
      </w:rPr>
    </w:lvl>
    <w:lvl w:ilvl="7" w:tplc="2CAACFCA">
      <w:numFmt w:val="bullet"/>
      <w:lvlText w:val="•"/>
      <w:lvlJc w:val="left"/>
      <w:pPr>
        <w:ind w:left="7274" w:hanging="428"/>
      </w:pPr>
      <w:rPr>
        <w:rFonts w:hint="default"/>
      </w:rPr>
    </w:lvl>
    <w:lvl w:ilvl="8" w:tplc="223CDD06">
      <w:numFmt w:val="bullet"/>
      <w:lvlText w:val="•"/>
      <w:lvlJc w:val="left"/>
      <w:pPr>
        <w:ind w:left="8236" w:hanging="428"/>
      </w:pPr>
      <w:rPr>
        <w:rFonts w:hint="default"/>
      </w:rPr>
    </w:lvl>
  </w:abstractNum>
  <w:abstractNum w:abstractNumId="63" w15:restartNumberingAfterBreak="0">
    <w:nsid w:val="58CD77DB"/>
    <w:multiLevelType w:val="hybridMultilevel"/>
    <w:tmpl w:val="B656B1E0"/>
    <w:lvl w:ilvl="0" w:tplc="04180019">
      <w:start w:val="1"/>
      <w:numFmt w:val="lowerLetter"/>
      <w:lvlText w:val="%1."/>
      <w:lvlJc w:val="left"/>
      <w:pPr>
        <w:ind w:left="1264" w:hanging="360"/>
      </w:pPr>
    </w:lvl>
    <w:lvl w:ilvl="1" w:tplc="04180019" w:tentative="1">
      <w:start w:val="1"/>
      <w:numFmt w:val="lowerLetter"/>
      <w:lvlText w:val="%2."/>
      <w:lvlJc w:val="left"/>
      <w:pPr>
        <w:ind w:left="1984" w:hanging="360"/>
      </w:pPr>
    </w:lvl>
    <w:lvl w:ilvl="2" w:tplc="0418001B" w:tentative="1">
      <w:start w:val="1"/>
      <w:numFmt w:val="lowerRoman"/>
      <w:lvlText w:val="%3."/>
      <w:lvlJc w:val="right"/>
      <w:pPr>
        <w:ind w:left="2704" w:hanging="180"/>
      </w:pPr>
    </w:lvl>
    <w:lvl w:ilvl="3" w:tplc="0418000F" w:tentative="1">
      <w:start w:val="1"/>
      <w:numFmt w:val="decimal"/>
      <w:lvlText w:val="%4."/>
      <w:lvlJc w:val="left"/>
      <w:pPr>
        <w:ind w:left="3424" w:hanging="360"/>
      </w:pPr>
    </w:lvl>
    <w:lvl w:ilvl="4" w:tplc="04180019" w:tentative="1">
      <w:start w:val="1"/>
      <w:numFmt w:val="lowerLetter"/>
      <w:lvlText w:val="%5."/>
      <w:lvlJc w:val="left"/>
      <w:pPr>
        <w:ind w:left="4144" w:hanging="360"/>
      </w:pPr>
    </w:lvl>
    <w:lvl w:ilvl="5" w:tplc="0418001B" w:tentative="1">
      <w:start w:val="1"/>
      <w:numFmt w:val="lowerRoman"/>
      <w:lvlText w:val="%6."/>
      <w:lvlJc w:val="right"/>
      <w:pPr>
        <w:ind w:left="4864" w:hanging="180"/>
      </w:pPr>
    </w:lvl>
    <w:lvl w:ilvl="6" w:tplc="0418000F" w:tentative="1">
      <w:start w:val="1"/>
      <w:numFmt w:val="decimal"/>
      <w:lvlText w:val="%7."/>
      <w:lvlJc w:val="left"/>
      <w:pPr>
        <w:ind w:left="5584" w:hanging="360"/>
      </w:pPr>
    </w:lvl>
    <w:lvl w:ilvl="7" w:tplc="04180019" w:tentative="1">
      <w:start w:val="1"/>
      <w:numFmt w:val="lowerLetter"/>
      <w:lvlText w:val="%8."/>
      <w:lvlJc w:val="left"/>
      <w:pPr>
        <w:ind w:left="6304" w:hanging="360"/>
      </w:pPr>
    </w:lvl>
    <w:lvl w:ilvl="8" w:tplc="0418001B" w:tentative="1">
      <w:start w:val="1"/>
      <w:numFmt w:val="lowerRoman"/>
      <w:lvlText w:val="%9."/>
      <w:lvlJc w:val="right"/>
      <w:pPr>
        <w:ind w:left="7024" w:hanging="180"/>
      </w:pPr>
    </w:lvl>
  </w:abstractNum>
  <w:abstractNum w:abstractNumId="64" w15:restartNumberingAfterBreak="0">
    <w:nsid w:val="5972369C"/>
    <w:multiLevelType w:val="hybridMultilevel"/>
    <w:tmpl w:val="738C353C"/>
    <w:lvl w:ilvl="0" w:tplc="04130019">
      <w:start w:val="1"/>
      <w:numFmt w:val="lowerLetter"/>
      <w:lvlText w:val="%1."/>
      <w:lvlJc w:val="left"/>
      <w:pPr>
        <w:ind w:left="2002" w:hanging="360"/>
      </w:pPr>
    </w:lvl>
    <w:lvl w:ilvl="1" w:tplc="04180019" w:tentative="1">
      <w:start w:val="1"/>
      <w:numFmt w:val="lowerLetter"/>
      <w:lvlText w:val="%2."/>
      <w:lvlJc w:val="left"/>
      <w:pPr>
        <w:ind w:left="2722" w:hanging="360"/>
      </w:pPr>
    </w:lvl>
    <w:lvl w:ilvl="2" w:tplc="0418001B" w:tentative="1">
      <w:start w:val="1"/>
      <w:numFmt w:val="lowerRoman"/>
      <w:lvlText w:val="%3."/>
      <w:lvlJc w:val="right"/>
      <w:pPr>
        <w:ind w:left="3442" w:hanging="180"/>
      </w:pPr>
    </w:lvl>
    <w:lvl w:ilvl="3" w:tplc="0418000F" w:tentative="1">
      <w:start w:val="1"/>
      <w:numFmt w:val="decimal"/>
      <w:lvlText w:val="%4."/>
      <w:lvlJc w:val="left"/>
      <w:pPr>
        <w:ind w:left="4162" w:hanging="360"/>
      </w:pPr>
    </w:lvl>
    <w:lvl w:ilvl="4" w:tplc="04180019" w:tentative="1">
      <w:start w:val="1"/>
      <w:numFmt w:val="lowerLetter"/>
      <w:lvlText w:val="%5."/>
      <w:lvlJc w:val="left"/>
      <w:pPr>
        <w:ind w:left="4882" w:hanging="360"/>
      </w:pPr>
    </w:lvl>
    <w:lvl w:ilvl="5" w:tplc="0418001B" w:tentative="1">
      <w:start w:val="1"/>
      <w:numFmt w:val="lowerRoman"/>
      <w:lvlText w:val="%6."/>
      <w:lvlJc w:val="right"/>
      <w:pPr>
        <w:ind w:left="5602" w:hanging="180"/>
      </w:pPr>
    </w:lvl>
    <w:lvl w:ilvl="6" w:tplc="0418000F" w:tentative="1">
      <w:start w:val="1"/>
      <w:numFmt w:val="decimal"/>
      <w:lvlText w:val="%7."/>
      <w:lvlJc w:val="left"/>
      <w:pPr>
        <w:ind w:left="6322" w:hanging="360"/>
      </w:pPr>
    </w:lvl>
    <w:lvl w:ilvl="7" w:tplc="04180019" w:tentative="1">
      <w:start w:val="1"/>
      <w:numFmt w:val="lowerLetter"/>
      <w:lvlText w:val="%8."/>
      <w:lvlJc w:val="left"/>
      <w:pPr>
        <w:ind w:left="7042" w:hanging="360"/>
      </w:pPr>
    </w:lvl>
    <w:lvl w:ilvl="8" w:tplc="0418001B" w:tentative="1">
      <w:start w:val="1"/>
      <w:numFmt w:val="lowerRoman"/>
      <w:lvlText w:val="%9."/>
      <w:lvlJc w:val="right"/>
      <w:pPr>
        <w:ind w:left="7762" w:hanging="180"/>
      </w:pPr>
    </w:lvl>
  </w:abstractNum>
  <w:abstractNum w:abstractNumId="65" w15:restartNumberingAfterBreak="0">
    <w:nsid w:val="5A540F38"/>
    <w:multiLevelType w:val="hybridMultilevel"/>
    <w:tmpl w:val="C616B37C"/>
    <w:lvl w:ilvl="0" w:tplc="2D5CAD5E">
      <w:start w:val="1"/>
      <w:numFmt w:val="decimal"/>
      <w:lvlText w:val="%1."/>
      <w:lvlJc w:val="left"/>
      <w:pPr>
        <w:ind w:left="548" w:hanging="428"/>
      </w:pPr>
      <w:rPr>
        <w:rFonts w:ascii="Times New Roman" w:eastAsia="Times New Roman" w:hAnsi="Times New Roman" w:cs="Times New Roman" w:hint="default"/>
        <w:w w:val="100"/>
        <w:sz w:val="22"/>
        <w:szCs w:val="22"/>
      </w:rPr>
    </w:lvl>
    <w:lvl w:ilvl="1" w:tplc="8A8A7B3C">
      <w:numFmt w:val="bullet"/>
      <w:lvlText w:val="•"/>
      <w:lvlJc w:val="left"/>
      <w:pPr>
        <w:ind w:left="1502" w:hanging="428"/>
      </w:pPr>
      <w:rPr>
        <w:rFonts w:hint="default"/>
      </w:rPr>
    </w:lvl>
    <w:lvl w:ilvl="2" w:tplc="0F22DD36">
      <w:numFmt w:val="bullet"/>
      <w:lvlText w:val="•"/>
      <w:lvlJc w:val="left"/>
      <w:pPr>
        <w:ind w:left="2464" w:hanging="428"/>
      </w:pPr>
      <w:rPr>
        <w:rFonts w:hint="default"/>
      </w:rPr>
    </w:lvl>
    <w:lvl w:ilvl="3" w:tplc="F8BE5C70">
      <w:numFmt w:val="bullet"/>
      <w:lvlText w:val="•"/>
      <w:lvlJc w:val="left"/>
      <w:pPr>
        <w:ind w:left="3426" w:hanging="428"/>
      </w:pPr>
      <w:rPr>
        <w:rFonts w:hint="default"/>
      </w:rPr>
    </w:lvl>
    <w:lvl w:ilvl="4" w:tplc="A968A292">
      <w:numFmt w:val="bullet"/>
      <w:lvlText w:val="•"/>
      <w:lvlJc w:val="left"/>
      <w:pPr>
        <w:ind w:left="4388" w:hanging="428"/>
      </w:pPr>
      <w:rPr>
        <w:rFonts w:hint="default"/>
      </w:rPr>
    </w:lvl>
    <w:lvl w:ilvl="5" w:tplc="4D6C8302">
      <w:numFmt w:val="bullet"/>
      <w:lvlText w:val="•"/>
      <w:lvlJc w:val="left"/>
      <w:pPr>
        <w:ind w:left="5350" w:hanging="428"/>
      </w:pPr>
      <w:rPr>
        <w:rFonts w:hint="default"/>
      </w:rPr>
    </w:lvl>
    <w:lvl w:ilvl="6" w:tplc="6CC4350A">
      <w:numFmt w:val="bullet"/>
      <w:lvlText w:val="•"/>
      <w:lvlJc w:val="left"/>
      <w:pPr>
        <w:ind w:left="6312" w:hanging="428"/>
      </w:pPr>
      <w:rPr>
        <w:rFonts w:hint="default"/>
      </w:rPr>
    </w:lvl>
    <w:lvl w:ilvl="7" w:tplc="2CAACFCA">
      <w:numFmt w:val="bullet"/>
      <w:lvlText w:val="•"/>
      <w:lvlJc w:val="left"/>
      <w:pPr>
        <w:ind w:left="7274" w:hanging="428"/>
      </w:pPr>
      <w:rPr>
        <w:rFonts w:hint="default"/>
      </w:rPr>
    </w:lvl>
    <w:lvl w:ilvl="8" w:tplc="223CDD06">
      <w:numFmt w:val="bullet"/>
      <w:lvlText w:val="•"/>
      <w:lvlJc w:val="left"/>
      <w:pPr>
        <w:ind w:left="8236" w:hanging="428"/>
      </w:pPr>
      <w:rPr>
        <w:rFonts w:hint="default"/>
      </w:rPr>
    </w:lvl>
  </w:abstractNum>
  <w:abstractNum w:abstractNumId="66" w15:restartNumberingAfterBreak="0">
    <w:nsid w:val="5C266AA4"/>
    <w:multiLevelType w:val="hybridMultilevel"/>
    <w:tmpl w:val="B2E80B3E"/>
    <w:lvl w:ilvl="0" w:tplc="0410000F">
      <w:start w:val="1"/>
      <w:numFmt w:val="decimal"/>
      <w:lvlText w:val="%1."/>
      <w:lvlJc w:val="left"/>
      <w:pPr>
        <w:ind w:left="1267" w:hanging="360"/>
      </w:pPr>
    </w:lvl>
    <w:lvl w:ilvl="1" w:tplc="04100019" w:tentative="1">
      <w:start w:val="1"/>
      <w:numFmt w:val="lowerLetter"/>
      <w:lvlText w:val="%2."/>
      <w:lvlJc w:val="left"/>
      <w:pPr>
        <w:ind w:left="1987" w:hanging="360"/>
      </w:pPr>
    </w:lvl>
    <w:lvl w:ilvl="2" w:tplc="0410001B" w:tentative="1">
      <w:start w:val="1"/>
      <w:numFmt w:val="lowerRoman"/>
      <w:lvlText w:val="%3."/>
      <w:lvlJc w:val="right"/>
      <w:pPr>
        <w:ind w:left="2707" w:hanging="180"/>
      </w:pPr>
    </w:lvl>
    <w:lvl w:ilvl="3" w:tplc="0410000F" w:tentative="1">
      <w:start w:val="1"/>
      <w:numFmt w:val="decimal"/>
      <w:lvlText w:val="%4."/>
      <w:lvlJc w:val="left"/>
      <w:pPr>
        <w:ind w:left="3427" w:hanging="360"/>
      </w:pPr>
    </w:lvl>
    <w:lvl w:ilvl="4" w:tplc="04100019" w:tentative="1">
      <w:start w:val="1"/>
      <w:numFmt w:val="lowerLetter"/>
      <w:lvlText w:val="%5."/>
      <w:lvlJc w:val="left"/>
      <w:pPr>
        <w:ind w:left="4147" w:hanging="360"/>
      </w:pPr>
    </w:lvl>
    <w:lvl w:ilvl="5" w:tplc="0410001B" w:tentative="1">
      <w:start w:val="1"/>
      <w:numFmt w:val="lowerRoman"/>
      <w:lvlText w:val="%6."/>
      <w:lvlJc w:val="right"/>
      <w:pPr>
        <w:ind w:left="4867" w:hanging="180"/>
      </w:pPr>
    </w:lvl>
    <w:lvl w:ilvl="6" w:tplc="0410000F" w:tentative="1">
      <w:start w:val="1"/>
      <w:numFmt w:val="decimal"/>
      <w:lvlText w:val="%7."/>
      <w:lvlJc w:val="left"/>
      <w:pPr>
        <w:ind w:left="5587" w:hanging="360"/>
      </w:pPr>
    </w:lvl>
    <w:lvl w:ilvl="7" w:tplc="04100019" w:tentative="1">
      <w:start w:val="1"/>
      <w:numFmt w:val="lowerLetter"/>
      <w:lvlText w:val="%8."/>
      <w:lvlJc w:val="left"/>
      <w:pPr>
        <w:ind w:left="6307" w:hanging="360"/>
      </w:pPr>
    </w:lvl>
    <w:lvl w:ilvl="8" w:tplc="0410001B" w:tentative="1">
      <w:start w:val="1"/>
      <w:numFmt w:val="lowerRoman"/>
      <w:lvlText w:val="%9."/>
      <w:lvlJc w:val="right"/>
      <w:pPr>
        <w:ind w:left="7027" w:hanging="180"/>
      </w:pPr>
    </w:lvl>
  </w:abstractNum>
  <w:abstractNum w:abstractNumId="67" w15:restartNumberingAfterBreak="0">
    <w:nsid w:val="5C6B4C78"/>
    <w:multiLevelType w:val="hybridMultilevel"/>
    <w:tmpl w:val="428C4EAC"/>
    <w:lvl w:ilvl="0" w:tplc="7F84937A">
      <w:start w:val="2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D1A00FF"/>
    <w:multiLevelType w:val="hybridMultilevel"/>
    <w:tmpl w:val="C99CED2E"/>
    <w:lvl w:ilvl="0" w:tplc="A5E25924">
      <w:start w:val="1"/>
      <w:numFmt w:val="lowerRoman"/>
      <w:lvlText w:val="%1). "/>
      <w:lvlJc w:val="right"/>
      <w:pPr>
        <w:ind w:left="1996" w:hanging="360"/>
      </w:pPr>
      <w:rPr>
        <w:rFonts w:hint="default"/>
      </w:rPr>
    </w:lvl>
    <w:lvl w:ilvl="1" w:tplc="04180019" w:tentative="1">
      <w:start w:val="1"/>
      <w:numFmt w:val="lowerLetter"/>
      <w:lvlText w:val="%2."/>
      <w:lvlJc w:val="left"/>
      <w:pPr>
        <w:ind w:left="2716" w:hanging="360"/>
      </w:pPr>
    </w:lvl>
    <w:lvl w:ilvl="2" w:tplc="0418001B" w:tentative="1">
      <w:start w:val="1"/>
      <w:numFmt w:val="lowerRoman"/>
      <w:lvlText w:val="%3."/>
      <w:lvlJc w:val="right"/>
      <w:pPr>
        <w:ind w:left="3436" w:hanging="180"/>
      </w:pPr>
    </w:lvl>
    <w:lvl w:ilvl="3" w:tplc="0418000F" w:tentative="1">
      <w:start w:val="1"/>
      <w:numFmt w:val="decimal"/>
      <w:lvlText w:val="%4."/>
      <w:lvlJc w:val="left"/>
      <w:pPr>
        <w:ind w:left="4156" w:hanging="360"/>
      </w:pPr>
    </w:lvl>
    <w:lvl w:ilvl="4" w:tplc="04180019" w:tentative="1">
      <w:start w:val="1"/>
      <w:numFmt w:val="lowerLetter"/>
      <w:lvlText w:val="%5."/>
      <w:lvlJc w:val="left"/>
      <w:pPr>
        <w:ind w:left="4876" w:hanging="360"/>
      </w:pPr>
    </w:lvl>
    <w:lvl w:ilvl="5" w:tplc="0418001B" w:tentative="1">
      <w:start w:val="1"/>
      <w:numFmt w:val="lowerRoman"/>
      <w:lvlText w:val="%6."/>
      <w:lvlJc w:val="right"/>
      <w:pPr>
        <w:ind w:left="5596" w:hanging="180"/>
      </w:pPr>
    </w:lvl>
    <w:lvl w:ilvl="6" w:tplc="0418000F" w:tentative="1">
      <w:start w:val="1"/>
      <w:numFmt w:val="decimal"/>
      <w:lvlText w:val="%7."/>
      <w:lvlJc w:val="left"/>
      <w:pPr>
        <w:ind w:left="6316" w:hanging="360"/>
      </w:pPr>
    </w:lvl>
    <w:lvl w:ilvl="7" w:tplc="04180019" w:tentative="1">
      <w:start w:val="1"/>
      <w:numFmt w:val="lowerLetter"/>
      <w:lvlText w:val="%8."/>
      <w:lvlJc w:val="left"/>
      <w:pPr>
        <w:ind w:left="7036" w:hanging="360"/>
      </w:pPr>
    </w:lvl>
    <w:lvl w:ilvl="8" w:tplc="0418001B" w:tentative="1">
      <w:start w:val="1"/>
      <w:numFmt w:val="lowerRoman"/>
      <w:lvlText w:val="%9."/>
      <w:lvlJc w:val="right"/>
      <w:pPr>
        <w:ind w:left="7756" w:hanging="180"/>
      </w:pPr>
    </w:lvl>
  </w:abstractNum>
  <w:abstractNum w:abstractNumId="69" w15:restartNumberingAfterBreak="0">
    <w:nsid w:val="5E13422A"/>
    <w:multiLevelType w:val="hybridMultilevel"/>
    <w:tmpl w:val="F42E4972"/>
    <w:lvl w:ilvl="0" w:tplc="9580C6CA">
      <w:start w:val="2"/>
      <w:numFmt w:val="lowerLetter"/>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FEA5C4E"/>
    <w:multiLevelType w:val="hybridMultilevel"/>
    <w:tmpl w:val="BE30EA02"/>
    <w:lvl w:ilvl="0" w:tplc="0413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1" w15:restartNumberingAfterBreak="0">
    <w:nsid w:val="602708EC"/>
    <w:multiLevelType w:val="hybridMultilevel"/>
    <w:tmpl w:val="D8EEB6D4"/>
    <w:lvl w:ilvl="0" w:tplc="FE582076">
      <w:start w:val="8"/>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60E75729"/>
    <w:multiLevelType w:val="hybridMultilevel"/>
    <w:tmpl w:val="F45E5A92"/>
    <w:lvl w:ilvl="0" w:tplc="04130001">
      <w:start w:val="1"/>
      <w:numFmt w:val="bullet"/>
      <w:lvlText w:val=""/>
      <w:lvlJc w:val="left"/>
      <w:pPr>
        <w:ind w:left="862" w:hanging="360"/>
      </w:pPr>
      <w:rPr>
        <w:rFonts w:ascii="Symbol" w:hAnsi="Symbol" w:hint="default"/>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73" w15:restartNumberingAfterBreak="0">
    <w:nsid w:val="65373292"/>
    <w:multiLevelType w:val="hybridMultilevel"/>
    <w:tmpl w:val="2264AB4C"/>
    <w:lvl w:ilvl="0" w:tplc="AE9C4C80">
      <w:start w:val="1"/>
      <w:numFmt w:val="lowerLetter"/>
      <w:lvlText w:val="%1)"/>
      <w:lvlJc w:val="left"/>
      <w:pPr>
        <w:ind w:left="1080" w:hanging="360"/>
      </w:pPr>
      <w:rPr>
        <w:rFonts w:ascii="Times New Roman" w:eastAsiaTheme="minorEastAsia" w:hAnsi="Times New Roman" w:cs="Times New Roma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4" w15:restartNumberingAfterBreak="0">
    <w:nsid w:val="6592526B"/>
    <w:multiLevelType w:val="hybridMultilevel"/>
    <w:tmpl w:val="C8A2659C"/>
    <w:lvl w:ilvl="0" w:tplc="7B166A58">
      <w:start w:val="1"/>
      <w:numFmt w:val="decimal"/>
      <w:lvlText w:val="%1."/>
      <w:lvlJc w:val="left"/>
      <w:pPr>
        <w:ind w:left="548" w:hanging="428"/>
      </w:pPr>
      <w:rPr>
        <w:rFonts w:ascii="Times New Roman" w:eastAsia="Times New Roman" w:hAnsi="Times New Roman" w:cs="Times New Roman" w:hint="default"/>
        <w:w w:val="100"/>
        <w:sz w:val="22"/>
        <w:szCs w:val="22"/>
      </w:rPr>
    </w:lvl>
    <w:lvl w:ilvl="1" w:tplc="20AA7F80">
      <w:numFmt w:val="bullet"/>
      <w:lvlText w:val="•"/>
      <w:lvlJc w:val="left"/>
      <w:pPr>
        <w:ind w:left="1502" w:hanging="428"/>
      </w:pPr>
      <w:rPr>
        <w:rFonts w:hint="default"/>
      </w:rPr>
    </w:lvl>
    <w:lvl w:ilvl="2" w:tplc="CF069CE4">
      <w:numFmt w:val="bullet"/>
      <w:lvlText w:val="•"/>
      <w:lvlJc w:val="left"/>
      <w:pPr>
        <w:ind w:left="2464" w:hanging="428"/>
      </w:pPr>
      <w:rPr>
        <w:rFonts w:hint="default"/>
      </w:rPr>
    </w:lvl>
    <w:lvl w:ilvl="3" w:tplc="5ED8E92E">
      <w:numFmt w:val="bullet"/>
      <w:lvlText w:val="•"/>
      <w:lvlJc w:val="left"/>
      <w:pPr>
        <w:ind w:left="3426" w:hanging="428"/>
      </w:pPr>
      <w:rPr>
        <w:rFonts w:hint="default"/>
      </w:rPr>
    </w:lvl>
    <w:lvl w:ilvl="4" w:tplc="33268A28">
      <w:numFmt w:val="bullet"/>
      <w:lvlText w:val="•"/>
      <w:lvlJc w:val="left"/>
      <w:pPr>
        <w:ind w:left="4388" w:hanging="428"/>
      </w:pPr>
      <w:rPr>
        <w:rFonts w:hint="default"/>
      </w:rPr>
    </w:lvl>
    <w:lvl w:ilvl="5" w:tplc="9A3C7804">
      <w:numFmt w:val="bullet"/>
      <w:lvlText w:val="•"/>
      <w:lvlJc w:val="left"/>
      <w:pPr>
        <w:ind w:left="5350" w:hanging="428"/>
      </w:pPr>
      <w:rPr>
        <w:rFonts w:hint="default"/>
      </w:rPr>
    </w:lvl>
    <w:lvl w:ilvl="6" w:tplc="95D20020">
      <w:numFmt w:val="bullet"/>
      <w:lvlText w:val="•"/>
      <w:lvlJc w:val="left"/>
      <w:pPr>
        <w:ind w:left="6312" w:hanging="428"/>
      </w:pPr>
      <w:rPr>
        <w:rFonts w:hint="default"/>
      </w:rPr>
    </w:lvl>
    <w:lvl w:ilvl="7" w:tplc="3EE2F86C">
      <w:numFmt w:val="bullet"/>
      <w:lvlText w:val="•"/>
      <w:lvlJc w:val="left"/>
      <w:pPr>
        <w:ind w:left="7274" w:hanging="428"/>
      </w:pPr>
      <w:rPr>
        <w:rFonts w:hint="default"/>
      </w:rPr>
    </w:lvl>
    <w:lvl w:ilvl="8" w:tplc="05A861DA">
      <w:numFmt w:val="bullet"/>
      <w:lvlText w:val="•"/>
      <w:lvlJc w:val="left"/>
      <w:pPr>
        <w:ind w:left="8236" w:hanging="428"/>
      </w:pPr>
      <w:rPr>
        <w:rFonts w:hint="default"/>
      </w:rPr>
    </w:lvl>
  </w:abstractNum>
  <w:abstractNum w:abstractNumId="75" w15:restartNumberingAfterBreak="0">
    <w:nsid w:val="666B71A4"/>
    <w:multiLevelType w:val="hybridMultilevel"/>
    <w:tmpl w:val="CD92DBBE"/>
    <w:lvl w:ilvl="0" w:tplc="AE36BF8A">
      <w:start w:val="6"/>
      <w:numFmt w:val="decimal"/>
      <w:lvlText w:val="%1."/>
      <w:lvlJc w:val="left"/>
      <w:pPr>
        <w:ind w:left="854" w:hanging="428"/>
      </w:pPr>
      <w:rPr>
        <w:rFonts w:ascii="Times New Roman" w:eastAsia="Times New Roman" w:hAnsi="Times New Roman" w:cs="Times New Roman" w:hint="default"/>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68485AEE"/>
    <w:multiLevelType w:val="hybridMultilevel"/>
    <w:tmpl w:val="549680EA"/>
    <w:lvl w:ilvl="0" w:tplc="DFE6169E">
      <w:start w:val="1"/>
      <w:numFmt w:val="decimal"/>
      <w:lvlText w:val="(%1)"/>
      <w:lvlJc w:val="left"/>
      <w:pPr>
        <w:ind w:left="360" w:hanging="360"/>
      </w:pPr>
      <w:rPr>
        <w:rFonts w:ascii="Times New Roman" w:eastAsia="Times New Roman" w:hAnsi="Times New Roman" w:cs="Times New Roman" w:hint="default"/>
        <w:w w:val="100"/>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687F174C"/>
    <w:multiLevelType w:val="hybridMultilevel"/>
    <w:tmpl w:val="EEF2563A"/>
    <w:lvl w:ilvl="0" w:tplc="A3E06034">
      <w:start w:val="1"/>
      <w:numFmt w:val="lowerLetter"/>
      <w:lvlText w:val="%1."/>
      <w:lvlJc w:val="left"/>
      <w:pPr>
        <w:ind w:left="828" w:hanging="360"/>
      </w:pPr>
      <w:rPr>
        <w:rFonts w:ascii="Times New Roman" w:eastAsia="Times New Roman" w:hAnsi="Times New Roman" w:cs="Times New Roman" w:hint="default"/>
        <w:w w:val="100"/>
        <w:sz w:val="22"/>
        <w:szCs w:val="22"/>
      </w:rPr>
    </w:lvl>
    <w:lvl w:ilvl="1" w:tplc="1246614A">
      <w:numFmt w:val="bullet"/>
      <w:lvlText w:val="•"/>
      <w:lvlJc w:val="left"/>
      <w:pPr>
        <w:ind w:left="1754" w:hanging="360"/>
      </w:pPr>
      <w:rPr>
        <w:rFonts w:hint="default"/>
      </w:rPr>
    </w:lvl>
    <w:lvl w:ilvl="2" w:tplc="E0522FAE">
      <w:numFmt w:val="bullet"/>
      <w:lvlText w:val="•"/>
      <w:lvlJc w:val="left"/>
      <w:pPr>
        <w:ind w:left="2688" w:hanging="360"/>
      </w:pPr>
      <w:rPr>
        <w:rFonts w:hint="default"/>
      </w:rPr>
    </w:lvl>
    <w:lvl w:ilvl="3" w:tplc="9372EE8E">
      <w:numFmt w:val="bullet"/>
      <w:lvlText w:val="•"/>
      <w:lvlJc w:val="left"/>
      <w:pPr>
        <w:ind w:left="3622" w:hanging="360"/>
      </w:pPr>
      <w:rPr>
        <w:rFonts w:hint="default"/>
      </w:rPr>
    </w:lvl>
    <w:lvl w:ilvl="4" w:tplc="601A4A2E">
      <w:numFmt w:val="bullet"/>
      <w:lvlText w:val="•"/>
      <w:lvlJc w:val="left"/>
      <w:pPr>
        <w:ind w:left="4556" w:hanging="360"/>
      </w:pPr>
      <w:rPr>
        <w:rFonts w:hint="default"/>
      </w:rPr>
    </w:lvl>
    <w:lvl w:ilvl="5" w:tplc="1FE4C4FA">
      <w:numFmt w:val="bullet"/>
      <w:lvlText w:val="•"/>
      <w:lvlJc w:val="left"/>
      <w:pPr>
        <w:ind w:left="5490" w:hanging="360"/>
      </w:pPr>
      <w:rPr>
        <w:rFonts w:hint="default"/>
      </w:rPr>
    </w:lvl>
    <w:lvl w:ilvl="6" w:tplc="55F282EA">
      <w:numFmt w:val="bullet"/>
      <w:lvlText w:val="•"/>
      <w:lvlJc w:val="left"/>
      <w:pPr>
        <w:ind w:left="6424" w:hanging="360"/>
      </w:pPr>
      <w:rPr>
        <w:rFonts w:hint="default"/>
      </w:rPr>
    </w:lvl>
    <w:lvl w:ilvl="7" w:tplc="D9D2E024">
      <w:numFmt w:val="bullet"/>
      <w:lvlText w:val="•"/>
      <w:lvlJc w:val="left"/>
      <w:pPr>
        <w:ind w:left="7358" w:hanging="360"/>
      </w:pPr>
      <w:rPr>
        <w:rFonts w:hint="default"/>
      </w:rPr>
    </w:lvl>
    <w:lvl w:ilvl="8" w:tplc="7F7AD108">
      <w:numFmt w:val="bullet"/>
      <w:lvlText w:val="•"/>
      <w:lvlJc w:val="left"/>
      <w:pPr>
        <w:ind w:left="8292" w:hanging="360"/>
      </w:pPr>
      <w:rPr>
        <w:rFonts w:hint="default"/>
      </w:rPr>
    </w:lvl>
  </w:abstractNum>
  <w:abstractNum w:abstractNumId="78" w15:restartNumberingAfterBreak="0">
    <w:nsid w:val="6BA578BF"/>
    <w:multiLevelType w:val="hybridMultilevel"/>
    <w:tmpl w:val="89BEA5EC"/>
    <w:lvl w:ilvl="0" w:tplc="DFE6169E">
      <w:start w:val="1"/>
      <w:numFmt w:val="decimal"/>
      <w:lvlText w:val="(%1)"/>
      <w:lvlJc w:val="left"/>
      <w:pPr>
        <w:ind w:left="548" w:hanging="428"/>
      </w:pPr>
      <w:rPr>
        <w:rFonts w:ascii="Times New Roman" w:eastAsia="Times New Roman" w:hAnsi="Times New Roman" w:cs="Times New Roman" w:hint="default"/>
        <w:w w:val="100"/>
        <w:sz w:val="22"/>
        <w:szCs w:val="22"/>
      </w:rPr>
    </w:lvl>
    <w:lvl w:ilvl="1" w:tplc="D8024072">
      <w:numFmt w:val="bullet"/>
      <w:lvlText w:val="•"/>
      <w:lvlJc w:val="left"/>
      <w:pPr>
        <w:ind w:left="1502" w:hanging="428"/>
      </w:pPr>
      <w:rPr>
        <w:rFonts w:hint="default"/>
      </w:rPr>
    </w:lvl>
    <w:lvl w:ilvl="2" w:tplc="A588F67A">
      <w:numFmt w:val="bullet"/>
      <w:lvlText w:val="•"/>
      <w:lvlJc w:val="left"/>
      <w:pPr>
        <w:ind w:left="2464" w:hanging="428"/>
      </w:pPr>
      <w:rPr>
        <w:rFonts w:hint="default"/>
      </w:rPr>
    </w:lvl>
    <w:lvl w:ilvl="3" w:tplc="686458B8">
      <w:numFmt w:val="bullet"/>
      <w:lvlText w:val="•"/>
      <w:lvlJc w:val="left"/>
      <w:pPr>
        <w:ind w:left="3426" w:hanging="428"/>
      </w:pPr>
      <w:rPr>
        <w:rFonts w:hint="default"/>
      </w:rPr>
    </w:lvl>
    <w:lvl w:ilvl="4" w:tplc="EBE661BC">
      <w:numFmt w:val="bullet"/>
      <w:lvlText w:val="•"/>
      <w:lvlJc w:val="left"/>
      <w:pPr>
        <w:ind w:left="4388" w:hanging="428"/>
      </w:pPr>
      <w:rPr>
        <w:rFonts w:hint="default"/>
      </w:rPr>
    </w:lvl>
    <w:lvl w:ilvl="5" w:tplc="03425990">
      <w:numFmt w:val="bullet"/>
      <w:lvlText w:val="•"/>
      <w:lvlJc w:val="left"/>
      <w:pPr>
        <w:ind w:left="5350" w:hanging="428"/>
      </w:pPr>
      <w:rPr>
        <w:rFonts w:hint="default"/>
      </w:rPr>
    </w:lvl>
    <w:lvl w:ilvl="6" w:tplc="5B400552">
      <w:numFmt w:val="bullet"/>
      <w:lvlText w:val="•"/>
      <w:lvlJc w:val="left"/>
      <w:pPr>
        <w:ind w:left="6312" w:hanging="428"/>
      </w:pPr>
      <w:rPr>
        <w:rFonts w:hint="default"/>
      </w:rPr>
    </w:lvl>
    <w:lvl w:ilvl="7" w:tplc="912CECFC">
      <w:numFmt w:val="bullet"/>
      <w:lvlText w:val="•"/>
      <w:lvlJc w:val="left"/>
      <w:pPr>
        <w:ind w:left="7274" w:hanging="428"/>
      </w:pPr>
      <w:rPr>
        <w:rFonts w:hint="default"/>
      </w:rPr>
    </w:lvl>
    <w:lvl w:ilvl="8" w:tplc="45623984">
      <w:numFmt w:val="bullet"/>
      <w:lvlText w:val="•"/>
      <w:lvlJc w:val="left"/>
      <w:pPr>
        <w:ind w:left="8236" w:hanging="428"/>
      </w:pPr>
      <w:rPr>
        <w:rFonts w:hint="default"/>
      </w:rPr>
    </w:lvl>
  </w:abstractNum>
  <w:abstractNum w:abstractNumId="79" w15:restartNumberingAfterBreak="0">
    <w:nsid w:val="6CEC785E"/>
    <w:multiLevelType w:val="hybridMultilevel"/>
    <w:tmpl w:val="A978D820"/>
    <w:lvl w:ilvl="0" w:tplc="31FC1220">
      <w:start w:val="4"/>
      <w:numFmt w:val="bullet"/>
      <w:lvlText w:val="–"/>
      <w:lvlJc w:val="left"/>
      <w:pPr>
        <w:ind w:left="907" w:hanging="360"/>
      </w:pPr>
      <w:rPr>
        <w:rFonts w:ascii="Times New Roman" w:eastAsia="Times New Roman" w:hAnsi="Times New Roman" w:cs="Times New Roman" w:hint="default"/>
      </w:rPr>
    </w:lvl>
    <w:lvl w:ilvl="1" w:tplc="04080003" w:tentative="1">
      <w:start w:val="1"/>
      <w:numFmt w:val="bullet"/>
      <w:lvlText w:val="o"/>
      <w:lvlJc w:val="left"/>
      <w:pPr>
        <w:ind w:left="1627" w:hanging="360"/>
      </w:pPr>
      <w:rPr>
        <w:rFonts w:ascii="Courier New" w:hAnsi="Courier New" w:cs="Courier New" w:hint="default"/>
      </w:rPr>
    </w:lvl>
    <w:lvl w:ilvl="2" w:tplc="04080005" w:tentative="1">
      <w:start w:val="1"/>
      <w:numFmt w:val="bullet"/>
      <w:lvlText w:val=""/>
      <w:lvlJc w:val="left"/>
      <w:pPr>
        <w:ind w:left="2347" w:hanging="360"/>
      </w:pPr>
      <w:rPr>
        <w:rFonts w:ascii="Wingdings" w:hAnsi="Wingdings" w:hint="default"/>
      </w:rPr>
    </w:lvl>
    <w:lvl w:ilvl="3" w:tplc="04080001" w:tentative="1">
      <w:start w:val="1"/>
      <w:numFmt w:val="bullet"/>
      <w:lvlText w:val=""/>
      <w:lvlJc w:val="left"/>
      <w:pPr>
        <w:ind w:left="3067" w:hanging="360"/>
      </w:pPr>
      <w:rPr>
        <w:rFonts w:ascii="Symbol" w:hAnsi="Symbol" w:hint="default"/>
      </w:rPr>
    </w:lvl>
    <w:lvl w:ilvl="4" w:tplc="04080003" w:tentative="1">
      <w:start w:val="1"/>
      <w:numFmt w:val="bullet"/>
      <w:lvlText w:val="o"/>
      <w:lvlJc w:val="left"/>
      <w:pPr>
        <w:ind w:left="3787" w:hanging="360"/>
      </w:pPr>
      <w:rPr>
        <w:rFonts w:ascii="Courier New" w:hAnsi="Courier New" w:cs="Courier New" w:hint="default"/>
      </w:rPr>
    </w:lvl>
    <w:lvl w:ilvl="5" w:tplc="04080005" w:tentative="1">
      <w:start w:val="1"/>
      <w:numFmt w:val="bullet"/>
      <w:lvlText w:val=""/>
      <w:lvlJc w:val="left"/>
      <w:pPr>
        <w:ind w:left="4507" w:hanging="360"/>
      </w:pPr>
      <w:rPr>
        <w:rFonts w:ascii="Wingdings" w:hAnsi="Wingdings" w:hint="default"/>
      </w:rPr>
    </w:lvl>
    <w:lvl w:ilvl="6" w:tplc="04080001" w:tentative="1">
      <w:start w:val="1"/>
      <w:numFmt w:val="bullet"/>
      <w:lvlText w:val=""/>
      <w:lvlJc w:val="left"/>
      <w:pPr>
        <w:ind w:left="5227" w:hanging="360"/>
      </w:pPr>
      <w:rPr>
        <w:rFonts w:ascii="Symbol" w:hAnsi="Symbol" w:hint="default"/>
      </w:rPr>
    </w:lvl>
    <w:lvl w:ilvl="7" w:tplc="04080003" w:tentative="1">
      <w:start w:val="1"/>
      <w:numFmt w:val="bullet"/>
      <w:lvlText w:val="o"/>
      <w:lvlJc w:val="left"/>
      <w:pPr>
        <w:ind w:left="5947" w:hanging="360"/>
      </w:pPr>
      <w:rPr>
        <w:rFonts w:ascii="Courier New" w:hAnsi="Courier New" w:cs="Courier New" w:hint="default"/>
      </w:rPr>
    </w:lvl>
    <w:lvl w:ilvl="8" w:tplc="04080005" w:tentative="1">
      <w:start w:val="1"/>
      <w:numFmt w:val="bullet"/>
      <w:lvlText w:val=""/>
      <w:lvlJc w:val="left"/>
      <w:pPr>
        <w:ind w:left="6667" w:hanging="360"/>
      </w:pPr>
      <w:rPr>
        <w:rFonts w:ascii="Wingdings" w:hAnsi="Wingdings" w:hint="default"/>
      </w:rPr>
    </w:lvl>
  </w:abstractNum>
  <w:abstractNum w:abstractNumId="80" w15:restartNumberingAfterBreak="0">
    <w:nsid w:val="6DB50D56"/>
    <w:multiLevelType w:val="hybridMultilevel"/>
    <w:tmpl w:val="242C108C"/>
    <w:lvl w:ilvl="0" w:tplc="23C8F568">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6E726410"/>
    <w:multiLevelType w:val="hybridMultilevel"/>
    <w:tmpl w:val="11D45266"/>
    <w:lvl w:ilvl="0" w:tplc="DFE6169E">
      <w:start w:val="1"/>
      <w:numFmt w:val="decimal"/>
      <w:lvlText w:val="(%1)"/>
      <w:lvlJc w:val="left"/>
      <w:pPr>
        <w:ind w:left="1639" w:hanging="360"/>
      </w:pPr>
      <w:rPr>
        <w:rFonts w:ascii="Times New Roman" w:eastAsia="Times New Roman" w:hAnsi="Times New Roman" w:cs="Times New Roman" w:hint="default"/>
        <w:w w:val="100"/>
        <w:sz w:val="22"/>
        <w:szCs w:val="22"/>
      </w:rPr>
    </w:lvl>
    <w:lvl w:ilvl="1" w:tplc="04180019" w:tentative="1">
      <w:start w:val="1"/>
      <w:numFmt w:val="lowerLetter"/>
      <w:lvlText w:val="%2."/>
      <w:lvlJc w:val="left"/>
      <w:pPr>
        <w:ind w:left="2359" w:hanging="360"/>
      </w:pPr>
    </w:lvl>
    <w:lvl w:ilvl="2" w:tplc="0418001B" w:tentative="1">
      <w:start w:val="1"/>
      <w:numFmt w:val="lowerRoman"/>
      <w:lvlText w:val="%3."/>
      <w:lvlJc w:val="right"/>
      <w:pPr>
        <w:ind w:left="3079" w:hanging="180"/>
      </w:pPr>
    </w:lvl>
    <w:lvl w:ilvl="3" w:tplc="0418000F" w:tentative="1">
      <w:start w:val="1"/>
      <w:numFmt w:val="decimal"/>
      <w:lvlText w:val="%4."/>
      <w:lvlJc w:val="left"/>
      <w:pPr>
        <w:ind w:left="3799" w:hanging="360"/>
      </w:pPr>
    </w:lvl>
    <w:lvl w:ilvl="4" w:tplc="04180019" w:tentative="1">
      <w:start w:val="1"/>
      <w:numFmt w:val="lowerLetter"/>
      <w:lvlText w:val="%5."/>
      <w:lvlJc w:val="left"/>
      <w:pPr>
        <w:ind w:left="4519" w:hanging="360"/>
      </w:pPr>
    </w:lvl>
    <w:lvl w:ilvl="5" w:tplc="0418001B" w:tentative="1">
      <w:start w:val="1"/>
      <w:numFmt w:val="lowerRoman"/>
      <w:lvlText w:val="%6."/>
      <w:lvlJc w:val="right"/>
      <w:pPr>
        <w:ind w:left="5239" w:hanging="180"/>
      </w:pPr>
    </w:lvl>
    <w:lvl w:ilvl="6" w:tplc="0418000F" w:tentative="1">
      <w:start w:val="1"/>
      <w:numFmt w:val="decimal"/>
      <w:lvlText w:val="%7."/>
      <w:lvlJc w:val="left"/>
      <w:pPr>
        <w:ind w:left="5959" w:hanging="360"/>
      </w:pPr>
    </w:lvl>
    <w:lvl w:ilvl="7" w:tplc="04180019" w:tentative="1">
      <w:start w:val="1"/>
      <w:numFmt w:val="lowerLetter"/>
      <w:lvlText w:val="%8."/>
      <w:lvlJc w:val="left"/>
      <w:pPr>
        <w:ind w:left="6679" w:hanging="360"/>
      </w:pPr>
    </w:lvl>
    <w:lvl w:ilvl="8" w:tplc="0418001B" w:tentative="1">
      <w:start w:val="1"/>
      <w:numFmt w:val="lowerRoman"/>
      <w:lvlText w:val="%9."/>
      <w:lvlJc w:val="right"/>
      <w:pPr>
        <w:ind w:left="7399" w:hanging="180"/>
      </w:pPr>
    </w:lvl>
  </w:abstractNum>
  <w:abstractNum w:abstractNumId="82" w15:restartNumberingAfterBreak="0">
    <w:nsid w:val="6FB94B56"/>
    <w:multiLevelType w:val="hybridMultilevel"/>
    <w:tmpl w:val="E27A26F4"/>
    <w:lvl w:ilvl="0" w:tplc="0413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3" w15:restartNumberingAfterBreak="0">
    <w:nsid w:val="71C306D0"/>
    <w:multiLevelType w:val="hybridMultilevel"/>
    <w:tmpl w:val="90EE665E"/>
    <w:lvl w:ilvl="0" w:tplc="DFE6169E">
      <w:start w:val="1"/>
      <w:numFmt w:val="decimal"/>
      <w:lvlText w:val="(%1)"/>
      <w:lvlJc w:val="left"/>
      <w:pPr>
        <w:ind w:left="360" w:hanging="360"/>
      </w:pPr>
      <w:rPr>
        <w:rFonts w:ascii="Times New Roman" w:eastAsia="Times New Roman" w:hAnsi="Times New Roman" w:cs="Times New Roman" w:hint="default"/>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72C372E8"/>
    <w:multiLevelType w:val="hybridMultilevel"/>
    <w:tmpl w:val="F75880BA"/>
    <w:lvl w:ilvl="0" w:tplc="04090017">
      <w:start w:val="1"/>
      <w:numFmt w:val="lowerLetter"/>
      <w:lvlText w:val="%1)"/>
      <w:lvlJc w:val="left"/>
      <w:pPr>
        <w:ind w:left="360" w:hanging="360"/>
      </w:pPr>
    </w:lvl>
    <w:lvl w:ilvl="1" w:tplc="6C0A2FA8">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85" w15:restartNumberingAfterBreak="0">
    <w:nsid w:val="72F57F66"/>
    <w:multiLevelType w:val="hybridMultilevel"/>
    <w:tmpl w:val="62C0FB82"/>
    <w:lvl w:ilvl="0" w:tplc="DFE6169E">
      <w:start w:val="1"/>
      <w:numFmt w:val="decimal"/>
      <w:lvlText w:val="(%1)"/>
      <w:lvlJc w:val="left"/>
      <w:pPr>
        <w:ind w:left="360" w:hanging="360"/>
      </w:pPr>
      <w:rPr>
        <w:rFonts w:ascii="Times New Roman" w:eastAsia="Times New Roman" w:hAnsi="Times New Roman" w:cs="Times New Roman" w:hint="default"/>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73066F03"/>
    <w:multiLevelType w:val="hybridMultilevel"/>
    <w:tmpl w:val="8E86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3293241"/>
    <w:multiLevelType w:val="hybridMultilevel"/>
    <w:tmpl w:val="42F62998"/>
    <w:lvl w:ilvl="0" w:tplc="0413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748727C6"/>
    <w:multiLevelType w:val="hybridMultilevel"/>
    <w:tmpl w:val="3A623326"/>
    <w:lvl w:ilvl="0" w:tplc="9F2028D2">
      <w:start w:val="1"/>
      <w:numFmt w:val="decimal"/>
      <w:lvlText w:val="(%1)"/>
      <w:lvlJc w:val="left"/>
      <w:pPr>
        <w:ind w:left="1114" w:hanging="634"/>
      </w:pPr>
      <w:rPr>
        <w:rFonts w:ascii="Times New Roman" w:eastAsia="Times New Roman" w:hAnsi="Times New Roman" w:cs="Times New Roman" w:hint="default"/>
        <w:w w:val="100"/>
        <w:sz w:val="22"/>
        <w:szCs w:val="22"/>
      </w:rPr>
    </w:lvl>
    <w:lvl w:ilvl="1" w:tplc="5E22B8DC">
      <w:start w:val="1"/>
      <w:numFmt w:val="lowerLetter"/>
      <w:lvlText w:val="(%2)"/>
      <w:lvlJc w:val="left"/>
      <w:pPr>
        <w:ind w:left="2364" w:hanging="1252"/>
      </w:pPr>
      <w:rPr>
        <w:rFonts w:ascii="Times New Roman" w:eastAsia="Times New Roman" w:hAnsi="Times New Roman" w:cs="Times New Roman" w:hint="default"/>
        <w:i/>
        <w:spacing w:val="-2"/>
        <w:w w:val="100"/>
        <w:sz w:val="22"/>
        <w:szCs w:val="22"/>
      </w:rPr>
    </w:lvl>
    <w:lvl w:ilvl="2" w:tplc="8758D202">
      <w:start w:val="1"/>
      <w:numFmt w:val="lowerRoman"/>
      <w:lvlText w:val="(%3)"/>
      <w:lvlJc w:val="left"/>
      <w:pPr>
        <w:ind w:left="3687" w:hanging="1323"/>
      </w:pPr>
      <w:rPr>
        <w:rFonts w:ascii="Times New Roman" w:eastAsia="Times New Roman" w:hAnsi="Times New Roman" w:cs="Times New Roman" w:hint="default"/>
        <w:i/>
        <w:spacing w:val="-2"/>
        <w:w w:val="100"/>
        <w:sz w:val="22"/>
        <w:szCs w:val="22"/>
      </w:rPr>
    </w:lvl>
    <w:lvl w:ilvl="3" w:tplc="42540F18">
      <w:numFmt w:val="bullet"/>
      <w:lvlText w:val="•"/>
      <w:lvlJc w:val="left"/>
      <w:pPr>
        <w:ind w:left="3720" w:hanging="1323"/>
      </w:pPr>
      <w:rPr>
        <w:rFonts w:hint="default"/>
      </w:rPr>
    </w:lvl>
    <w:lvl w:ilvl="4" w:tplc="55FC257E">
      <w:numFmt w:val="bullet"/>
      <w:lvlText w:val="•"/>
      <w:lvlJc w:val="left"/>
      <w:pPr>
        <w:ind w:left="4640" w:hanging="1323"/>
      </w:pPr>
      <w:rPr>
        <w:rFonts w:hint="default"/>
      </w:rPr>
    </w:lvl>
    <w:lvl w:ilvl="5" w:tplc="DFF675E0">
      <w:numFmt w:val="bullet"/>
      <w:lvlText w:val="•"/>
      <w:lvlJc w:val="left"/>
      <w:pPr>
        <w:ind w:left="5560" w:hanging="1323"/>
      </w:pPr>
      <w:rPr>
        <w:rFonts w:hint="default"/>
      </w:rPr>
    </w:lvl>
    <w:lvl w:ilvl="6" w:tplc="726C2A96">
      <w:numFmt w:val="bullet"/>
      <w:lvlText w:val="•"/>
      <w:lvlJc w:val="left"/>
      <w:pPr>
        <w:ind w:left="6480" w:hanging="1323"/>
      </w:pPr>
      <w:rPr>
        <w:rFonts w:hint="default"/>
      </w:rPr>
    </w:lvl>
    <w:lvl w:ilvl="7" w:tplc="0144FFD4">
      <w:numFmt w:val="bullet"/>
      <w:lvlText w:val="•"/>
      <w:lvlJc w:val="left"/>
      <w:pPr>
        <w:ind w:left="7400" w:hanging="1323"/>
      </w:pPr>
      <w:rPr>
        <w:rFonts w:hint="default"/>
      </w:rPr>
    </w:lvl>
    <w:lvl w:ilvl="8" w:tplc="F1FC0F22">
      <w:numFmt w:val="bullet"/>
      <w:lvlText w:val="•"/>
      <w:lvlJc w:val="left"/>
      <w:pPr>
        <w:ind w:left="8320" w:hanging="1323"/>
      </w:pPr>
      <w:rPr>
        <w:rFonts w:hint="default"/>
      </w:rPr>
    </w:lvl>
  </w:abstractNum>
  <w:abstractNum w:abstractNumId="89" w15:restartNumberingAfterBreak="0">
    <w:nsid w:val="74D42DFB"/>
    <w:multiLevelType w:val="hybridMultilevel"/>
    <w:tmpl w:val="58ECAF00"/>
    <w:lvl w:ilvl="0" w:tplc="08130001">
      <w:start w:val="1"/>
      <w:numFmt w:val="bullet"/>
      <w:lvlText w:val=""/>
      <w:lvlJc w:val="left"/>
      <w:pPr>
        <w:ind w:left="360" w:hanging="360"/>
      </w:pPr>
      <w:rPr>
        <w:rFonts w:ascii="Symbol" w:hAnsi="Symbol" w:hint="default"/>
      </w:rPr>
    </w:lvl>
    <w:lvl w:ilvl="1" w:tplc="C06A22A0">
      <w:numFmt w:val="bullet"/>
      <w:lvlText w:val="•"/>
      <w:lvlJc w:val="left"/>
      <w:pPr>
        <w:ind w:left="1080" w:hanging="360"/>
      </w:pPr>
      <w:rPr>
        <w:rFonts w:ascii="Verdana" w:eastAsia="Times New Roman" w:hAnsi="Verdana" w:cs="Times New Roman" w:hint="default"/>
      </w:rPr>
    </w:lvl>
    <w:lvl w:ilvl="2" w:tplc="0407001B">
      <w:start w:val="1"/>
      <w:numFmt w:val="lowerRoman"/>
      <w:lvlText w:val="%3."/>
      <w:lvlJc w:val="right"/>
      <w:pPr>
        <w:ind w:left="1800" w:hanging="360"/>
      </w:pPr>
      <w:rPr>
        <w:rFont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0" w15:restartNumberingAfterBreak="0">
    <w:nsid w:val="751859D7"/>
    <w:multiLevelType w:val="hybridMultilevel"/>
    <w:tmpl w:val="D278F794"/>
    <w:lvl w:ilvl="0" w:tplc="7DC6B412">
      <w:start w:val="1"/>
      <w:numFmt w:val="decimal"/>
      <w:lvlText w:val="(%1)"/>
      <w:lvlJc w:val="left"/>
      <w:pPr>
        <w:ind w:left="720" w:hanging="360"/>
      </w:pPr>
      <w:rPr>
        <w:rFonts w:ascii="Times New Roman" w:eastAsia="Times New Roman" w:hAnsi="Times New Roman" w:cs="Times New Roman" w:hint="default"/>
        <w:w w:val="10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76E21DDD"/>
    <w:multiLevelType w:val="hybridMultilevel"/>
    <w:tmpl w:val="BB88CC74"/>
    <w:lvl w:ilvl="0" w:tplc="0409000F">
      <w:start w:val="1"/>
      <w:numFmt w:val="decimal"/>
      <w:lvlText w:val="%1."/>
      <w:lvlJc w:val="left"/>
      <w:pPr>
        <w:ind w:left="1472" w:hanging="360"/>
      </w:pPr>
    </w:lvl>
    <w:lvl w:ilvl="1" w:tplc="04180019" w:tentative="1">
      <w:start w:val="1"/>
      <w:numFmt w:val="lowerLetter"/>
      <w:lvlText w:val="%2."/>
      <w:lvlJc w:val="left"/>
      <w:pPr>
        <w:ind w:left="2192" w:hanging="360"/>
      </w:pPr>
    </w:lvl>
    <w:lvl w:ilvl="2" w:tplc="0418001B" w:tentative="1">
      <w:start w:val="1"/>
      <w:numFmt w:val="lowerRoman"/>
      <w:lvlText w:val="%3."/>
      <w:lvlJc w:val="right"/>
      <w:pPr>
        <w:ind w:left="2912" w:hanging="180"/>
      </w:pPr>
    </w:lvl>
    <w:lvl w:ilvl="3" w:tplc="0418000F" w:tentative="1">
      <w:start w:val="1"/>
      <w:numFmt w:val="decimal"/>
      <w:lvlText w:val="%4."/>
      <w:lvlJc w:val="left"/>
      <w:pPr>
        <w:ind w:left="3632" w:hanging="360"/>
      </w:pPr>
    </w:lvl>
    <w:lvl w:ilvl="4" w:tplc="04180019" w:tentative="1">
      <w:start w:val="1"/>
      <w:numFmt w:val="lowerLetter"/>
      <w:lvlText w:val="%5."/>
      <w:lvlJc w:val="left"/>
      <w:pPr>
        <w:ind w:left="4352" w:hanging="360"/>
      </w:pPr>
    </w:lvl>
    <w:lvl w:ilvl="5" w:tplc="0418001B" w:tentative="1">
      <w:start w:val="1"/>
      <w:numFmt w:val="lowerRoman"/>
      <w:lvlText w:val="%6."/>
      <w:lvlJc w:val="right"/>
      <w:pPr>
        <w:ind w:left="5072" w:hanging="180"/>
      </w:pPr>
    </w:lvl>
    <w:lvl w:ilvl="6" w:tplc="0418000F" w:tentative="1">
      <w:start w:val="1"/>
      <w:numFmt w:val="decimal"/>
      <w:lvlText w:val="%7."/>
      <w:lvlJc w:val="left"/>
      <w:pPr>
        <w:ind w:left="5792" w:hanging="360"/>
      </w:pPr>
    </w:lvl>
    <w:lvl w:ilvl="7" w:tplc="04180019" w:tentative="1">
      <w:start w:val="1"/>
      <w:numFmt w:val="lowerLetter"/>
      <w:lvlText w:val="%8."/>
      <w:lvlJc w:val="left"/>
      <w:pPr>
        <w:ind w:left="6512" w:hanging="360"/>
      </w:pPr>
    </w:lvl>
    <w:lvl w:ilvl="8" w:tplc="0418001B" w:tentative="1">
      <w:start w:val="1"/>
      <w:numFmt w:val="lowerRoman"/>
      <w:lvlText w:val="%9."/>
      <w:lvlJc w:val="right"/>
      <w:pPr>
        <w:ind w:left="7232" w:hanging="180"/>
      </w:pPr>
    </w:lvl>
  </w:abstractNum>
  <w:abstractNum w:abstractNumId="92" w15:restartNumberingAfterBreak="0">
    <w:nsid w:val="77960D10"/>
    <w:multiLevelType w:val="hybridMultilevel"/>
    <w:tmpl w:val="91C22300"/>
    <w:lvl w:ilvl="0" w:tplc="BE122940">
      <w:start w:val="8"/>
      <w:numFmt w:val="decimal"/>
      <w:lvlText w:val="%1."/>
      <w:lvlJc w:val="left"/>
      <w:pPr>
        <w:ind w:left="854" w:hanging="428"/>
      </w:pPr>
      <w:rPr>
        <w:rFonts w:ascii="Times New Roman" w:eastAsia="Times New Roman" w:hAnsi="Times New Roman" w:cs="Times New Roman" w:hint="default"/>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7B23331F"/>
    <w:multiLevelType w:val="hybridMultilevel"/>
    <w:tmpl w:val="C1487412"/>
    <w:lvl w:ilvl="0" w:tplc="4A7E4D38">
      <w:numFmt w:val="bullet"/>
      <w:lvlText w:val="-"/>
      <w:lvlJc w:val="left"/>
      <w:pPr>
        <w:ind w:left="548" w:hanging="428"/>
      </w:pPr>
      <w:rPr>
        <w:rFonts w:hint="default"/>
        <w:w w:val="100"/>
      </w:rPr>
    </w:lvl>
    <w:lvl w:ilvl="1" w:tplc="F5DEE3C0">
      <w:numFmt w:val="bullet"/>
      <w:lvlText w:val="•"/>
      <w:lvlJc w:val="left"/>
      <w:pPr>
        <w:ind w:left="1502" w:hanging="428"/>
      </w:pPr>
      <w:rPr>
        <w:rFonts w:hint="default"/>
      </w:rPr>
    </w:lvl>
    <w:lvl w:ilvl="2" w:tplc="CDB2E1A4">
      <w:numFmt w:val="bullet"/>
      <w:lvlText w:val="•"/>
      <w:lvlJc w:val="left"/>
      <w:pPr>
        <w:ind w:left="2464" w:hanging="428"/>
      </w:pPr>
      <w:rPr>
        <w:rFonts w:hint="default"/>
      </w:rPr>
    </w:lvl>
    <w:lvl w:ilvl="3" w:tplc="E4E0287C">
      <w:numFmt w:val="bullet"/>
      <w:lvlText w:val="•"/>
      <w:lvlJc w:val="left"/>
      <w:pPr>
        <w:ind w:left="3426" w:hanging="428"/>
      </w:pPr>
      <w:rPr>
        <w:rFonts w:hint="default"/>
      </w:rPr>
    </w:lvl>
    <w:lvl w:ilvl="4" w:tplc="8BFA931E">
      <w:numFmt w:val="bullet"/>
      <w:lvlText w:val="•"/>
      <w:lvlJc w:val="left"/>
      <w:pPr>
        <w:ind w:left="4388" w:hanging="428"/>
      </w:pPr>
      <w:rPr>
        <w:rFonts w:hint="default"/>
      </w:rPr>
    </w:lvl>
    <w:lvl w:ilvl="5" w:tplc="87821456">
      <w:numFmt w:val="bullet"/>
      <w:lvlText w:val="•"/>
      <w:lvlJc w:val="left"/>
      <w:pPr>
        <w:ind w:left="5350" w:hanging="428"/>
      </w:pPr>
      <w:rPr>
        <w:rFonts w:hint="default"/>
      </w:rPr>
    </w:lvl>
    <w:lvl w:ilvl="6" w:tplc="A71A129A">
      <w:numFmt w:val="bullet"/>
      <w:lvlText w:val="•"/>
      <w:lvlJc w:val="left"/>
      <w:pPr>
        <w:ind w:left="6312" w:hanging="428"/>
      </w:pPr>
      <w:rPr>
        <w:rFonts w:hint="default"/>
      </w:rPr>
    </w:lvl>
    <w:lvl w:ilvl="7" w:tplc="E988BE28">
      <w:numFmt w:val="bullet"/>
      <w:lvlText w:val="•"/>
      <w:lvlJc w:val="left"/>
      <w:pPr>
        <w:ind w:left="7274" w:hanging="428"/>
      </w:pPr>
      <w:rPr>
        <w:rFonts w:hint="default"/>
      </w:rPr>
    </w:lvl>
    <w:lvl w:ilvl="8" w:tplc="AA922BCC">
      <w:numFmt w:val="bullet"/>
      <w:lvlText w:val="•"/>
      <w:lvlJc w:val="left"/>
      <w:pPr>
        <w:ind w:left="8236" w:hanging="428"/>
      </w:pPr>
      <w:rPr>
        <w:rFonts w:hint="default"/>
      </w:rPr>
    </w:lvl>
  </w:abstractNum>
  <w:abstractNum w:abstractNumId="94" w15:restartNumberingAfterBreak="0">
    <w:nsid w:val="7CDF42CD"/>
    <w:multiLevelType w:val="hybridMultilevel"/>
    <w:tmpl w:val="EEF2563A"/>
    <w:lvl w:ilvl="0" w:tplc="A3E06034">
      <w:start w:val="1"/>
      <w:numFmt w:val="lowerLetter"/>
      <w:lvlText w:val="%1."/>
      <w:lvlJc w:val="left"/>
      <w:pPr>
        <w:ind w:left="828" w:hanging="360"/>
      </w:pPr>
      <w:rPr>
        <w:rFonts w:ascii="Times New Roman" w:eastAsia="Times New Roman" w:hAnsi="Times New Roman" w:cs="Times New Roman" w:hint="default"/>
        <w:w w:val="100"/>
        <w:sz w:val="22"/>
        <w:szCs w:val="22"/>
      </w:rPr>
    </w:lvl>
    <w:lvl w:ilvl="1" w:tplc="1246614A">
      <w:numFmt w:val="bullet"/>
      <w:lvlText w:val="•"/>
      <w:lvlJc w:val="left"/>
      <w:pPr>
        <w:ind w:left="1754" w:hanging="360"/>
      </w:pPr>
      <w:rPr>
        <w:rFonts w:hint="default"/>
      </w:rPr>
    </w:lvl>
    <w:lvl w:ilvl="2" w:tplc="E0522FAE">
      <w:numFmt w:val="bullet"/>
      <w:lvlText w:val="•"/>
      <w:lvlJc w:val="left"/>
      <w:pPr>
        <w:ind w:left="2688" w:hanging="360"/>
      </w:pPr>
      <w:rPr>
        <w:rFonts w:hint="default"/>
      </w:rPr>
    </w:lvl>
    <w:lvl w:ilvl="3" w:tplc="9372EE8E">
      <w:numFmt w:val="bullet"/>
      <w:lvlText w:val="•"/>
      <w:lvlJc w:val="left"/>
      <w:pPr>
        <w:ind w:left="3622" w:hanging="360"/>
      </w:pPr>
      <w:rPr>
        <w:rFonts w:hint="default"/>
      </w:rPr>
    </w:lvl>
    <w:lvl w:ilvl="4" w:tplc="601A4A2E">
      <w:numFmt w:val="bullet"/>
      <w:lvlText w:val="•"/>
      <w:lvlJc w:val="left"/>
      <w:pPr>
        <w:ind w:left="4556" w:hanging="360"/>
      </w:pPr>
      <w:rPr>
        <w:rFonts w:hint="default"/>
      </w:rPr>
    </w:lvl>
    <w:lvl w:ilvl="5" w:tplc="1FE4C4FA">
      <w:numFmt w:val="bullet"/>
      <w:lvlText w:val="•"/>
      <w:lvlJc w:val="left"/>
      <w:pPr>
        <w:ind w:left="5490" w:hanging="360"/>
      </w:pPr>
      <w:rPr>
        <w:rFonts w:hint="default"/>
      </w:rPr>
    </w:lvl>
    <w:lvl w:ilvl="6" w:tplc="55F282EA">
      <w:numFmt w:val="bullet"/>
      <w:lvlText w:val="•"/>
      <w:lvlJc w:val="left"/>
      <w:pPr>
        <w:ind w:left="6424" w:hanging="360"/>
      </w:pPr>
      <w:rPr>
        <w:rFonts w:hint="default"/>
      </w:rPr>
    </w:lvl>
    <w:lvl w:ilvl="7" w:tplc="D9D2E024">
      <w:numFmt w:val="bullet"/>
      <w:lvlText w:val="•"/>
      <w:lvlJc w:val="left"/>
      <w:pPr>
        <w:ind w:left="7358" w:hanging="360"/>
      </w:pPr>
      <w:rPr>
        <w:rFonts w:hint="default"/>
      </w:rPr>
    </w:lvl>
    <w:lvl w:ilvl="8" w:tplc="7F7AD108">
      <w:numFmt w:val="bullet"/>
      <w:lvlText w:val="•"/>
      <w:lvlJc w:val="left"/>
      <w:pPr>
        <w:ind w:left="8292" w:hanging="360"/>
      </w:pPr>
      <w:rPr>
        <w:rFonts w:hint="default"/>
      </w:rPr>
    </w:lvl>
  </w:abstractNum>
  <w:abstractNum w:abstractNumId="95" w15:restartNumberingAfterBreak="0">
    <w:nsid w:val="7DD354DC"/>
    <w:multiLevelType w:val="hybridMultilevel"/>
    <w:tmpl w:val="03D09F4C"/>
    <w:lvl w:ilvl="0" w:tplc="DFE6169E">
      <w:start w:val="1"/>
      <w:numFmt w:val="decimal"/>
      <w:lvlText w:val="(%1)"/>
      <w:lvlJc w:val="left"/>
      <w:pPr>
        <w:ind w:left="720" w:hanging="360"/>
      </w:pPr>
      <w:rPr>
        <w:rFonts w:ascii="Times New Roman" w:eastAsia="Times New Roman" w:hAnsi="Times New Roman" w:cs="Times New Roman" w:hint="default"/>
        <w:w w:val="100"/>
        <w:sz w:val="22"/>
        <w:szCs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7E280FD0"/>
    <w:multiLevelType w:val="hybridMultilevel"/>
    <w:tmpl w:val="A28A0F80"/>
    <w:lvl w:ilvl="0" w:tplc="3AB49490">
      <w:start w:val="1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7E56715B"/>
    <w:multiLevelType w:val="hybridMultilevel"/>
    <w:tmpl w:val="1472D7F0"/>
    <w:lvl w:ilvl="0" w:tplc="DFE6169E">
      <w:start w:val="1"/>
      <w:numFmt w:val="decimal"/>
      <w:lvlText w:val="(%1)"/>
      <w:lvlJc w:val="left"/>
      <w:pPr>
        <w:ind w:left="548" w:hanging="428"/>
      </w:pPr>
      <w:rPr>
        <w:rFonts w:ascii="Times New Roman" w:eastAsia="Times New Roman" w:hAnsi="Times New Roman" w:cs="Times New Roman" w:hint="default"/>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15:restartNumberingAfterBreak="0">
    <w:nsid w:val="7F220ACA"/>
    <w:multiLevelType w:val="hybridMultilevel"/>
    <w:tmpl w:val="3990953C"/>
    <w:lvl w:ilvl="0" w:tplc="DFE6169E">
      <w:start w:val="1"/>
      <w:numFmt w:val="decimal"/>
      <w:lvlText w:val="(%1)"/>
      <w:lvlJc w:val="left"/>
      <w:pPr>
        <w:ind w:left="1440" w:hanging="360"/>
      </w:pPr>
      <w:rPr>
        <w:rFonts w:ascii="Times New Roman" w:eastAsia="Times New Roman" w:hAnsi="Times New Roman" w:cs="Times New Roman" w:hint="default"/>
        <w:w w:val="100"/>
        <w:sz w:val="22"/>
        <w:szCs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7FD146C2"/>
    <w:multiLevelType w:val="hybridMultilevel"/>
    <w:tmpl w:val="75BC2434"/>
    <w:lvl w:ilvl="0" w:tplc="614ACE48">
      <w:start w:val="1"/>
      <w:numFmt w:val="decimal"/>
      <w:lvlText w:val="%1."/>
      <w:lvlJc w:val="left"/>
      <w:pPr>
        <w:ind w:left="548" w:hanging="428"/>
      </w:pPr>
      <w:rPr>
        <w:rFonts w:ascii="Times New Roman" w:eastAsia="Times New Roman" w:hAnsi="Times New Roman" w:cs="Times New Roman" w:hint="default"/>
        <w:w w:val="100"/>
        <w:sz w:val="22"/>
        <w:szCs w:val="22"/>
      </w:rPr>
    </w:lvl>
    <w:lvl w:ilvl="1" w:tplc="36A0018C">
      <w:numFmt w:val="bullet"/>
      <w:lvlText w:val="•"/>
      <w:lvlJc w:val="left"/>
      <w:pPr>
        <w:ind w:left="1502" w:hanging="428"/>
      </w:pPr>
      <w:rPr>
        <w:rFonts w:hint="default"/>
      </w:rPr>
    </w:lvl>
    <w:lvl w:ilvl="2" w:tplc="A5706E18">
      <w:numFmt w:val="bullet"/>
      <w:lvlText w:val="•"/>
      <w:lvlJc w:val="left"/>
      <w:pPr>
        <w:ind w:left="2464" w:hanging="428"/>
      </w:pPr>
      <w:rPr>
        <w:rFonts w:hint="default"/>
      </w:rPr>
    </w:lvl>
    <w:lvl w:ilvl="3" w:tplc="0A4C52FC">
      <w:numFmt w:val="bullet"/>
      <w:lvlText w:val="•"/>
      <w:lvlJc w:val="left"/>
      <w:pPr>
        <w:ind w:left="3426" w:hanging="428"/>
      </w:pPr>
      <w:rPr>
        <w:rFonts w:hint="default"/>
      </w:rPr>
    </w:lvl>
    <w:lvl w:ilvl="4" w:tplc="1EC82D84">
      <w:numFmt w:val="bullet"/>
      <w:lvlText w:val="•"/>
      <w:lvlJc w:val="left"/>
      <w:pPr>
        <w:ind w:left="4388" w:hanging="428"/>
      </w:pPr>
      <w:rPr>
        <w:rFonts w:hint="default"/>
      </w:rPr>
    </w:lvl>
    <w:lvl w:ilvl="5" w:tplc="793A48B8">
      <w:numFmt w:val="bullet"/>
      <w:lvlText w:val="•"/>
      <w:lvlJc w:val="left"/>
      <w:pPr>
        <w:ind w:left="5350" w:hanging="428"/>
      </w:pPr>
      <w:rPr>
        <w:rFonts w:hint="default"/>
      </w:rPr>
    </w:lvl>
    <w:lvl w:ilvl="6" w:tplc="1A9071F0">
      <w:numFmt w:val="bullet"/>
      <w:lvlText w:val="•"/>
      <w:lvlJc w:val="left"/>
      <w:pPr>
        <w:ind w:left="6312" w:hanging="428"/>
      </w:pPr>
      <w:rPr>
        <w:rFonts w:hint="default"/>
      </w:rPr>
    </w:lvl>
    <w:lvl w:ilvl="7" w:tplc="6CAC59FE">
      <w:numFmt w:val="bullet"/>
      <w:lvlText w:val="•"/>
      <w:lvlJc w:val="left"/>
      <w:pPr>
        <w:ind w:left="7274" w:hanging="428"/>
      </w:pPr>
      <w:rPr>
        <w:rFonts w:hint="default"/>
      </w:rPr>
    </w:lvl>
    <w:lvl w:ilvl="8" w:tplc="FE8605E2">
      <w:numFmt w:val="bullet"/>
      <w:lvlText w:val="•"/>
      <w:lvlJc w:val="left"/>
      <w:pPr>
        <w:ind w:left="8236" w:hanging="428"/>
      </w:pPr>
      <w:rPr>
        <w:rFonts w:hint="default"/>
      </w:rPr>
    </w:lvl>
  </w:abstractNum>
  <w:num w:numId="1" w16cid:durableId="594093409">
    <w:abstractNumId w:val="39"/>
  </w:num>
  <w:num w:numId="2" w16cid:durableId="704869177">
    <w:abstractNumId w:val="33"/>
  </w:num>
  <w:num w:numId="3" w16cid:durableId="1730228772">
    <w:abstractNumId w:val="19"/>
  </w:num>
  <w:num w:numId="4" w16cid:durableId="1178933170">
    <w:abstractNumId w:val="37"/>
  </w:num>
  <w:num w:numId="5" w16cid:durableId="1035469777">
    <w:abstractNumId w:val="52"/>
  </w:num>
  <w:num w:numId="6" w16cid:durableId="2014213783">
    <w:abstractNumId w:val="78"/>
  </w:num>
  <w:num w:numId="7" w16cid:durableId="577060309">
    <w:abstractNumId w:val="99"/>
  </w:num>
  <w:num w:numId="8" w16cid:durableId="1937401918">
    <w:abstractNumId w:val="4"/>
  </w:num>
  <w:num w:numId="9" w16cid:durableId="2067676094">
    <w:abstractNumId w:val="36"/>
  </w:num>
  <w:num w:numId="10" w16cid:durableId="1655840002">
    <w:abstractNumId w:val="93"/>
  </w:num>
  <w:num w:numId="11" w16cid:durableId="960456325">
    <w:abstractNumId w:val="53"/>
  </w:num>
  <w:num w:numId="12" w16cid:durableId="412243060">
    <w:abstractNumId w:val="35"/>
  </w:num>
  <w:num w:numId="13" w16cid:durableId="1677729444">
    <w:abstractNumId w:val="58"/>
  </w:num>
  <w:num w:numId="14" w16cid:durableId="1507818850">
    <w:abstractNumId w:val="13"/>
  </w:num>
  <w:num w:numId="15" w16cid:durableId="1346131595">
    <w:abstractNumId w:val="66"/>
  </w:num>
  <w:num w:numId="16" w16cid:durableId="122232315">
    <w:abstractNumId w:val="56"/>
  </w:num>
  <w:num w:numId="17" w16cid:durableId="791171698">
    <w:abstractNumId w:val="79"/>
  </w:num>
  <w:num w:numId="18" w16cid:durableId="980841005">
    <w:abstractNumId w:val="84"/>
  </w:num>
  <w:num w:numId="19" w16cid:durableId="1374966909">
    <w:abstractNumId w:val="74"/>
  </w:num>
  <w:num w:numId="20" w16cid:durableId="1232500453">
    <w:abstractNumId w:val="34"/>
  </w:num>
  <w:num w:numId="21" w16cid:durableId="310444955">
    <w:abstractNumId w:val="41"/>
  </w:num>
  <w:num w:numId="22" w16cid:durableId="1323125959">
    <w:abstractNumId w:val="87"/>
  </w:num>
  <w:num w:numId="23" w16cid:durableId="1939823165">
    <w:abstractNumId w:val="54"/>
  </w:num>
  <w:num w:numId="24" w16cid:durableId="937979969">
    <w:abstractNumId w:val="41"/>
  </w:num>
  <w:num w:numId="25" w16cid:durableId="326398585">
    <w:abstractNumId w:val="72"/>
  </w:num>
  <w:num w:numId="26" w16cid:durableId="749236902">
    <w:abstractNumId w:val="89"/>
  </w:num>
  <w:num w:numId="27" w16cid:durableId="1931424788">
    <w:abstractNumId w:val="82"/>
  </w:num>
  <w:num w:numId="28" w16cid:durableId="399133214">
    <w:abstractNumId w:val="46"/>
  </w:num>
  <w:num w:numId="29" w16cid:durableId="1950041361">
    <w:abstractNumId w:val="61"/>
  </w:num>
  <w:num w:numId="30" w16cid:durableId="14496221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5965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6997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4794616">
    <w:abstractNumId w:val="9"/>
  </w:num>
  <w:num w:numId="34" w16cid:durableId="1962031127">
    <w:abstractNumId w:val="83"/>
  </w:num>
  <w:num w:numId="35" w16cid:durableId="141701982">
    <w:abstractNumId w:val="32"/>
  </w:num>
  <w:num w:numId="36" w16cid:durableId="454376763">
    <w:abstractNumId w:val="69"/>
  </w:num>
  <w:num w:numId="37" w16cid:durableId="636109372">
    <w:abstractNumId w:val="76"/>
  </w:num>
  <w:num w:numId="38" w16cid:durableId="42171604">
    <w:abstractNumId w:val="12"/>
  </w:num>
  <w:num w:numId="39" w16cid:durableId="2058774605">
    <w:abstractNumId w:val="30"/>
  </w:num>
  <w:num w:numId="40" w16cid:durableId="1749380633">
    <w:abstractNumId w:val="97"/>
  </w:num>
  <w:num w:numId="41" w16cid:durableId="383064787">
    <w:abstractNumId w:val="96"/>
  </w:num>
  <w:num w:numId="42" w16cid:durableId="1136333235">
    <w:abstractNumId w:val="75"/>
  </w:num>
  <w:num w:numId="43" w16cid:durableId="1780952378">
    <w:abstractNumId w:val="85"/>
  </w:num>
  <w:num w:numId="44" w16cid:durableId="204367845">
    <w:abstractNumId w:val="7"/>
  </w:num>
  <w:num w:numId="45" w16cid:durableId="1143694942">
    <w:abstractNumId w:val="92"/>
  </w:num>
  <w:num w:numId="46" w16cid:durableId="1474756944">
    <w:abstractNumId w:val="55"/>
  </w:num>
  <w:num w:numId="47" w16cid:durableId="1961572019">
    <w:abstractNumId w:val="8"/>
  </w:num>
  <w:num w:numId="48" w16cid:durableId="817112571">
    <w:abstractNumId w:val="17"/>
  </w:num>
  <w:num w:numId="49" w16cid:durableId="516575559">
    <w:abstractNumId w:val="29"/>
  </w:num>
  <w:num w:numId="50" w16cid:durableId="1199274394">
    <w:abstractNumId w:val="50"/>
  </w:num>
  <w:num w:numId="51" w16cid:durableId="1738554477">
    <w:abstractNumId w:val="25"/>
  </w:num>
  <w:num w:numId="52" w16cid:durableId="1083140631">
    <w:abstractNumId w:val="65"/>
  </w:num>
  <w:num w:numId="53" w16cid:durableId="710039191">
    <w:abstractNumId w:val="70"/>
  </w:num>
  <w:num w:numId="54" w16cid:durableId="974523414">
    <w:abstractNumId w:val="22"/>
  </w:num>
  <w:num w:numId="55" w16cid:durableId="1498498296">
    <w:abstractNumId w:val="47"/>
  </w:num>
  <w:num w:numId="56" w16cid:durableId="1245289">
    <w:abstractNumId w:val="28"/>
  </w:num>
  <w:num w:numId="57" w16cid:durableId="1106580328">
    <w:abstractNumId w:val="26"/>
  </w:num>
  <w:num w:numId="58" w16cid:durableId="1979334529">
    <w:abstractNumId w:val="71"/>
  </w:num>
  <w:num w:numId="59" w16cid:durableId="117797665">
    <w:abstractNumId w:val="43"/>
  </w:num>
  <w:num w:numId="60" w16cid:durableId="2072384227">
    <w:abstractNumId w:val="6"/>
  </w:num>
  <w:num w:numId="61" w16cid:durableId="907691896">
    <w:abstractNumId w:val="63"/>
  </w:num>
  <w:num w:numId="62" w16cid:durableId="1950811719">
    <w:abstractNumId w:val="62"/>
  </w:num>
  <w:num w:numId="63" w16cid:durableId="114179912">
    <w:abstractNumId w:val="20"/>
  </w:num>
  <w:num w:numId="64" w16cid:durableId="1275209278">
    <w:abstractNumId w:val="3"/>
  </w:num>
  <w:num w:numId="65" w16cid:durableId="567499232">
    <w:abstractNumId w:val="51"/>
  </w:num>
  <w:num w:numId="66" w16cid:durableId="545872193">
    <w:abstractNumId w:val="16"/>
  </w:num>
  <w:num w:numId="67" w16cid:durableId="1348828230">
    <w:abstractNumId w:val="64"/>
  </w:num>
  <w:num w:numId="68" w16cid:durableId="1002705316">
    <w:abstractNumId w:val="48"/>
  </w:num>
  <w:num w:numId="69" w16cid:durableId="1428769453">
    <w:abstractNumId w:val="77"/>
  </w:num>
  <w:num w:numId="70" w16cid:durableId="1033582383">
    <w:abstractNumId w:val="94"/>
  </w:num>
  <w:num w:numId="71" w16cid:durableId="959727926">
    <w:abstractNumId w:val="21"/>
  </w:num>
  <w:num w:numId="72" w16cid:durableId="1815296401">
    <w:abstractNumId w:val="31"/>
  </w:num>
  <w:num w:numId="73" w16cid:durableId="575749853">
    <w:abstractNumId w:val="27"/>
  </w:num>
  <w:num w:numId="74" w16cid:durableId="486020926">
    <w:abstractNumId w:val="86"/>
  </w:num>
  <w:num w:numId="75" w16cid:durableId="1329091131">
    <w:abstractNumId w:val="38"/>
  </w:num>
  <w:num w:numId="76" w16cid:durableId="743769843">
    <w:abstractNumId w:val="0"/>
  </w:num>
  <w:num w:numId="77" w16cid:durableId="996883950">
    <w:abstractNumId w:val="98"/>
  </w:num>
  <w:num w:numId="78" w16cid:durableId="1848060981">
    <w:abstractNumId w:val="5"/>
  </w:num>
  <w:num w:numId="79" w16cid:durableId="1824201221">
    <w:abstractNumId w:val="60"/>
  </w:num>
  <w:num w:numId="80" w16cid:durableId="2097049591">
    <w:abstractNumId w:val="91"/>
  </w:num>
  <w:num w:numId="81" w16cid:durableId="596400690">
    <w:abstractNumId w:val="14"/>
  </w:num>
  <w:num w:numId="82" w16cid:durableId="1173102954">
    <w:abstractNumId w:val="18"/>
  </w:num>
  <w:num w:numId="83" w16cid:durableId="1870491223">
    <w:abstractNumId w:val="73"/>
  </w:num>
  <w:num w:numId="84" w16cid:durableId="707880287">
    <w:abstractNumId w:val="24"/>
  </w:num>
  <w:num w:numId="85" w16cid:durableId="1685278224">
    <w:abstractNumId w:val="44"/>
  </w:num>
  <w:num w:numId="86" w16cid:durableId="213397278">
    <w:abstractNumId w:val="15"/>
  </w:num>
  <w:num w:numId="87" w16cid:durableId="627662914">
    <w:abstractNumId w:val="68"/>
  </w:num>
  <w:num w:numId="88" w16cid:durableId="1680616511">
    <w:abstractNumId w:val="45"/>
  </w:num>
  <w:num w:numId="89" w16cid:durableId="1693915654">
    <w:abstractNumId w:val="81"/>
  </w:num>
  <w:num w:numId="90" w16cid:durableId="697925346">
    <w:abstractNumId w:val="57"/>
  </w:num>
  <w:num w:numId="91" w16cid:durableId="795026824">
    <w:abstractNumId w:val="10"/>
  </w:num>
  <w:num w:numId="92" w16cid:durableId="1826125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930467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50387762">
    <w:abstractNumId w:val="95"/>
  </w:num>
  <w:num w:numId="95" w16cid:durableId="222328950">
    <w:abstractNumId w:val="40"/>
  </w:num>
  <w:num w:numId="96" w16cid:durableId="9111833">
    <w:abstractNumId w:val="80"/>
  </w:num>
  <w:num w:numId="97" w16cid:durableId="209076248">
    <w:abstractNumId w:val="90"/>
  </w:num>
  <w:num w:numId="98" w16cid:durableId="1742634661">
    <w:abstractNumId w:val="1"/>
  </w:num>
  <w:num w:numId="99" w16cid:durableId="1273440671">
    <w:abstractNumId w:val="49"/>
  </w:num>
  <w:num w:numId="100" w16cid:durableId="584802028">
    <w:abstractNumId w:val="11"/>
  </w:num>
  <w:num w:numId="101" w16cid:durableId="665666022">
    <w:abstractNumId w:val="42"/>
  </w:num>
  <w:num w:numId="102" w16cid:durableId="2139640905">
    <w:abstractNumId w:val="88"/>
  </w:num>
  <w:num w:numId="103" w16cid:durableId="1662729418">
    <w:abstractNumId w:val="59"/>
  </w:num>
  <w:num w:numId="104" w16cid:durableId="2088115663">
    <w:abstractNumId w:val="23"/>
  </w:num>
  <w:num w:numId="105" w16cid:durableId="158935095">
    <w:abstractNumId w:val="67"/>
  </w:num>
  <w:num w:numId="106" w16cid:durableId="16199517">
    <w:abstractNumId w:val="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3NTM1tDQ0NDCyMDNQ0lEKTi0uzszPAykwrgUAVyUsPiwAAAA="/>
  </w:docVars>
  <w:rsids>
    <w:rsidRoot w:val="002A72C5"/>
    <w:rsid w:val="00001213"/>
    <w:rsid w:val="000045D9"/>
    <w:rsid w:val="000066DB"/>
    <w:rsid w:val="0001003F"/>
    <w:rsid w:val="000103FD"/>
    <w:rsid w:val="000105A1"/>
    <w:rsid w:val="00010B02"/>
    <w:rsid w:val="00010FFF"/>
    <w:rsid w:val="0001276A"/>
    <w:rsid w:val="0001490E"/>
    <w:rsid w:val="00014B01"/>
    <w:rsid w:val="00017094"/>
    <w:rsid w:val="00017C85"/>
    <w:rsid w:val="000208BB"/>
    <w:rsid w:val="0002485F"/>
    <w:rsid w:val="0002514E"/>
    <w:rsid w:val="0002694C"/>
    <w:rsid w:val="00027C0F"/>
    <w:rsid w:val="00027CDE"/>
    <w:rsid w:val="00030D83"/>
    <w:rsid w:val="00033694"/>
    <w:rsid w:val="000337E1"/>
    <w:rsid w:val="00033FE3"/>
    <w:rsid w:val="00034018"/>
    <w:rsid w:val="000340FC"/>
    <w:rsid w:val="00034548"/>
    <w:rsid w:val="0003579C"/>
    <w:rsid w:val="00035B05"/>
    <w:rsid w:val="000369D0"/>
    <w:rsid w:val="00036DFB"/>
    <w:rsid w:val="00036EAF"/>
    <w:rsid w:val="00037919"/>
    <w:rsid w:val="00042201"/>
    <w:rsid w:val="0004226C"/>
    <w:rsid w:val="00044092"/>
    <w:rsid w:val="00044514"/>
    <w:rsid w:val="0004508B"/>
    <w:rsid w:val="00046C29"/>
    <w:rsid w:val="00051F5E"/>
    <w:rsid w:val="000533D4"/>
    <w:rsid w:val="00053C01"/>
    <w:rsid w:val="00054CAF"/>
    <w:rsid w:val="00055AC0"/>
    <w:rsid w:val="00062427"/>
    <w:rsid w:val="00062598"/>
    <w:rsid w:val="0006348D"/>
    <w:rsid w:val="00063B31"/>
    <w:rsid w:val="00063DC9"/>
    <w:rsid w:val="00064313"/>
    <w:rsid w:val="000657FF"/>
    <w:rsid w:val="0006582A"/>
    <w:rsid w:val="0006737D"/>
    <w:rsid w:val="00067574"/>
    <w:rsid w:val="0007091E"/>
    <w:rsid w:val="000709B8"/>
    <w:rsid w:val="00071F77"/>
    <w:rsid w:val="00073192"/>
    <w:rsid w:val="00074007"/>
    <w:rsid w:val="0007431C"/>
    <w:rsid w:val="00075FF9"/>
    <w:rsid w:val="00076BBA"/>
    <w:rsid w:val="00077EB8"/>
    <w:rsid w:val="00080A1F"/>
    <w:rsid w:val="00080C3C"/>
    <w:rsid w:val="00081D44"/>
    <w:rsid w:val="00082084"/>
    <w:rsid w:val="0008581F"/>
    <w:rsid w:val="00086A8A"/>
    <w:rsid w:val="00086F6E"/>
    <w:rsid w:val="00087A91"/>
    <w:rsid w:val="00094859"/>
    <w:rsid w:val="00094B76"/>
    <w:rsid w:val="0009607D"/>
    <w:rsid w:val="000960BD"/>
    <w:rsid w:val="00096682"/>
    <w:rsid w:val="00096F06"/>
    <w:rsid w:val="00097425"/>
    <w:rsid w:val="00097A6E"/>
    <w:rsid w:val="000A483C"/>
    <w:rsid w:val="000A5596"/>
    <w:rsid w:val="000A5A6D"/>
    <w:rsid w:val="000A6D68"/>
    <w:rsid w:val="000B04DD"/>
    <w:rsid w:val="000B0CAC"/>
    <w:rsid w:val="000B3D6F"/>
    <w:rsid w:val="000B4CE6"/>
    <w:rsid w:val="000B7246"/>
    <w:rsid w:val="000C1BC1"/>
    <w:rsid w:val="000C251B"/>
    <w:rsid w:val="000C2C42"/>
    <w:rsid w:val="000C3BEA"/>
    <w:rsid w:val="000C6606"/>
    <w:rsid w:val="000C6844"/>
    <w:rsid w:val="000C7BBE"/>
    <w:rsid w:val="000D1620"/>
    <w:rsid w:val="000D1BE1"/>
    <w:rsid w:val="000D24D8"/>
    <w:rsid w:val="000D34E1"/>
    <w:rsid w:val="000D351A"/>
    <w:rsid w:val="000D36CD"/>
    <w:rsid w:val="000D7892"/>
    <w:rsid w:val="000E2A41"/>
    <w:rsid w:val="000E38D1"/>
    <w:rsid w:val="000E444C"/>
    <w:rsid w:val="000E57B2"/>
    <w:rsid w:val="000E5F47"/>
    <w:rsid w:val="000E7F28"/>
    <w:rsid w:val="000F04B2"/>
    <w:rsid w:val="000F0D78"/>
    <w:rsid w:val="000F3213"/>
    <w:rsid w:val="000F501D"/>
    <w:rsid w:val="000F577F"/>
    <w:rsid w:val="000F5A57"/>
    <w:rsid w:val="000F5E36"/>
    <w:rsid w:val="0010031C"/>
    <w:rsid w:val="001009F8"/>
    <w:rsid w:val="0010153B"/>
    <w:rsid w:val="00101DB8"/>
    <w:rsid w:val="00101F43"/>
    <w:rsid w:val="001024E7"/>
    <w:rsid w:val="00103B06"/>
    <w:rsid w:val="00112637"/>
    <w:rsid w:val="001157B1"/>
    <w:rsid w:val="00115DEF"/>
    <w:rsid w:val="00115F5C"/>
    <w:rsid w:val="00116919"/>
    <w:rsid w:val="00120513"/>
    <w:rsid w:val="001210CA"/>
    <w:rsid w:val="00121609"/>
    <w:rsid w:val="001216EA"/>
    <w:rsid w:val="00122880"/>
    <w:rsid w:val="0012375E"/>
    <w:rsid w:val="001239BE"/>
    <w:rsid w:val="00126B3A"/>
    <w:rsid w:val="001321A4"/>
    <w:rsid w:val="001329BB"/>
    <w:rsid w:val="001331B4"/>
    <w:rsid w:val="001339A0"/>
    <w:rsid w:val="001357D6"/>
    <w:rsid w:val="00136AD4"/>
    <w:rsid w:val="00136E04"/>
    <w:rsid w:val="00136FBC"/>
    <w:rsid w:val="00140413"/>
    <w:rsid w:val="00142B5F"/>
    <w:rsid w:val="001440B0"/>
    <w:rsid w:val="001446B8"/>
    <w:rsid w:val="001462F5"/>
    <w:rsid w:val="00150132"/>
    <w:rsid w:val="001504AC"/>
    <w:rsid w:val="0015068F"/>
    <w:rsid w:val="001532E1"/>
    <w:rsid w:val="001539C7"/>
    <w:rsid w:val="00154E5F"/>
    <w:rsid w:val="0015568C"/>
    <w:rsid w:val="00155F6E"/>
    <w:rsid w:val="00156F1D"/>
    <w:rsid w:val="00160472"/>
    <w:rsid w:val="00160CF1"/>
    <w:rsid w:val="00161E60"/>
    <w:rsid w:val="001651A6"/>
    <w:rsid w:val="001654F5"/>
    <w:rsid w:val="0016799B"/>
    <w:rsid w:val="00170002"/>
    <w:rsid w:val="00171DBC"/>
    <w:rsid w:val="00173106"/>
    <w:rsid w:val="00173A38"/>
    <w:rsid w:val="001745B3"/>
    <w:rsid w:val="001745DB"/>
    <w:rsid w:val="00175C54"/>
    <w:rsid w:val="00176FEA"/>
    <w:rsid w:val="001808BC"/>
    <w:rsid w:val="00181B83"/>
    <w:rsid w:val="001822DA"/>
    <w:rsid w:val="00183356"/>
    <w:rsid w:val="0018589F"/>
    <w:rsid w:val="00186B54"/>
    <w:rsid w:val="001934D8"/>
    <w:rsid w:val="001936E2"/>
    <w:rsid w:val="00194AD1"/>
    <w:rsid w:val="00194F0C"/>
    <w:rsid w:val="001952C2"/>
    <w:rsid w:val="001A0524"/>
    <w:rsid w:val="001A178C"/>
    <w:rsid w:val="001A2EF9"/>
    <w:rsid w:val="001A3D9A"/>
    <w:rsid w:val="001A4460"/>
    <w:rsid w:val="001A627F"/>
    <w:rsid w:val="001A69C1"/>
    <w:rsid w:val="001B0EED"/>
    <w:rsid w:val="001B1483"/>
    <w:rsid w:val="001B33D2"/>
    <w:rsid w:val="001B5D9D"/>
    <w:rsid w:val="001B623E"/>
    <w:rsid w:val="001B626C"/>
    <w:rsid w:val="001C0FE7"/>
    <w:rsid w:val="001C138D"/>
    <w:rsid w:val="001C1548"/>
    <w:rsid w:val="001C179E"/>
    <w:rsid w:val="001C47CF"/>
    <w:rsid w:val="001C6135"/>
    <w:rsid w:val="001C75F9"/>
    <w:rsid w:val="001C774D"/>
    <w:rsid w:val="001D17CD"/>
    <w:rsid w:val="001D2365"/>
    <w:rsid w:val="001D3FB6"/>
    <w:rsid w:val="001D488C"/>
    <w:rsid w:val="001D4F07"/>
    <w:rsid w:val="001D673B"/>
    <w:rsid w:val="001E1DF5"/>
    <w:rsid w:val="001E3D06"/>
    <w:rsid w:val="001E775A"/>
    <w:rsid w:val="001F1977"/>
    <w:rsid w:val="001F1F80"/>
    <w:rsid w:val="001F5BB6"/>
    <w:rsid w:val="001F721A"/>
    <w:rsid w:val="002024FF"/>
    <w:rsid w:val="00203D8F"/>
    <w:rsid w:val="00206A53"/>
    <w:rsid w:val="00206B69"/>
    <w:rsid w:val="002079C2"/>
    <w:rsid w:val="00207A4C"/>
    <w:rsid w:val="00210009"/>
    <w:rsid w:val="002100A1"/>
    <w:rsid w:val="002118EF"/>
    <w:rsid w:val="002141FC"/>
    <w:rsid w:val="00214E8F"/>
    <w:rsid w:val="002162B4"/>
    <w:rsid w:val="00220D45"/>
    <w:rsid w:val="0022170A"/>
    <w:rsid w:val="0022216C"/>
    <w:rsid w:val="00223454"/>
    <w:rsid w:val="002256B0"/>
    <w:rsid w:val="00225DF1"/>
    <w:rsid w:val="00227EFC"/>
    <w:rsid w:val="0023349C"/>
    <w:rsid w:val="00233C72"/>
    <w:rsid w:val="00234349"/>
    <w:rsid w:val="002347B3"/>
    <w:rsid w:val="002353CD"/>
    <w:rsid w:val="00235AE8"/>
    <w:rsid w:val="00236E20"/>
    <w:rsid w:val="00241572"/>
    <w:rsid w:val="00241C44"/>
    <w:rsid w:val="00241CAF"/>
    <w:rsid w:val="00242D4C"/>
    <w:rsid w:val="00243981"/>
    <w:rsid w:val="00243A0B"/>
    <w:rsid w:val="00243CA4"/>
    <w:rsid w:val="00244105"/>
    <w:rsid w:val="002450E1"/>
    <w:rsid w:val="00246162"/>
    <w:rsid w:val="002461B5"/>
    <w:rsid w:val="00246D46"/>
    <w:rsid w:val="00250883"/>
    <w:rsid w:val="002514CF"/>
    <w:rsid w:val="00251871"/>
    <w:rsid w:val="00254B6D"/>
    <w:rsid w:val="00254DC4"/>
    <w:rsid w:val="00256875"/>
    <w:rsid w:val="002576AB"/>
    <w:rsid w:val="00260775"/>
    <w:rsid w:val="00260BDD"/>
    <w:rsid w:val="00262093"/>
    <w:rsid w:val="002624D7"/>
    <w:rsid w:val="00265D83"/>
    <w:rsid w:val="00266F1B"/>
    <w:rsid w:val="002670CA"/>
    <w:rsid w:val="00267B30"/>
    <w:rsid w:val="00270407"/>
    <w:rsid w:val="002739E8"/>
    <w:rsid w:val="00274AFD"/>
    <w:rsid w:val="002755B4"/>
    <w:rsid w:val="00280138"/>
    <w:rsid w:val="002804AB"/>
    <w:rsid w:val="0028710F"/>
    <w:rsid w:val="002875B2"/>
    <w:rsid w:val="002907C9"/>
    <w:rsid w:val="0029082A"/>
    <w:rsid w:val="00291030"/>
    <w:rsid w:val="00294AB6"/>
    <w:rsid w:val="0029517E"/>
    <w:rsid w:val="0029565F"/>
    <w:rsid w:val="0029797E"/>
    <w:rsid w:val="002A0E31"/>
    <w:rsid w:val="002A1BFC"/>
    <w:rsid w:val="002A2A8F"/>
    <w:rsid w:val="002A31ED"/>
    <w:rsid w:val="002A72C5"/>
    <w:rsid w:val="002A7AAF"/>
    <w:rsid w:val="002B4A0D"/>
    <w:rsid w:val="002B4A1B"/>
    <w:rsid w:val="002B4AA6"/>
    <w:rsid w:val="002B6324"/>
    <w:rsid w:val="002B6D4B"/>
    <w:rsid w:val="002C0416"/>
    <w:rsid w:val="002C2B6B"/>
    <w:rsid w:val="002C534F"/>
    <w:rsid w:val="002D1BAE"/>
    <w:rsid w:val="002D369B"/>
    <w:rsid w:val="002D5183"/>
    <w:rsid w:val="002E138C"/>
    <w:rsid w:val="002E1920"/>
    <w:rsid w:val="002E3642"/>
    <w:rsid w:val="002E6285"/>
    <w:rsid w:val="002F08F3"/>
    <w:rsid w:val="002F105C"/>
    <w:rsid w:val="002F2D2B"/>
    <w:rsid w:val="002F5225"/>
    <w:rsid w:val="002F549F"/>
    <w:rsid w:val="003037D6"/>
    <w:rsid w:val="00305D1A"/>
    <w:rsid w:val="00305D5F"/>
    <w:rsid w:val="00307043"/>
    <w:rsid w:val="00312124"/>
    <w:rsid w:val="003128F3"/>
    <w:rsid w:val="0031346C"/>
    <w:rsid w:val="003134DD"/>
    <w:rsid w:val="003141B5"/>
    <w:rsid w:val="00314D13"/>
    <w:rsid w:val="00316408"/>
    <w:rsid w:val="0032172B"/>
    <w:rsid w:val="003233F1"/>
    <w:rsid w:val="003237C1"/>
    <w:rsid w:val="0032454C"/>
    <w:rsid w:val="00325F54"/>
    <w:rsid w:val="003274F8"/>
    <w:rsid w:val="00330085"/>
    <w:rsid w:val="0033071C"/>
    <w:rsid w:val="003346F6"/>
    <w:rsid w:val="00335FE0"/>
    <w:rsid w:val="00336108"/>
    <w:rsid w:val="0033642A"/>
    <w:rsid w:val="00337536"/>
    <w:rsid w:val="0034182A"/>
    <w:rsid w:val="003426C0"/>
    <w:rsid w:val="00342C9F"/>
    <w:rsid w:val="0034349F"/>
    <w:rsid w:val="0034417C"/>
    <w:rsid w:val="003445F5"/>
    <w:rsid w:val="00350C9A"/>
    <w:rsid w:val="00352260"/>
    <w:rsid w:val="00360ED1"/>
    <w:rsid w:val="00362FD7"/>
    <w:rsid w:val="00363582"/>
    <w:rsid w:val="003640A7"/>
    <w:rsid w:val="00367C79"/>
    <w:rsid w:val="00372299"/>
    <w:rsid w:val="003724D9"/>
    <w:rsid w:val="00372E8A"/>
    <w:rsid w:val="00374FB9"/>
    <w:rsid w:val="00375640"/>
    <w:rsid w:val="00376D6A"/>
    <w:rsid w:val="003779F1"/>
    <w:rsid w:val="00380CB1"/>
    <w:rsid w:val="0038342A"/>
    <w:rsid w:val="0038427D"/>
    <w:rsid w:val="003857E1"/>
    <w:rsid w:val="00385890"/>
    <w:rsid w:val="003866B3"/>
    <w:rsid w:val="00387134"/>
    <w:rsid w:val="00394C33"/>
    <w:rsid w:val="003967F5"/>
    <w:rsid w:val="003A1C0A"/>
    <w:rsid w:val="003A3C99"/>
    <w:rsid w:val="003A4A7F"/>
    <w:rsid w:val="003A4F9C"/>
    <w:rsid w:val="003A7AC3"/>
    <w:rsid w:val="003A7F1D"/>
    <w:rsid w:val="003B0552"/>
    <w:rsid w:val="003B0969"/>
    <w:rsid w:val="003B10AF"/>
    <w:rsid w:val="003B29A1"/>
    <w:rsid w:val="003B4789"/>
    <w:rsid w:val="003C1950"/>
    <w:rsid w:val="003C36E2"/>
    <w:rsid w:val="003C4FC5"/>
    <w:rsid w:val="003C4FF8"/>
    <w:rsid w:val="003C5D8D"/>
    <w:rsid w:val="003C736C"/>
    <w:rsid w:val="003C7886"/>
    <w:rsid w:val="003C7AE0"/>
    <w:rsid w:val="003C7D8C"/>
    <w:rsid w:val="003D03CD"/>
    <w:rsid w:val="003D0DC5"/>
    <w:rsid w:val="003D1336"/>
    <w:rsid w:val="003D4CBB"/>
    <w:rsid w:val="003D590B"/>
    <w:rsid w:val="003D6377"/>
    <w:rsid w:val="003E0FF4"/>
    <w:rsid w:val="003E208D"/>
    <w:rsid w:val="003E2C0A"/>
    <w:rsid w:val="003E3DDC"/>
    <w:rsid w:val="003E7D19"/>
    <w:rsid w:val="003F018B"/>
    <w:rsid w:val="003F1FE7"/>
    <w:rsid w:val="003F37D8"/>
    <w:rsid w:val="003F3822"/>
    <w:rsid w:val="003F4132"/>
    <w:rsid w:val="003F4AB0"/>
    <w:rsid w:val="003F4E43"/>
    <w:rsid w:val="003F531C"/>
    <w:rsid w:val="003F6CAF"/>
    <w:rsid w:val="003F6F05"/>
    <w:rsid w:val="00400C4F"/>
    <w:rsid w:val="0040192C"/>
    <w:rsid w:val="00402734"/>
    <w:rsid w:val="00402943"/>
    <w:rsid w:val="00403D47"/>
    <w:rsid w:val="004043D6"/>
    <w:rsid w:val="0040657A"/>
    <w:rsid w:val="00406C92"/>
    <w:rsid w:val="00407084"/>
    <w:rsid w:val="00412950"/>
    <w:rsid w:val="00414B70"/>
    <w:rsid w:val="0041599B"/>
    <w:rsid w:val="00417AD9"/>
    <w:rsid w:val="00417B75"/>
    <w:rsid w:val="00423FFF"/>
    <w:rsid w:val="00424B7D"/>
    <w:rsid w:val="00424EB3"/>
    <w:rsid w:val="004258B4"/>
    <w:rsid w:val="00427500"/>
    <w:rsid w:val="00427E0F"/>
    <w:rsid w:val="0043105C"/>
    <w:rsid w:val="004329A2"/>
    <w:rsid w:val="00433364"/>
    <w:rsid w:val="004344F5"/>
    <w:rsid w:val="0043655D"/>
    <w:rsid w:val="00437750"/>
    <w:rsid w:val="004416B3"/>
    <w:rsid w:val="00441A1F"/>
    <w:rsid w:val="00442DFC"/>
    <w:rsid w:val="00443127"/>
    <w:rsid w:val="00443A76"/>
    <w:rsid w:val="00444318"/>
    <w:rsid w:val="00444CB2"/>
    <w:rsid w:val="00446ED5"/>
    <w:rsid w:val="004476FE"/>
    <w:rsid w:val="00447A5C"/>
    <w:rsid w:val="00450305"/>
    <w:rsid w:val="00450BEA"/>
    <w:rsid w:val="004525CE"/>
    <w:rsid w:val="0045377B"/>
    <w:rsid w:val="00455AE7"/>
    <w:rsid w:val="00457547"/>
    <w:rsid w:val="00463D25"/>
    <w:rsid w:val="00464615"/>
    <w:rsid w:val="0046569C"/>
    <w:rsid w:val="004667B7"/>
    <w:rsid w:val="0046747F"/>
    <w:rsid w:val="004715E2"/>
    <w:rsid w:val="004718AD"/>
    <w:rsid w:val="00474737"/>
    <w:rsid w:val="004748B0"/>
    <w:rsid w:val="0047580F"/>
    <w:rsid w:val="00475995"/>
    <w:rsid w:val="004825DB"/>
    <w:rsid w:val="00482776"/>
    <w:rsid w:val="0048280A"/>
    <w:rsid w:val="0048388C"/>
    <w:rsid w:val="00483FE0"/>
    <w:rsid w:val="00485082"/>
    <w:rsid w:val="004860CD"/>
    <w:rsid w:val="004911BF"/>
    <w:rsid w:val="004920CD"/>
    <w:rsid w:val="00494A86"/>
    <w:rsid w:val="00494AEF"/>
    <w:rsid w:val="00494C6B"/>
    <w:rsid w:val="004968B1"/>
    <w:rsid w:val="00496BDF"/>
    <w:rsid w:val="00496C67"/>
    <w:rsid w:val="0049747E"/>
    <w:rsid w:val="00497A70"/>
    <w:rsid w:val="004A2CB0"/>
    <w:rsid w:val="004A3085"/>
    <w:rsid w:val="004A4207"/>
    <w:rsid w:val="004A4E9D"/>
    <w:rsid w:val="004A5426"/>
    <w:rsid w:val="004A70E5"/>
    <w:rsid w:val="004B0FEE"/>
    <w:rsid w:val="004B3BDD"/>
    <w:rsid w:val="004B5A48"/>
    <w:rsid w:val="004B5EFE"/>
    <w:rsid w:val="004B6524"/>
    <w:rsid w:val="004C0194"/>
    <w:rsid w:val="004C09A4"/>
    <w:rsid w:val="004C2B24"/>
    <w:rsid w:val="004C3C23"/>
    <w:rsid w:val="004C450F"/>
    <w:rsid w:val="004C5916"/>
    <w:rsid w:val="004C5F08"/>
    <w:rsid w:val="004C6679"/>
    <w:rsid w:val="004C6D74"/>
    <w:rsid w:val="004C71E7"/>
    <w:rsid w:val="004C7C11"/>
    <w:rsid w:val="004D1131"/>
    <w:rsid w:val="004D1B17"/>
    <w:rsid w:val="004D3510"/>
    <w:rsid w:val="004E3EE6"/>
    <w:rsid w:val="004E457B"/>
    <w:rsid w:val="004E5033"/>
    <w:rsid w:val="004E5476"/>
    <w:rsid w:val="004E6487"/>
    <w:rsid w:val="004E7388"/>
    <w:rsid w:val="004F3386"/>
    <w:rsid w:val="004F4460"/>
    <w:rsid w:val="004F6CE3"/>
    <w:rsid w:val="004F7AA9"/>
    <w:rsid w:val="00500202"/>
    <w:rsid w:val="0050345F"/>
    <w:rsid w:val="005074C9"/>
    <w:rsid w:val="00512316"/>
    <w:rsid w:val="0051410F"/>
    <w:rsid w:val="00515BBE"/>
    <w:rsid w:val="00523230"/>
    <w:rsid w:val="005249DC"/>
    <w:rsid w:val="0052672E"/>
    <w:rsid w:val="00530C7A"/>
    <w:rsid w:val="00530F23"/>
    <w:rsid w:val="005314E4"/>
    <w:rsid w:val="00532DBD"/>
    <w:rsid w:val="00532F27"/>
    <w:rsid w:val="00533CFE"/>
    <w:rsid w:val="00533F9A"/>
    <w:rsid w:val="00535B0C"/>
    <w:rsid w:val="00535DA5"/>
    <w:rsid w:val="00536320"/>
    <w:rsid w:val="00541407"/>
    <w:rsid w:val="005415EE"/>
    <w:rsid w:val="00541CBB"/>
    <w:rsid w:val="00541E21"/>
    <w:rsid w:val="0054262F"/>
    <w:rsid w:val="00545786"/>
    <w:rsid w:val="00547FB4"/>
    <w:rsid w:val="0055430A"/>
    <w:rsid w:val="005556F3"/>
    <w:rsid w:val="00561F25"/>
    <w:rsid w:val="005646F2"/>
    <w:rsid w:val="005649D3"/>
    <w:rsid w:val="0056630F"/>
    <w:rsid w:val="00572555"/>
    <w:rsid w:val="005725AB"/>
    <w:rsid w:val="00573C1A"/>
    <w:rsid w:val="00574803"/>
    <w:rsid w:val="00574F3B"/>
    <w:rsid w:val="005755B1"/>
    <w:rsid w:val="0057592A"/>
    <w:rsid w:val="00575973"/>
    <w:rsid w:val="0057799B"/>
    <w:rsid w:val="0058037B"/>
    <w:rsid w:val="0058145D"/>
    <w:rsid w:val="005826DA"/>
    <w:rsid w:val="00583676"/>
    <w:rsid w:val="00583E79"/>
    <w:rsid w:val="005854E1"/>
    <w:rsid w:val="00585548"/>
    <w:rsid w:val="00585CC3"/>
    <w:rsid w:val="00586666"/>
    <w:rsid w:val="00586867"/>
    <w:rsid w:val="00587D6E"/>
    <w:rsid w:val="0059044B"/>
    <w:rsid w:val="00591658"/>
    <w:rsid w:val="00592BAA"/>
    <w:rsid w:val="005931D9"/>
    <w:rsid w:val="005945A4"/>
    <w:rsid w:val="00595B26"/>
    <w:rsid w:val="00595B34"/>
    <w:rsid w:val="00596AE1"/>
    <w:rsid w:val="00597179"/>
    <w:rsid w:val="005A0D0E"/>
    <w:rsid w:val="005A390B"/>
    <w:rsid w:val="005B4A07"/>
    <w:rsid w:val="005B4EA9"/>
    <w:rsid w:val="005B5540"/>
    <w:rsid w:val="005B75F1"/>
    <w:rsid w:val="005B7B38"/>
    <w:rsid w:val="005C0F7B"/>
    <w:rsid w:val="005C39FE"/>
    <w:rsid w:val="005C4183"/>
    <w:rsid w:val="005C42F5"/>
    <w:rsid w:val="005E0119"/>
    <w:rsid w:val="005E0655"/>
    <w:rsid w:val="005E0C40"/>
    <w:rsid w:val="005E3072"/>
    <w:rsid w:val="005E63BC"/>
    <w:rsid w:val="005E66AE"/>
    <w:rsid w:val="005E7063"/>
    <w:rsid w:val="005F11C7"/>
    <w:rsid w:val="005F1A7C"/>
    <w:rsid w:val="005F304E"/>
    <w:rsid w:val="005F3273"/>
    <w:rsid w:val="005F3FA6"/>
    <w:rsid w:val="005F4E47"/>
    <w:rsid w:val="005F70BC"/>
    <w:rsid w:val="005F7CE1"/>
    <w:rsid w:val="006031FC"/>
    <w:rsid w:val="0060374B"/>
    <w:rsid w:val="006043F4"/>
    <w:rsid w:val="00604EEE"/>
    <w:rsid w:val="00606029"/>
    <w:rsid w:val="00606EF4"/>
    <w:rsid w:val="0060720F"/>
    <w:rsid w:val="00607923"/>
    <w:rsid w:val="00607951"/>
    <w:rsid w:val="00612631"/>
    <w:rsid w:val="00612A96"/>
    <w:rsid w:val="00616DB7"/>
    <w:rsid w:val="00617647"/>
    <w:rsid w:val="00617CEA"/>
    <w:rsid w:val="00620E34"/>
    <w:rsid w:val="00621AC1"/>
    <w:rsid w:val="00622091"/>
    <w:rsid w:val="00625461"/>
    <w:rsid w:val="0062560D"/>
    <w:rsid w:val="0063023D"/>
    <w:rsid w:val="0063059F"/>
    <w:rsid w:val="00632379"/>
    <w:rsid w:val="00632FBC"/>
    <w:rsid w:val="006337B8"/>
    <w:rsid w:val="00634B03"/>
    <w:rsid w:val="006369CF"/>
    <w:rsid w:val="00636E9C"/>
    <w:rsid w:val="006375B5"/>
    <w:rsid w:val="0064291A"/>
    <w:rsid w:val="00642B30"/>
    <w:rsid w:val="00644A3E"/>
    <w:rsid w:val="00647414"/>
    <w:rsid w:val="00651B0B"/>
    <w:rsid w:val="00653517"/>
    <w:rsid w:val="00656B2C"/>
    <w:rsid w:val="00656DE5"/>
    <w:rsid w:val="00661C25"/>
    <w:rsid w:val="006642A9"/>
    <w:rsid w:val="00665A73"/>
    <w:rsid w:val="0066795C"/>
    <w:rsid w:val="00671D4E"/>
    <w:rsid w:val="006726D6"/>
    <w:rsid w:val="00672BCE"/>
    <w:rsid w:val="006737B1"/>
    <w:rsid w:val="00673A47"/>
    <w:rsid w:val="0067495E"/>
    <w:rsid w:val="00676903"/>
    <w:rsid w:val="006802DC"/>
    <w:rsid w:val="00680350"/>
    <w:rsid w:val="00682449"/>
    <w:rsid w:val="006826F2"/>
    <w:rsid w:val="00682D96"/>
    <w:rsid w:val="0068612F"/>
    <w:rsid w:val="006957DF"/>
    <w:rsid w:val="00696EC8"/>
    <w:rsid w:val="00697F55"/>
    <w:rsid w:val="006A381A"/>
    <w:rsid w:val="006A4009"/>
    <w:rsid w:val="006A5688"/>
    <w:rsid w:val="006A6910"/>
    <w:rsid w:val="006A6CDA"/>
    <w:rsid w:val="006A7F6B"/>
    <w:rsid w:val="006B028C"/>
    <w:rsid w:val="006B1241"/>
    <w:rsid w:val="006B191D"/>
    <w:rsid w:val="006B3B47"/>
    <w:rsid w:val="006B417F"/>
    <w:rsid w:val="006B485B"/>
    <w:rsid w:val="006B51BD"/>
    <w:rsid w:val="006B5284"/>
    <w:rsid w:val="006B5BD0"/>
    <w:rsid w:val="006B67B2"/>
    <w:rsid w:val="006C2AFB"/>
    <w:rsid w:val="006C310D"/>
    <w:rsid w:val="006C3AB7"/>
    <w:rsid w:val="006C3EFC"/>
    <w:rsid w:val="006D09F3"/>
    <w:rsid w:val="006D3B8C"/>
    <w:rsid w:val="006D3E4D"/>
    <w:rsid w:val="006D41BC"/>
    <w:rsid w:val="006D428B"/>
    <w:rsid w:val="006D460B"/>
    <w:rsid w:val="006D6101"/>
    <w:rsid w:val="006D6E46"/>
    <w:rsid w:val="006D7544"/>
    <w:rsid w:val="006E1328"/>
    <w:rsid w:val="006E2C27"/>
    <w:rsid w:val="006E4F28"/>
    <w:rsid w:val="006E6EC4"/>
    <w:rsid w:val="006F3455"/>
    <w:rsid w:val="006F5394"/>
    <w:rsid w:val="007001B5"/>
    <w:rsid w:val="0070020A"/>
    <w:rsid w:val="007004D7"/>
    <w:rsid w:val="00700B61"/>
    <w:rsid w:val="00702C68"/>
    <w:rsid w:val="00703831"/>
    <w:rsid w:val="00704BF2"/>
    <w:rsid w:val="00706466"/>
    <w:rsid w:val="007072F4"/>
    <w:rsid w:val="00712CE9"/>
    <w:rsid w:val="0071454C"/>
    <w:rsid w:val="00715869"/>
    <w:rsid w:val="00716C67"/>
    <w:rsid w:val="00716F6A"/>
    <w:rsid w:val="007172CB"/>
    <w:rsid w:val="00720A63"/>
    <w:rsid w:val="0072344F"/>
    <w:rsid w:val="00723A4B"/>
    <w:rsid w:val="00724705"/>
    <w:rsid w:val="00724BEA"/>
    <w:rsid w:val="00724BFA"/>
    <w:rsid w:val="007272D6"/>
    <w:rsid w:val="00727585"/>
    <w:rsid w:val="00730618"/>
    <w:rsid w:val="00733C30"/>
    <w:rsid w:val="00737B25"/>
    <w:rsid w:val="00737FF7"/>
    <w:rsid w:val="00740594"/>
    <w:rsid w:val="00740890"/>
    <w:rsid w:val="00740D0F"/>
    <w:rsid w:val="00741F5F"/>
    <w:rsid w:val="00743124"/>
    <w:rsid w:val="00743D95"/>
    <w:rsid w:val="0074464D"/>
    <w:rsid w:val="007454FC"/>
    <w:rsid w:val="00745F29"/>
    <w:rsid w:val="00747337"/>
    <w:rsid w:val="00747432"/>
    <w:rsid w:val="00750588"/>
    <w:rsid w:val="00750DF2"/>
    <w:rsid w:val="00753255"/>
    <w:rsid w:val="00753CAB"/>
    <w:rsid w:val="00753F64"/>
    <w:rsid w:val="0075414E"/>
    <w:rsid w:val="0075446E"/>
    <w:rsid w:val="00756464"/>
    <w:rsid w:val="0076079B"/>
    <w:rsid w:val="00760979"/>
    <w:rsid w:val="00760E8A"/>
    <w:rsid w:val="007636D2"/>
    <w:rsid w:val="0076379D"/>
    <w:rsid w:val="00763F77"/>
    <w:rsid w:val="007649CE"/>
    <w:rsid w:val="007650FE"/>
    <w:rsid w:val="00765FD9"/>
    <w:rsid w:val="00767803"/>
    <w:rsid w:val="0077227C"/>
    <w:rsid w:val="00773192"/>
    <w:rsid w:val="00773D07"/>
    <w:rsid w:val="00773F57"/>
    <w:rsid w:val="007749EA"/>
    <w:rsid w:val="00776449"/>
    <w:rsid w:val="007772CF"/>
    <w:rsid w:val="00781079"/>
    <w:rsid w:val="00781A53"/>
    <w:rsid w:val="007865C3"/>
    <w:rsid w:val="00786B20"/>
    <w:rsid w:val="0079283C"/>
    <w:rsid w:val="00794260"/>
    <w:rsid w:val="00794A0D"/>
    <w:rsid w:val="007974DE"/>
    <w:rsid w:val="007A24CC"/>
    <w:rsid w:val="007A2E93"/>
    <w:rsid w:val="007A638D"/>
    <w:rsid w:val="007A7129"/>
    <w:rsid w:val="007B0A79"/>
    <w:rsid w:val="007B1BDE"/>
    <w:rsid w:val="007B1D1B"/>
    <w:rsid w:val="007B1EAA"/>
    <w:rsid w:val="007B3F85"/>
    <w:rsid w:val="007B4596"/>
    <w:rsid w:val="007B47E4"/>
    <w:rsid w:val="007B51FF"/>
    <w:rsid w:val="007B7E96"/>
    <w:rsid w:val="007C1697"/>
    <w:rsid w:val="007C4168"/>
    <w:rsid w:val="007C5E6D"/>
    <w:rsid w:val="007C60C3"/>
    <w:rsid w:val="007C6239"/>
    <w:rsid w:val="007C6D53"/>
    <w:rsid w:val="007D012B"/>
    <w:rsid w:val="007D1404"/>
    <w:rsid w:val="007D141A"/>
    <w:rsid w:val="007D3172"/>
    <w:rsid w:val="007D37EF"/>
    <w:rsid w:val="007D6392"/>
    <w:rsid w:val="007D68B8"/>
    <w:rsid w:val="007E18B5"/>
    <w:rsid w:val="007E26A1"/>
    <w:rsid w:val="007E480C"/>
    <w:rsid w:val="007E7989"/>
    <w:rsid w:val="007E7D20"/>
    <w:rsid w:val="007F02CE"/>
    <w:rsid w:val="007F2107"/>
    <w:rsid w:val="007F2E37"/>
    <w:rsid w:val="007F36BE"/>
    <w:rsid w:val="007F489F"/>
    <w:rsid w:val="007F4DE5"/>
    <w:rsid w:val="007F5316"/>
    <w:rsid w:val="007F5D4F"/>
    <w:rsid w:val="007F67F1"/>
    <w:rsid w:val="007F69E6"/>
    <w:rsid w:val="008025A4"/>
    <w:rsid w:val="008038A6"/>
    <w:rsid w:val="008055C5"/>
    <w:rsid w:val="00805DCE"/>
    <w:rsid w:val="00806751"/>
    <w:rsid w:val="00806C85"/>
    <w:rsid w:val="00806E31"/>
    <w:rsid w:val="00810597"/>
    <w:rsid w:val="00812476"/>
    <w:rsid w:val="0081499C"/>
    <w:rsid w:val="00816993"/>
    <w:rsid w:val="008207D7"/>
    <w:rsid w:val="00820F74"/>
    <w:rsid w:val="00821B00"/>
    <w:rsid w:val="00824101"/>
    <w:rsid w:val="00824B15"/>
    <w:rsid w:val="00825E13"/>
    <w:rsid w:val="008301FD"/>
    <w:rsid w:val="008309A2"/>
    <w:rsid w:val="0083103D"/>
    <w:rsid w:val="00831392"/>
    <w:rsid w:val="008315E8"/>
    <w:rsid w:val="00834D5A"/>
    <w:rsid w:val="00841EE1"/>
    <w:rsid w:val="00850C11"/>
    <w:rsid w:val="008511FC"/>
    <w:rsid w:val="00851F09"/>
    <w:rsid w:val="0085271F"/>
    <w:rsid w:val="00852EA1"/>
    <w:rsid w:val="00854F07"/>
    <w:rsid w:val="008550C6"/>
    <w:rsid w:val="0085609B"/>
    <w:rsid w:val="00856BBB"/>
    <w:rsid w:val="00860D5A"/>
    <w:rsid w:val="00861494"/>
    <w:rsid w:val="00863375"/>
    <w:rsid w:val="00864B46"/>
    <w:rsid w:val="00866586"/>
    <w:rsid w:val="00867A5D"/>
    <w:rsid w:val="00867E9D"/>
    <w:rsid w:val="00870271"/>
    <w:rsid w:val="00870989"/>
    <w:rsid w:val="00870D9C"/>
    <w:rsid w:val="00871271"/>
    <w:rsid w:val="0087169E"/>
    <w:rsid w:val="008742EB"/>
    <w:rsid w:val="00874E0E"/>
    <w:rsid w:val="00874F8B"/>
    <w:rsid w:val="00876ADC"/>
    <w:rsid w:val="00876BAA"/>
    <w:rsid w:val="00880BE2"/>
    <w:rsid w:val="008813C9"/>
    <w:rsid w:val="00883290"/>
    <w:rsid w:val="00883A2E"/>
    <w:rsid w:val="00885B8E"/>
    <w:rsid w:val="00887518"/>
    <w:rsid w:val="008909D2"/>
    <w:rsid w:val="00892652"/>
    <w:rsid w:val="008942D7"/>
    <w:rsid w:val="008951B3"/>
    <w:rsid w:val="00895AD4"/>
    <w:rsid w:val="0089725A"/>
    <w:rsid w:val="00897A34"/>
    <w:rsid w:val="00897E9C"/>
    <w:rsid w:val="008A255B"/>
    <w:rsid w:val="008A271F"/>
    <w:rsid w:val="008A421A"/>
    <w:rsid w:val="008A4873"/>
    <w:rsid w:val="008A4C11"/>
    <w:rsid w:val="008A4CA2"/>
    <w:rsid w:val="008A5B66"/>
    <w:rsid w:val="008A6480"/>
    <w:rsid w:val="008A7734"/>
    <w:rsid w:val="008A7870"/>
    <w:rsid w:val="008B04F4"/>
    <w:rsid w:val="008B0C14"/>
    <w:rsid w:val="008B2386"/>
    <w:rsid w:val="008B271A"/>
    <w:rsid w:val="008B3A80"/>
    <w:rsid w:val="008B5233"/>
    <w:rsid w:val="008B7509"/>
    <w:rsid w:val="008B7757"/>
    <w:rsid w:val="008C0AE4"/>
    <w:rsid w:val="008C0FEF"/>
    <w:rsid w:val="008C1020"/>
    <w:rsid w:val="008C3BCC"/>
    <w:rsid w:val="008C4A00"/>
    <w:rsid w:val="008C7303"/>
    <w:rsid w:val="008C766C"/>
    <w:rsid w:val="008C7D27"/>
    <w:rsid w:val="008D119A"/>
    <w:rsid w:val="008D1C39"/>
    <w:rsid w:val="008D2D3B"/>
    <w:rsid w:val="008D31DE"/>
    <w:rsid w:val="008D4137"/>
    <w:rsid w:val="008D510E"/>
    <w:rsid w:val="008D6E3A"/>
    <w:rsid w:val="008D71AC"/>
    <w:rsid w:val="008E377C"/>
    <w:rsid w:val="008E3F1D"/>
    <w:rsid w:val="008E5055"/>
    <w:rsid w:val="008E586C"/>
    <w:rsid w:val="008E63DB"/>
    <w:rsid w:val="008F01BD"/>
    <w:rsid w:val="008F082F"/>
    <w:rsid w:val="008F0C8D"/>
    <w:rsid w:val="008F1929"/>
    <w:rsid w:val="008F1A98"/>
    <w:rsid w:val="008F77AE"/>
    <w:rsid w:val="008F7F45"/>
    <w:rsid w:val="00901C34"/>
    <w:rsid w:val="00904873"/>
    <w:rsid w:val="009048A6"/>
    <w:rsid w:val="00904A0D"/>
    <w:rsid w:val="00905BA0"/>
    <w:rsid w:val="00906704"/>
    <w:rsid w:val="00911846"/>
    <w:rsid w:val="009130B8"/>
    <w:rsid w:val="009134B5"/>
    <w:rsid w:val="00920E17"/>
    <w:rsid w:val="00922270"/>
    <w:rsid w:val="0092332D"/>
    <w:rsid w:val="009244E2"/>
    <w:rsid w:val="00924646"/>
    <w:rsid w:val="00926604"/>
    <w:rsid w:val="00927803"/>
    <w:rsid w:val="0093096A"/>
    <w:rsid w:val="00930A1C"/>
    <w:rsid w:val="0093382F"/>
    <w:rsid w:val="00935070"/>
    <w:rsid w:val="009353BD"/>
    <w:rsid w:val="00936300"/>
    <w:rsid w:val="00936C32"/>
    <w:rsid w:val="0093705E"/>
    <w:rsid w:val="00937081"/>
    <w:rsid w:val="00937B10"/>
    <w:rsid w:val="00944A68"/>
    <w:rsid w:val="00944B7C"/>
    <w:rsid w:val="00945633"/>
    <w:rsid w:val="00947A72"/>
    <w:rsid w:val="00950EB6"/>
    <w:rsid w:val="00950FD3"/>
    <w:rsid w:val="009522DE"/>
    <w:rsid w:val="00952B2A"/>
    <w:rsid w:val="00957571"/>
    <w:rsid w:val="00962876"/>
    <w:rsid w:val="00963576"/>
    <w:rsid w:val="009648AF"/>
    <w:rsid w:val="00964B4B"/>
    <w:rsid w:val="00966519"/>
    <w:rsid w:val="00966916"/>
    <w:rsid w:val="009671DF"/>
    <w:rsid w:val="009706A3"/>
    <w:rsid w:val="00972BD0"/>
    <w:rsid w:val="009734B2"/>
    <w:rsid w:val="00973BD9"/>
    <w:rsid w:val="009753F4"/>
    <w:rsid w:val="0097639C"/>
    <w:rsid w:val="00976418"/>
    <w:rsid w:val="009779F3"/>
    <w:rsid w:val="00980065"/>
    <w:rsid w:val="0098049E"/>
    <w:rsid w:val="009807E6"/>
    <w:rsid w:val="00981426"/>
    <w:rsid w:val="00983794"/>
    <w:rsid w:val="00985BB7"/>
    <w:rsid w:val="009861FA"/>
    <w:rsid w:val="00987280"/>
    <w:rsid w:val="009908FA"/>
    <w:rsid w:val="00992062"/>
    <w:rsid w:val="00993EC4"/>
    <w:rsid w:val="00997646"/>
    <w:rsid w:val="00997998"/>
    <w:rsid w:val="009A1642"/>
    <w:rsid w:val="009A16E3"/>
    <w:rsid w:val="009A1B22"/>
    <w:rsid w:val="009A1E2E"/>
    <w:rsid w:val="009A32DC"/>
    <w:rsid w:val="009A3FDA"/>
    <w:rsid w:val="009A4D48"/>
    <w:rsid w:val="009A65B6"/>
    <w:rsid w:val="009A6966"/>
    <w:rsid w:val="009A784E"/>
    <w:rsid w:val="009A78B0"/>
    <w:rsid w:val="009B0D74"/>
    <w:rsid w:val="009B1065"/>
    <w:rsid w:val="009B19A4"/>
    <w:rsid w:val="009B305E"/>
    <w:rsid w:val="009B39AB"/>
    <w:rsid w:val="009B3B67"/>
    <w:rsid w:val="009B68B0"/>
    <w:rsid w:val="009B782F"/>
    <w:rsid w:val="009C093F"/>
    <w:rsid w:val="009C0EBC"/>
    <w:rsid w:val="009C21F4"/>
    <w:rsid w:val="009C6571"/>
    <w:rsid w:val="009C7AC7"/>
    <w:rsid w:val="009D2388"/>
    <w:rsid w:val="009D3210"/>
    <w:rsid w:val="009D3574"/>
    <w:rsid w:val="009D3B61"/>
    <w:rsid w:val="009D5CFE"/>
    <w:rsid w:val="009D7C31"/>
    <w:rsid w:val="009E06B0"/>
    <w:rsid w:val="009E0CBB"/>
    <w:rsid w:val="009E3A73"/>
    <w:rsid w:val="009E45D8"/>
    <w:rsid w:val="009E5CC4"/>
    <w:rsid w:val="009E79A7"/>
    <w:rsid w:val="009F0046"/>
    <w:rsid w:val="009F11DF"/>
    <w:rsid w:val="009F48A2"/>
    <w:rsid w:val="009F4C23"/>
    <w:rsid w:val="00A0059E"/>
    <w:rsid w:val="00A00FB1"/>
    <w:rsid w:val="00A024C2"/>
    <w:rsid w:val="00A02C9B"/>
    <w:rsid w:val="00A02EFF"/>
    <w:rsid w:val="00A03B0C"/>
    <w:rsid w:val="00A03DBB"/>
    <w:rsid w:val="00A05125"/>
    <w:rsid w:val="00A0523F"/>
    <w:rsid w:val="00A1084C"/>
    <w:rsid w:val="00A10DC1"/>
    <w:rsid w:val="00A10F33"/>
    <w:rsid w:val="00A118BF"/>
    <w:rsid w:val="00A20FE9"/>
    <w:rsid w:val="00A21C96"/>
    <w:rsid w:val="00A21CB0"/>
    <w:rsid w:val="00A21D45"/>
    <w:rsid w:val="00A2351E"/>
    <w:rsid w:val="00A23A5E"/>
    <w:rsid w:val="00A27ECD"/>
    <w:rsid w:val="00A31827"/>
    <w:rsid w:val="00A36AA8"/>
    <w:rsid w:val="00A37457"/>
    <w:rsid w:val="00A37CE0"/>
    <w:rsid w:val="00A42106"/>
    <w:rsid w:val="00A43965"/>
    <w:rsid w:val="00A43A1D"/>
    <w:rsid w:val="00A43E63"/>
    <w:rsid w:val="00A461FC"/>
    <w:rsid w:val="00A47150"/>
    <w:rsid w:val="00A50194"/>
    <w:rsid w:val="00A5455C"/>
    <w:rsid w:val="00A5670B"/>
    <w:rsid w:val="00A569CD"/>
    <w:rsid w:val="00A61B4D"/>
    <w:rsid w:val="00A642BD"/>
    <w:rsid w:val="00A6450E"/>
    <w:rsid w:val="00A65A9F"/>
    <w:rsid w:val="00A67ED2"/>
    <w:rsid w:val="00A705DB"/>
    <w:rsid w:val="00A72A06"/>
    <w:rsid w:val="00A74628"/>
    <w:rsid w:val="00A74B66"/>
    <w:rsid w:val="00A75CC5"/>
    <w:rsid w:val="00A77F73"/>
    <w:rsid w:val="00A801FA"/>
    <w:rsid w:val="00A809B9"/>
    <w:rsid w:val="00A80F2F"/>
    <w:rsid w:val="00A81826"/>
    <w:rsid w:val="00A823E7"/>
    <w:rsid w:val="00A82CF2"/>
    <w:rsid w:val="00A83307"/>
    <w:rsid w:val="00A84D10"/>
    <w:rsid w:val="00A8737C"/>
    <w:rsid w:val="00A926FF"/>
    <w:rsid w:val="00A92B98"/>
    <w:rsid w:val="00A93AC9"/>
    <w:rsid w:val="00A943DA"/>
    <w:rsid w:val="00A94A8A"/>
    <w:rsid w:val="00A95D52"/>
    <w:rsid w:val="00A979F7"/>
    <w:rsid w:val="00AA335E"/>
    <w:rsid w:val="00AA5800"/>
    <w:rsid w:val="00AA59D9"/>
    <w:rsid w:val="00AA789E"/>
    <w:rsid w:val="00AB1846"/>
    <w:rsid w:val="00AB2578"/>
    <w:rsid w:val="00AB2703"/>
    <w:rsid w:val="00AB2784"/>
    <w:rsid w:val="00AB43FF"/>
    <w:rsid w:val="00AB513E"/>
    <w:rsid w:val="00AB60FF"/>
    <w:rsid w:val="00AC1E5B"/>
    <w:rsid w:val="00AC2651"/>
    <w:rsid w:val="00AC2841"/>
    <w:rsid w:val="00AC44D3"/>
    <w:rsid w:val="00AC495A"/>
    <w:rsid w:val="00AC49CD"/>
    <w:rsid w:val="00AC6D6D"/>
    <w:rsid w:val="00AC6DB2"/>
    <w:rsid w:val="00AD0C10"/>
    <w:rsid w:val="00AD6A6B"/>
    <w:rsid w:val="00AE0A03"/>
    <w:rsid w:val="00AE190A"/>
    <w:rsid w:val="00AE1E60"/>
    <w:rsid w:val="00AE29C0"/>
    <w:rsid w:val="00AE399B"/>
    <w:rsid w:val="00AE6FB3"/>
    <w:rsid w:val="00AF1509"/>
    <w:rsid w:val="00AF1F30"/>
    <w:rsid w:val="00AF2566"/>
    <w:rsid w:val="00AF34D4"/>
    <w:rsid w:val="00AF385C"/>
    <w:rsid w:val="00AF67FD"/>
    <w:rsid w:val="00AF7473"/>
    <w:rsid w:val="00B027B1"/>
    <w:rsid w:val="00B06D08"/>
    <w:rsid w:val="00B1227D"/>
    <w:rsid w:val="00B1681C"/>
    <w:rsid w:val="00B16C22"/>
    <w:rsid w:val="00B17773"/>
    <w:rsid w:val="00B24497"/>
    <w:rsid w:val="00B306A7"/>
    <w:rsid w:val="00B33B17"/>
    <w:rsid w:val="00B33EB9"/>
    <w:rsid w:val="00B34D2A"/>
    <w:rsid w:val="00B3557A"/>
    <w:rsid w:val="00B35B8B"/>
    <w:rsid w:val="00B417B0"/>
    <w:rsid w:val="00B41C4C"/>
    <w:rsid w:val="00B4248A"/>
    <w:rsid w:val="00B435A3"/>
    <w:rsid w:val="00B4479E"/>
    <w:rsid w:val="00B457C4"/>
    <w:rsid w:val="00B45A00"/>
    <w:rsid w:val="00B463B6"/>
    <w:rsid w:val="00B471D2"/>
    <w:rsid w:val="00B47A7E"/>
    <w:rsid w:val="00B531F1"/>
    <w:rsid w:val="00B533BF"/>
    <w:rsid w:val="00B541A7"/>
    <w:rsid w:val="00B565F2"/>
    <w:rsid w:val="00B61385"/>
    <w:rsid w:val="00B6186D"/>
    <w:rsid w:val="00B6212D"/>
    <w:rsid w:val="00B63192"/>
    <w:rsid w:val="00B633D7"/>
    <w:rsid w:val="00B63635"/>
    <w:rsid w:val="00B63A0B"/>
    <w:rsid w:val="00B6545B"/>
    <w:rsid w:val="00B65AEA"/>
    <w:rsid w:val="00B660A2"/>
    <w:rsid w:val="00B70A80"/>
    <w:rsid w:val="00B70B48"/>
    <w:rsid w:val="00B71336"/>
    <w:rsid w:val="00B74A0A"/>
    <w:rsid w:val="00B74D18"/>
    <w:rsid w:val="00B75D8A"/>
    <w:rsid w:val="00B773C4"/>
    <w:rsid w:val="00B809CB"/>
    <w:rsid w:val="00B81F13"/>
    <w:rsid w:val="00B83C64"/>
    <w:rsid w:val="00B849B8"/>
    <w:rsid w:val="00B85ADB"/>
    <w:rsid w:val="00B863EC"/>
    <w:rsid w:val="00B87C0D"/>
    <w:rsid w:val="00B90AA2"/>
    <w:rsid w:val="00B91648"/>
    <w:rsid w:val="00B91E30"/>
    <w:rsid w:val="00B93691"/>
    <w:rsid w:val="00B9445C"/>
    <w:rsid w:val="00B94FA5"/>
    <w:rsid w:val="00B955A7"/>
    <w:rsid w:val="00BA5A0D"/>
    <w:rsid w:val="00BB0C15"/>
    <w:rsid w:val="00BB1152"/>
    <w:rsid w:val="00BB76F0"/>
    <w:rsid w:val="00BC015E"/>
    <w:rsid w:val="00BC3C59"/>
    <w:rsid w:val="00BC7A21"/>
    <w:rsid w:val="00BD24A3"/>
    <w:rsid w:val="00BD2E8D"/>
    <w:rsid w:val="00BD30EB"/>
    <w:rsid w:val="00BD710E"/>
    <w:rsid w:val="00BE22E3"/>
    <w:rsid w:val="00BE2CC6"/>
    <w:rsid w:val="00BE2CCB"/>
    <w:rsid w:val="00BE4B91"/>
    <w:rsid w:val="00BE6E75"/>
    <w:rsid w:val="00BF1398"/>
    <w:rsid w:val="00BF1CF6"/>
    <w:rsid w:val="00BF6BF0"/>
    <w:rsid w:val="00BF7C88"/>
    <w:rsid w:val="00C02CCE"/>
    <w:rsid w:val="00C03D72"/>
    <w:rsid w:val="00C03FF2"/>
    <w:rsid w:val="00C0483B"/>
    <w:rsid w:val="00C056D6"/>
    <w:rsid w:val="00C06D40"/>
    <w:rsid w:val="00C11B3E"/>
    <w:rsid w:val="00C13030"/>
    <w:rsid w:val="00C149A5"/>
    <w:rsid w:val="00C161AD"/>
    <w:rsid w:val="00C17432"/>
    <w:rsid w:val="00C20453"/>
    <w:rsid w:val="00C20E39"/>
    <w:rsid w:val="00C22196"/>
    <w:rsid w:val="00C221EB"/>
    <w:rsid w:val="00C2220C"/>
    <w:rsid w:val="00C22D8A"/>
    <w:rsid w:val="00C24A0C"/>
    <w:rsid w:val="00C2706A"/>
    <w:rsid w:val="00C27C15"/>
    <w:rsid w:val="00C30A89"/>
    <w:rsid w:val="00C31614"/>
    <w:rsid w:val="00C32F9B"/>
    <w:rsid w:val="00C334C4"/>
    <w:rsid w:val="00C334D8"/>
    <w:rsid w:val="00C3525F"/>
    <w:rsid w:val="00C36C52"/>
    <w:rsid w:val="00C40807"/>
    <w:rsid w:val="00C41843"/>
    <w:rsid w:val="00C41B7F"/>
    <w:rsid w:val="00C429D1"/>
    <w:rsid w:val="00C42EEE"/>
    <w:rsid w:val="00C44A0E"/>
    <w:rsid w:val="00C44F35"/>
    <w:rsid w:val="00C469C0"/>
    <w:rsid w:val="00C47195"/>
    <w:rsid w:val="00C514D8"/>
    <w:rsid w:val="00C53A70"/>
    <w:rsid w:val="00C546A6"/>
    <w:rsid w:val="00C564EE"/>
    <w:rsid w:val="00C605BF"/>
    <w:rsid w:val="00C6112D"/>
    <w:rsid w:val="00C628F3"/>
    <w:rsid w:val="00C64398"/>
    <w:rsid w:val="00C64CBB"/>
    <w:rsid w:val="00C66125"/>
    <w:rsid w:val="00C666F6"/>
    <w:rsid w:val="00C67E4E"/>
    <w:rsid w:val="00C70E53"/>
    <w:rsid w:val="00C71AB7"/>
    <w:rsid w:val="00C71C77"/>
    <w:rsid w:val="00C72697"/>
    <w:rsid w:val="00C76A3A"/>
    <w:rsid w:val="00C775FB"/>
    <w:rsid w:val="00C80AB4"/>
    <w:rsid w:val="00C82402"/>
    <w:rsid w:val="00C8241F"/>
    <w:rsid w:val="00C82EB6"/>
    <w:rsid w:val="00C83C1F"/>
    <w:rsid w:val="00C8556E"/>
    <w:rsid w:val="00C8678E"/>
    <w:rsid w:val="00C86BF9"/>
    <w:rsid w:val="00C86D45"/>
    <w:rsid w:val="00C86E6E"/>
    <w:rsid w:val="00C925B0"/>
    <w:rsid w:val="00C9374D"/>
    <w:rsid w:val="00C93E11"/>
    <w:rsid w:val="00C94DC1"/>
    <w:rsid w:val="00CA1066"/>
    <w:rsid w:val="00CA3512"/>
    <w:rsid w:val="00CA4079"/>
    <w:rsid w:val="00CA4DBB"/>
    <w:rsid w:val="00CA7088"/>
    <w:rsid w:val="00CA7AB4"/>
    <w:rsid w:val="00CB1311"/>
    <w:rsid w:val="00CB3D3A"/>
    <w:rsid w:val="00CB5AAA"/>
    <w:rsid w:val="00CB6A97"/>
    <w:rsid w:val="00CB7914"/>
    <w:rsid w:val="00CC2064"/>
    <w:rsid w:val="00CC208D"/>
    <w:rsid w:val="00CC34AA"/>
    <w:rsid w:val="00CC3617"/>
    <w:rsid w:val="00CC494A"/>
    <w:rsid w:val="00CC77CC"/>
    <w:rsid w:val="00CC7952"/>
    <w:rsid w:val="00CD09C9"/>
    <w:rsid w:val="00CD2431"/>
    <w:rsid w:val="00CD37C1"/>
    <w:rsid w:val="00CD3DAD"/>
    <w:rsid w:val="00CD46F1"/>
    <w:rsid w:val="00CD48E1"/>
    <w:rsid w:val="00CD50DB"/>
    <w:rsid w:val="00CD5A1A"/>
    <w:rsid w:val="00CD68F5"/>
    <w:rsid w:val="00CE34F2"/>
    <w:rsid w:val="00CE4D6D"/>
    <w:rsid w:val="00CE54B1"/>
    <w:rsid w:val="00CE72D6"/>
    <w:rsid w:val="00CE7B7B"/>
    <w:rsid w:val="00CF1CA3"/>
    <w:rsid w:val="00CF31E7"/>
    <w:rsid w:val="00CF445F"/>
    <w:rsid w:val="00CF57DE"/>
    <w:rsid w:val="00CF5902"/>
    <w:rsid w:val="00D006B4"/>
    <w:rsid w:val="00D00B4C"/>
    <w:rsid w:val="00D0161F"/>
    <w:rsid w:val="00D02747"/>
    <w:rsid w:val="00D0572E"/>
    <w:rsid w:val="00D06AB6"/>
    <w:rsid w:val="00D07B40"/>
    <w:rsid w:val="00D10FFE"/>
    <w:rsid w:val="00D12D9F"/>
    <w:rsid w:val="00D13163"/>
    <w:rsid w:val="00D1398A"/>
    <w:rsid w:val="00D1483F"/>
    <w:rsid w:val="00D155C4"/>
    <w:rsid w:val="00D20946"/>
    <w:rsid w:val="00D21C43"/>
    <w:rsid w:val="00D228DC"/>
    <w:rsid w:val="00D2315C"/>
    <w:rsid w:val="00D248AF"/>
    <w:rsid w:val="00D25205"/>
    <w:rsid w:val="00D2670D"/>
    <w:rsid w:val="00D27758"/>
    <w:rsid w:val="00D2795F"/>
    <w:rsid w:val="00D27F1D"/>
    <w:rsid w:val="00D3092B"/>
    <w:rsid w:val="00D31178"/>
    <w:rsid w:val="00D325D1"/>
    <w:rsid w:val="00D328CE"/>
    <w:rsid w:val="00D33925"/>
    <w:rsid w:val="00D33A9A"/>
    <w:rsid w:val="00D34126"/>
    <w:rsid w:val="00D35119"/>
    <w:rsid w:val="00D40587"/>
    <w:rsid w:val="00D40660"/>
    <w:rsid w:val="00D40D84"/>
    <w:rsid w:val="00D41AFB"/>
    <w:rsid w:val="00D43C20"/>
    <w:rsid w:val="00D44FC4"/>
    <w:rsid w:val="00D46535"/>
    <w:rsid w:val="00D46A41"/>
    <w:rsid w:val="00D511FD"/>
    <w:rsid w:val="00D52DC7"/>
    <w:rsid w:val="00D53402"/>
    <w:rsid w:val="00D54294"/>
    <w:rsid w:val="00D54487"/>
    <w:rsid w:val="00D54A14"/>
    <w:rsid w:val="00D557D6"/>
    <w:rsid w:val="00D60210"/>
    <w:rsid w:val="00D60355"/>
    <w:rsid w:val="00D6053A"/>
    <w:rsid w:val="00D60649"/>
    <w:rsid w:val="00D60BF6"/>
    <w:rsid w:val="00D67BF2"/>
    <w:rsid w:val="00D702A9"/>
    <w:rsid w:val="00D771FA"/>
    <w:rsid w:val="00D85395"/>
    <w:rsid w:val="00D854FB"/>
    <w:rsid w:val="00D86180"/>
    <w:rsid w:val="00D863B2"/>
    <w:rsid w:val="00D8684B"/>
    <w:rsid w:val="00D86E1E"/>
    <w:rsid w:val="00D90D33"/>
    <w:rsid w:val="00D92BAA"/>
    <w:rsid w:val="00D96612"/>
    <w:rsid w:val="00D96F2D"/>
    <w:rsid w:val="00DA0763"/>
    <w:rsid w:val="00DA1910"/>
    <w:rsid w:val="00DA37E9"/>
    <w:rsid w:val="00DA5336"/>
    <w:rsid w:val="00DA70B9"/>
    <w:rsid w:val="00DB1395"/>
    <w:rsid w:val="00DB4457"/>
    <w:rsid w:val="00DB46E7"/>
    <w:rsid w:val="00DB7B75"/>
    <w:rsid w:val="00DB7EEE"/>
    <w:rsid w:val="00DC1138"/>
    <w:rsid w:val="00DC1629"/>
    <w:rsid w:val="00DC3F41"/>
    <w:rsid w:val="00DC48ED"/>
    <w:rsid w:val="00DC7D95"/>
    <w:rsid w:val="00DD21C7"/>
    <w:rsid w:val="00DD3920"/>
    <w:rsid w:val="00DD3C7E"/>
    <w:rsid w:val="00DD48DA"/>
    <w:rsid w:val="00DE067D"/>
    <w:rsid w:val="00DE34FD"/>
    <w:rsid w:val="00DE61F4"/>
    <w:rsid w:val="00DE7A30"/>
    <w:rsid w:val="00DF0386"/>
    <w:rsid w:val="00DF05D6"/>
    <w:rsid w:val="00DF0965"/>
    <w:rsid w:val="00DF3D17"/>
    <w:rsid w:val="00DF4C3B"/>
    <w:rsid w:val="00DF657C"/>
    <w:rsid w:val="00DF6590"/>
    <w:rsid w:val="00DF698A"/>
    <w:rsid w:val="00DF6AA3"/>
    <w:rsid w:val="00DF7F15"/>
    <w:rsid w:val="00E045CF"/>
    <w:rsid w:val="00E04803"/>
    <w:rsid w:val="00E0543B"/>
    <w:rsid w:val="00E05C5B"/>
    <w:rsid w:val="00E05DA1"/>
    <w:rsid w:val="00E06467"/>
    <w:rsid w:val="00E0650E"/>
    <w:rsid w:val="00E06E50"/>
    <w:rsid w:val="00E072F7"/>
    <w:rsid w:val="00E10695"/>
    <w:rsid w:val="00E111B9"/>
    <w:rsid w:val="00E11681"/>
    <w:rsid w:val="00E12556"/>
    <w:rsid w:val="00E1260D"/>
    <w:rsid w:val="00E14824"/>
    <w:rsid w:val="00E14874"/>
    <w:rsid w:val="00E16FF3"/>
    <w:rsid w:val="00E17E2E"/>
    <w:rsid w:val="00E21883"/>
    <w:rsid w:val="00E22F72"/>
    <w:rsid w:val="00E23618"/>
    <w:rsid w:val="00E23A8F"/>
    <w:rsid w:val="00E24640"/>
    <w:rsid w:val="00E25344"/>
    <w:rsid w:val="00E25AD5"/>
    <w:rsid w:val="00E26590"/>
    <w:rsid w:val="00E421F7"/>
    <w:rsid w:val="00E4343B"/>
    <w:rsid w:val="00E4344E"/>
    <w:rsid w:val="00E43570"/>
    <w:rsid w:val="00E43C07"/>
    <w:rsid w:val="00E45FE5"/>
    <w:rsid w:val="00E47B79"/>
    <w:rsid w:val="00E53589"/>
    <w:rsid w:val="00E54C99"/>
    <w:rsid w:val="00E553BB"/>
    <w:rsid w:val="00E55671"/>
    <w:rsid w:val="00E55EE0"/>
    <w:rsid w:val="00E569CF"/>
    <w:rsid w:val="00E56DF2"/>
    <w:rsid w:val="00E60349"/>
    <w:rsid w:val="00E60F93"/>
    <w:rsid w:val="00E61715"/>
    <w:rsid w:val="00E70299"/>
    <w:rsid w:val="00E70BCD"/>
    <w:rsid w:val="00E70EE9"/>
    <w:rsid w:val="00E730C9"/>
    <w:rsid w:val="00E74329"/>
    <w:rsid w:val="00E74B3D"/>
    <w:rsid w:val="00E74CCF"/>
    <w:rsid w:val="00E75278"/>
    <w:rsid w:val="00E75914"/>
    <w:rsid w:val="00E8032C"/>
    <w:rsid w:val="00E81DA7"/>
    <w:rsid w:val="00E81DD4"/>
    <w:rsid w:val="00E85DD4"/>
    <w:rsid w:val="00E85FF7"/>
    <w:rsid w:val="00E90380"/>
    <w:rsid w:val="00E91A44"/>
    <w:rsid w:val="00E93168"/>
    <w:rsid w:val="00E95C2E"/>
    <w:rsid w:val="00E95E23"/>
    <w:rsid w:val="00E95F3C"/>
    <w:rsid w:val="00E96300"/>
    <w:rsid w:val="00E976AA"/>
    <w:rsid w:val="00EA0498"/>
    <w:rsid w:val="00EA2487"/>
    <w:rsid w:val="00EA68AC"/>
    <w:rsid w:val="00EA6D3F"/>
    <w:rsid w:val="00EA7037"/>
    <w:rsid w:val="00EB06EE"/>
    <w:rsid w:val="00EB170F"/>
    <w:rsid w:val="00EB1D4B"/>
    <w:rsid w:val="00EB611A"/>
    <w:rsid w:val="00EB6F09"/>
    <w:rsid w:val="00EB7C4B"/>
    <w:rsid w:val="00EC09D8"/>
    <w:rsid w:val="00EC1DF8"/>
    <w:rsid w:val="00EC2B82"/>
    <w:rsid w:val="00EC3A77"/>
    <w:rsid w:val="00EC3DEF"/>
    <w:rsid w:val="00EC3F87"/>
    <w:rsid w:val="00EC5F02"/>
    <w:rsid w:val="00EC6B14"/>
    <w:rsid w:val="00EC6BA6"/>
    <w:rsid w:val="00EC76B4"/>
    <w:rsid w:val="00ED0211"/>
    <w:rsid w:val="00ED0317"/>
    <w:rsid w:val="00ED3D5D"/>
    <w:rsid w:val="00ED42D5"/>
    <w:rsid w:val="00ED4CB0"/>
    <w:rsid w:val="00ED5757"/>
    <w:rsid w:val="00ED59DA"/>
    <w:rsid w:val="00ED5D8D"/>
    <w:rsid w:val="00ED6D69"/>
    <w:rsid w:val="00ED6E1A"/>
    <w:rsid w:val="00EE002B"/>
    <w:rsid w:val="00EE1BD5"/>
    <w:rsid w:val="00EE536A"/>
    <w:rsid w:val="00EE5586"/>
    <w:rsid w:val="00EE55E8"/>
    <w:rsid w:val="00EE64E4"/>
    <w:rsid w:val="00EE7FA7"/>
    <w:rsid w:val="00EF1533"/>
    <w:rsid w:val="00EF280C"/>
    <w:rsid w:val="00EF3A92"/>
    <w:rsid w:val="00EF3ECA"/>
    <w:rsid w:val="00EF427C"/>
    <w:rsid w:val="00EF4B5B"/>
    <w:rsid w:val="00EF6571"/>
    <w:rsid w:val="00F001D6"/>
    <w:rsid w:val="00F011CD"/>
    <w:rsid w:val="00F01B55"/>
    <w:rsid w:val="00F02240"/>
    <w:rsid w:val="00F02D0A"/>
    <w:rsid w:val="00F03025"/>
    <w:rsid w:val="00F04694"/>
    <w:rsid w:val="00F04706"/>
    <w:rsid w:val="00F04C83"/>
    <w:rsid w:val="00F065BB"/>
    <w:rsid w:val="00F071A0"/>
    <w:rsid w:val="00F1255B"/>
    <w:rsid w:val="00F14DDC"/>
    <w:rsid w:val="00F15F1A"/>
    <w:rsid w:val="00F22215"/>
    <w:rsid w:val="00F22B58"/>
    <w:rsid w:val="00F236C7"/>
    <w:rsid w:val="00F23AFF"/>
    <w:rsid w:val="00F23F84"/>
    <w:rsid w:val="00F25948"/>
    <w:rsid w:val="00F2618E"/>
    <w:rsid w:val="00F262CA"/>
    <w:rsid w:val="00F30590"/>
    <w:rsid w:val="00F317A2"/>
    <w:rsid w:val="00F31DF1"/>
    <w:rsid w:val="00F3217B"/>
    <w:rsid w:val="00F33CBA"/>
    <w:rsid w:val="00F3497D"/>
    <w:rsid w:val="00F366D8"/>
    <w:rsid w:val="00F37164"/>
    <w:rsid w:val="00F430BE"/>
    <w:rsid w:val="00F460AE"/>
    <w:rsid w:val="00F47945"/>
    <w:rsid w:val="00F47E12"/>
    <w:rsid w:val="00F50770"/>
    <w:rsid w:val="00F54845"/>
    <w:rsid w:val="00F56735"/>
    <w:rsid w:val="00F56B61"/>
    <w:rsid w:val="00F57987"/>
    <w:rsid w:val="00F667CF"/>
    <w:rsid w:val="00F66FCD"/>
    <w:rsid w:val="00F6725B"/>
    <w:rsid w:val="00F702E3"/>
    <w:rsid w:val="00F71B3A"/>
    <w:rsid w:val="00F72977"/>
    <w:rsid w:val="00F73269"/>
    <w:rsid w:val="00F73DEA"/>
    <w:rsid w:val="00F80793"/>
    <w:rsid w:val="00F811D2"/>
    <w:rsid w:val="00F82547"/>
    <w:rsid w:val="00F82627"/>
    <w:rsid w:val="00F827C5"/>
    <w:rsid w:val="00F900F1"/>
    <w:rsid w:val="00F9013F"/>
    <w:rsid w:val="00F940EC"/>
    <w:rsid w:val="00F96DE2"/>
    <w:rsid w:val="00F97537"/>
    <w:rsid w:val="00F977B3"/>
    <w:rsid w:val="00FA1E37"/>
    <w:rsid w:val="00FA53D1"/>
    <w:rsid w:val="00FA7F49"/>
    <w:rsid w:val="00FB0B6D"/>
    <w:rsid w:val="00FB316F"/>
    <w:rsid w:val="00FB44A4"/>
    <w:rsid w:val="00FB522B"/>
    <w:rsid w:val="00FB5BE9"/>
    <w:rsid w:val="00FB602F"/>
    <w:rsid w:val="00FB6836"/>
    <w:rsid w:val="00FB7B1F"/>
    <w:rsid w:val="00FC43DC"/>
    <w:rsid w:val="00FC59BE"/>
    <w:rsid w:val="00FC6D0C"/>
    <w:rsid w:val="00FD2D57"/>
    <w:rsid w:val="00FD3A96"/>
    <w:rsid w:val="00FD44F0"/>
    <w:rsid w:val="00FD52B2"/>
    <w:rsid w:val="00FD7F9A"/>
    <w:rsid w:val="00FE216F"/>
    <w:rsid w:val="00FE2394"/>
    <w:rsid w:val="00FE2CEC"/>
    <w:rsid w:val="00FE365D"/>
    <w:rsid w:val="00FE7DCA"/>
    <w:rsid w:val="00FF44C0"/>
    <w:rsid w:val="00FF4684"/>
    <w:rsid w:val="00FF697D"/>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A825F"/>
  <w15:docId w15:val="{4DB9677D-DBFC-415F-89CE-79D006F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5"/>
      <w:ind w:left="120"/>
      <w:outlineLvl w:val="0"/>
    </w:pPr>
    <w:rPr>
      <w:rFonts w:ascii="Arial" w:eastAsia="Arial" w:hAnsi="Arial" w:cs="Arial"/>
      <w:b/>
      <w:bCs/>
      <w:sz w:val="28"/>
      <w:szCs w:val="28"/>
    </w:rPr>
  </w:style>
  <w:style w:type="paragraph" w:styleId="Heading2">
    <w:name w:val="heading 2"/>
    <w:basedOn w:val="Normal"/>
    <w:link w:val="Heading2Char"/>
    <w:uiPriority w:val="1"/>
    <w:qFormat/>
    <w:pPr>
      <w:spacing w:line="268" w:lineRule="exact"/>
      <w:ind w:left="462" w:right="85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706"/>
      <w:ind w:left="120"/>
    </w:pPr>
    <w:rPr>
      <w:b/>
      <w:bCs/>
      <w:i/>
    </w:rPr>
  </w:style>
  <w:style w:type="paragraph" w:styleId="TOC2">
    <w:name w:val="toc 2"/>
    <w:basedOn w:val="Normal"/>
    <w:uiPriority w:val="1"/>
    <w:qFormat/>
    <w:pPr>
      <w:spacing w:before="101"/>
      <w:ind w:left="341"/>
    </w:pPr>
    <w:rPr>
      <w:b/>
      <w:bCs/>
    </w:rPr>
  </w:style>
  <w:style w:type="paragraph" w:styleId="BodyText">
    <w:name w:val="Body Text"/>
    <w:basedOn w:val="Normal"/>
    <w:uiPriority w:val="1"/>
    <w:qFormat/>
  </w:style>
  <w:style w:type="paragraph" w:styleId="ListParagraph">
    <w:name w:val="List Paragraph"/>
    <w:aliases w:val="F List Paragraph"/>
    <w:basedOn w:val="Normal"/>
    <w:link w:val="ListParagraphChar"/>
    <w:uiPriority w:val="1"/>
    <w:qFormat/>
    <w:pPr>
      <w:ind w:left="548" w:right="509" w:hanging="4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2106"/>
    <w:pPr>
      <w:tabs>
        <w:tab w:val="center" w:pos="4819"/>
        <w:tab w:val="right" w:pos="9638"/>
      </w:tabs>
    </w:pPr>
  </w:style>
  <w:style w:type="character" w:customStyle="1" w:styleId="HeaderChar">
    <w:name w:val="Header Char"/>
    <w:basedOn w:val="DefaultParagraphFont"/>
    <w:link w:val="Header"/>
    <w:uiPriority w:val="99"/>
    <w:rsid w:val="00A42106"/>
    <w:rPr>
      <w:rFonts w:ascii="Times New Roman" w:eastAsia="Times New Roman" w:hAnsi="Times New Roman" w:cs="Times New Roman"/>
    </w:rPr>
  </w:style>
  <w:style w:type="paragraph" w:styleId="Footer">
    <w:name w:val="footer"/>
    <w:basedOn w:val="Normal"/>
    <w:link w:val="FooterChar"/>
    <w:uiPriority w:val="99"/>
    <w:unhideWhenUsed/>
    <w:rsid w:val="00A42106"/>
    <w:pPr>
      <w:tabs>
        <w:tab w:val="center" w:pos="4819"/>
        <w:tab w:val="right" w:pos="9638"/>
      </w:tabs>
    </w:pPr>
  </w:style>
  <w:style w:type="character" w:customStyle="1" w:styleId="FooterChar">
    <w:name w:val="Footer Char"/>
    <w:basedOn w:val="DefaultParagraphFont"/>
    <w:link w:val="Footer"/>
    <w:uiPriority w:val="99"/>
    <w:rsid w:val="00A42106"/>
    <w:rPr>
      <w:rFonts w:ascii="Times New Roman" w:eastAsia="Times New Roman" w:hAnsi="Times New Roman" w:cs="Times New Roman"/>
    </w:rPr>
  </w:style>
  <w:style w:type="character" w:styleId="CommentReference">
    <w:name w:val="annotation reference"/>
    <w:basedOn w:val="DefaultParagraphFont"/>
    <w:uiPriority w:val="99"/>
    <w:unhideWhenUsed/>
    <w:rsid w:val="00120513"/>
    <w:rPr>
      <w:sz w:val="16"/>
      <w:szCs w:val="16"/>
    </w:rPr>
  </w:style>
  <w:style w:type="paragraph" w:styleId="CommentText">
    <w:name w:val="annotation text"/>
    <w:basedOn w:val="Normal"/>
    <w:link w:val="CommentTextChar"/>
    <w:uiPriority w:val="99"/>
    <w:unhideWhenUsed/>
    <w:rsid w:val="00120513"/>
    <w:rPr>
      <w:sz w:val="20"/>
      <w:szCs w:val="20"/>
    </w:rPr>
  </w:style>
  <w:style w:type="character" w:customStyle="1" w:styleId="CommentTextChar">
    <w:name w:val="Comment Text Char"/>
    <w:basedOn w:val="DefaultParagraphFont"/>
    <w:link w:val="CommentText"/>
    <w:uiPriority w:val="99"/>
    <w:rsid w:val="001205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513"/>
    <w:rPr>
      <w:b/>
      <w:bCs/>
    </w:rPr>
  </w:style>
  <w:style w:type="character" w:customStyle="1" w:styleId="CommentSubjectChar">
    <w:name w:val="Comment Subject Char"/>
    <w:basedOn w:val="CommentTextChar"/>
    <w:link w:val="CommentSubject"/>
    <w:uiPriority w:val="99"/>
    <w:semiHidden/>
    <w:rsid w:val="001205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0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513"/>
    <w:rPr>
      <w:rFonts w:ascii="Segoe UI" w:eastAsia="Times New Roman" w:hAnsi="Segoe UI" w:cs="Segoe UI"/>
      <w:sz w:val="18"/>
      <w:szCs w:val="18"/>
    </w:rPr>
  </w:style>
  <w:style w:type="paragraph" w:styleId="Revision">
    <w:name w:val="Revision"/>
    <w:hidden/>
    <w:uiPriority w:val="99"/>
    <w:semiHidden/>
    <w:rsid w:val="00417AD9"/>
    <w:pPr>
      <w:widowControl/>
    </w:pPr>
    <w:rPr>
      <w:rFonts w:ascii="Times New Roman" w:eastAsia="Times New Roman" w:hAnsi="Times New Roman" w:cs="Times New Roman"/>
    </w:rPr>
  </w:style>
  <w:style w:type="paragraph" w:customStyle="1" w:styleId="Title1">
    <w:name w:val="Title_1"/>
    <w:basedOn w:val="Heading2"/>
    <w:link w:val="Title1Carattere"/>
    <w:uiPriority w:val="1"/>
    <w:qFormat/>
    <w:rsid w:val="00457547"/>
    <w:pPr>
      <w:spacing w:line="240" w:lineRule="auto"/>
      <w:ind w:left="464"/>
    </w:pPr>
    <w:rPr>
      <w:color w:val="22226D"/>
    </w:rPr>
  </w:style>
  <w:style w:type="character" w:customStyle="1" w:styleId="Heading2Char">
    <w:name w:val="Heading 2 Char"/>
    <w:basedOn w:val="DefaultParagraphFont"/>
    <w:link w:val="Heading2"/>
    <w:uiPriority w:val="1"/>
    <w:rsid w:val="00457547"/>
    <w:rPr>
      <w:rFonts w:ascii="Times New Roman" w:eastAsia="Times New Roman" w:hAnsi="Times New Roman" w:cs="Times New Roman"/>
      <w:b/>
      <w:bCs/>
      <w:sz w:val="24"/>
      <w:szCs w:val="24"/>
    </w:rPr>
  </w:style>
  <w:style w:type="character" w:customStyle="1" w:styleId="Title1Carattere">
    <w:name w:val="Title_1 Carattere"/>
    <w:basedOn w:val="Heading2Char"/>
    <w:link w:val="Title1"/>
    <w:uiPriority w:val="1"/>
    <w:rsid w:val="00457547"/>
    <w:rPr>
      <w:rFonts w:ascii="Times New Roman" w:eastAsia="Times New Roman" w:hAnsi="Times New Roman" w:cs="Times New Roman"/>
      <w:b/>
      <w:bCs/>
      <w:color w:val="22226D"/>
      <w:sz w:val="24"/>
      <w:szCs w:val="24"/>
    </w:rPr>
  </w:style>
  <w:style w:type="character" w:customStyle="1" w:styleId="ListParagraphChar">
    <w:name w:val="List Paragraph Char"/>
    <w:aliases w:val="F List Paragraph Char"/>
    <w:basedOn w:val="DefaultParagraphFont"/>
    <w:link w:val="ListParagraph"/>
    <w:uiPriority w:val="1"/>
    <w:rsid w:val="00AF7473"/>
    <w:rPr>
      <w:rFonts w:ascii="Times New Roman" w:eastAsia="Times New Roman" w:hAnsi="Times New Roman" w:cs="Times New Roman"/>
    </w:rPr>
  </w:style>
  <w:style w:type="paragraph" w:customStyle="1" w:styleId="DocType">
    <w:name w:val="DocType"/>
    <w:basedOn w:val="Normal"/>
    <w:rsid w:val="008A6480"/>
    <w:pPr>
      <w:widowControl/>
      <w:spacing w:before="60" w:after="240" w:line="312" w:lineRule="auto"/>
      <w:jc w:val="both"/>
    </w:pPr>
    <w:rPr>
      <w:rFonts w:ascii="Verdana" w:hAnsi="Verdana" w:cs="Calibri"/>
      <w:b/>
      <w:bCs/>
      <w:color w:val="57585A"/>
      <w:szCs w:val="20"/>
      <w:lang w:val="en-GB"/>
    </w:rPr>
  </w:style>
  <w:style w:type="table" w:styleId="TableGrid">
    <w:name w:val="Table Grid"/>
    <w:basedOn w:val="TableNormal"/>
    <w:uiPriority w:val="59"/>
    <w:rsid w:val="0062560D"/>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59BE"/>
    <w:rPr>
      <w:color w:val="808080"/>
    </w:rPr>
  </w:style>
  <w:style w:type="paragraph" w:styleId="NoSpacing">
    <w:name w:val="No Spacing"/>
    <w:aliases w:val="Body text"/>
    <w:basedOn w:val="Normal"/>
    <w:uiPriority w:val="1"/>
    <w:qFormat/>
    <w:rsid w:val="007D6392"/>
    <w:pPr>
      <w:widowControl/>
      <w:numPr>
        <w:numId w:val="91"/>
      </w:numPr>
      <w:spacing w:after="240"/>
      <w:jc w:val="both"/>
    </w:pPr>
    <w:rPr>
      <w:rFonts w:eastAsia="Calibri"/>
      <w:szCs w:val="20"/>
      <w:lang w:val="en-GB" w:eastAsia="de-DE"/>
    </w:rPr>
  </w:style>
  <w:style w:type="paragraph" w:styleId="TOCHeading">
    <w:name w:val="TOC Heading"/>
    <w:basedOn w:val="Heading1"/>
    <w:next w:val="Normal"/>
    <w:uiPriority w:val="39"/>
    <w:semiHidden/>
    <w:unhideWhenUsed/>
    <w:qFormat/>
    <w:rsid w:val="007D6392"/>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paragraph" w:styleId="FootnoteText">
    <w:name w:val="footnote text"/>
    <w:aliases w:val="TBG Style,Footnote Text Char3 Char,Footnote Text Char2 Char Char,Footnote Text Char1 Char1 Char Char,Footnote Text Char2 Char Char Char1 Char,Footnote Text Char1 Char1 Char Char Char Char,Footnote Text Char1 Char,DTE-Voetnoottekst"/>
    <w:basedOn w:val="Normal"/>
    <w:link w:val="FootnoteTextChar"/>
    <w:uiPriority w:val="99"/>
    <w:unhideWhenUsed/>
    <w:qFormat/>
    <w:rsid w:val="007D6392"/>
    <w:pPr>
      <w:widowControl/>
      <w:spacing w:after="120"/>
      <w:jc w:val="both"/>
    </w:pPr>
    <w:rPr>
      <w:rFonts w:eastAsiaTheme="minorHAnsi" w:cstheme="minorBidi"/>
      <w:sz w:val="18"/>
      <w:szCs w:val="20"/>
      <w:lang w:val="en-GB"/>
    </w:rPr>
  </w:style>
  <w:style w:type="character" w:customStyle="1" w:styleId="FootnoteTextChar">
    <w:name w:val="Footnote Text Char"/>
    <w:aliases w:val="TBG Style Char,Footnote Text Char3 Char Char,Footnote Text Char2 Char Char Char,Footnote Text Char1 Char1 Char Char Char,Footnote Text Char2 Char Char Char1 Char Char,Footnote Text Char1 Char1 Char Char Char Char Char"/>
    <w:basedOn w:val="DefaultParagraphFont"/>
    <w:link w:val="FootnoteText"/>
    <w:uiPriority w:val="99"/>
    <w:rsid w:val="007D6392"/>
    <w:rPr>
      <w:rFonts w:ascii="Times New Roman" w:hAnsi="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6587">
      <w:bodyDiv w:val="1"/>
      <w:marLeft w:val="0"/>
      <w:marRight w:val="0"/>
      <w:marTop w:val="0"/>
      <w:marBottom w:val="0"/>
      <w:divBdr>
        <w:top w:val="none" w:sz="0" w:space="0" w:color="auto"/>
        <w:left w:val="none" w:sz="0" w:space="0" w:color="auto"/>
        <w:bottom w:val="none" w:sz="0" w:space="0" w:color="auto"/>
        <w:right w:val="none" w:sz="0" w:space="0" w:color="auto"/>
      </w:divBdr>
    </w:div>
    <w:div w:id="153687492">
      <w:bodyDiv w:val="1"/>
      <w:marLeft w:val="0"/>
      <w:marRight w:val="0"/>
      <w:marTop w:val="0"/>
      <w:marBottom w:val="0"/>
      <w:divBdr>
        <w:top w:val="none" w:sz="0" w:space="0" w:color="auto"/>
        <w:left w:val="none" w:sz="0" w:space="0" w:color="auto"/>
        <w:bottom w:val="none" w:sz="0" w:space="0" w:color="auto"/>
        <w:right w:val="none" w:sz="0" w:space="0" w:color="auto"/>
      </w:divBdr>
    </w:div>
    <w:div w:id="530535741">
      <w:bodyDiv w:val="1"/>
      <w:marLeft w:val="0"/>
      <w:marRight w:val="0"/>
      <w:marTop w:val="0"/>
      <w:marBottom w:val="0"/>
      <w:divBdr>
        <w:top w:val="none" w:sz="0" w:space="0" w:color="auto"/>
        <w:left w:val="none" w:sz="0" w:space="0" w:color="auto"/>
        <w:bottom w:val="none" w:sz="0" w:space="0" w:color="auto"/>
        <w:right w:val="none" w:sz="0" w:space="0" w:color="auto"/>
      </w:divBdr>
    </w:div>
    <w:div w:id="702093602">
      <w:bodyDiv w:val="1"/>
      <w:marLeft w:val="0"/>
      <w:marRight w:val="0"/>
      <w:marTop w:val="0"/>
      <w:marBottom w:val="0"/>
      <w:divBdr>
        <w:top w:val="none" w:sz="0" w:space="0" w:color="auto"/>
        <w:left w:val="none" w:sz="0" w:space="0" w:color="auto"/>
        <w:bottom w:val="none" w:sz="0" w:space="0" w:color="auto"/>
        <w:right w:val="none" w:sz="0" w:space="0" w:color="auto"/>
      </w:divBdr>
    </w:div>
    <w:div w:id="731275563">
      <w:bodyDiv w:val="1"/>
      <w:marLeft w:val="0"/>
      <w:marRight w:val="0"/>
      <w:marTop w:val="0"/>
      <w:marBottom w:val="0"/>
      <w:divBdr>
        <w:top w:val="none" w:sz="0" w:space="0" w:color="auto"/>
        <w:left w:val="none" w:sz="0" w:space="0" w:color="auto"/>
        <w:bottom w:val="none" w:sz="0" w:space="0" w:color="auto"/>
        <w:right w:val="none" w:sz="0" w:space="0" w:color="auto"/>
      </w:divBdr>
    </w:div>
    <w:div w:id="845097629">
      <w:bodyDiv w:val="1"/>
      <w:marLeft w:val="0"/>
      <w:marRight w:val="0"/>
      <w:marTop w:val="0"/>
      <w:marBottom w:val="0"/>
      <w:divBdr>
        <w:top w:val="none" w:sz="0" w:space="0" w:color="auto"/>
        <w:left w:val="none" w:sz="0" w:space="0" w:color="auto"/>
        <w:bottom w:val="none" w:sz="0" w:space="0" w:color="auto"/>
        <w:right w:val="none" w:sz="0" w:space="0" w:color="auto"/>
      </w:divBdr>
    </w:div>
    <w:div w:id="905260535">
      <w:bodyDiv w:val="1"/>
      <w:marLeft w:val="0"/>
      <w:marRight w:val="0"/>
      <w:marTop w:val="0"/>
      <w:marBottom w:val="0"/>
      <w:divBdr>
        <w:top w:val="none" w:sz="0" w:space="0" w:color="auto"/>
        <w:left w:val="none" w:sz="0" w:space="0" w:color="auto"/>
        <w:bottom w:val="none" w:sz="0" w:space="0" w:color="auto"/>
        <w:right w:val="none" w:sz="0" w:space="0" w:color="auto"/>
      </w:divBdr>
    </w:div>
    <w:div w:id="970282678">
      <w:bodyDiv w:val="1"/>
      <w:marLeft w:val="0"/>
      <w:marRight w:val="0"/>
      <w:marTop w:val="0"/>
      <w:marBottom w:val="0"/>
      <w:divBdr>
        <w:top w:val="none" w:sz="0" w:space="0" w:color="auto"/>
        <w:left w:val="none" w:sz="0" w:space="0" w:color="auto"/>
        <w:bottom w:val="none" w:sz="0" w:space="0" w:color="auto"/>
        <w:right w:val="none" w:sz="0" w:space="0" w:color="auto"/>
      </w:divBdr>
    </w:div>
    <w:div w:id="1217349521">
      <w:bodyDiv w:val="1"/>
      <w:marLeft w:val="0"/>
      <w:marRight w:val="0"/>
      <w:marTop w:val="0"/>
      <w:marBottom w:val="0"/>
      <w:divBdr>
        <w:top w:val="none" w:sz="0" w:space="0" w:color="auto"/>
        <w:left w:val="none" w:sz="0" w:space="0" w:color="auto"/>
        <w:bottom w:val="none" w:sz="0" w:space="0" w:color="auto"/>
        <w:right w:val="none" w:sz="0" w:space="0" w:color="auto"/>
      </w:divBdr>
    </w:div>
    <w:div w:id="1277442331">
      <w:bodyDiv w:val="1"/>
      <w:marLeft w:val="0"/>
      <w:marRight w:val="0"/>
      <w:marTop w:val="0"/>
      <w:marBottom w:val="0"/>
      <w:divBdr>
        <w:top w:val="none" w:sz="0" w:space="0" w:color="auto"/>
        <w:left w:val="none" w:sz="0" w:space="0" w:color="auto"/>
        <w:bottom w:val="none" w:sz="0" w:space="0" w:color="auto"/>
        <w:right w:val="none" w:sz="0" w:space="0" w:color="auto"/>
      </w:divBdr>
    </w:div>
    <w:div w:id="1322733293">
      <w:bodyDiv w:val="1"/>
      <w:marLeft w:val="0"/>
      <w:marRight w:val="0"/>
      <w:marTop w:val="0"/>
      <w:marBottom w:val="0"/>
      <w:divBdr>
        <w:top w:val="none" w:sz="0" w:space="0" w:color="auto"/>
        <w:left w:val="none" w:sz="0" w:space="0" w:color="auto"/>
        <w:bottom w:val="none" w:sz="0" w:space="0" w:color="auto"/>
        <w:right w:val="none" w:sz="0" w:space="0" w:color="auto"/>
      </w:divBdr>
    </w:div>
    <w:div w:id="1438716866">
      <w:bodyDiv w:val="1"/>
      <w:marLeft w:val="0"/>
      <w:marRight w:val="0"/>
      <w:marTop w:val="0"/>
      <w:marBottom w:val="0"/>
      <w:divBdr>
        <w:top w:val="none" w:sz="0" w:space="0" w:color="auto"/>
        <w:left w:val="none" w:sz="0" w:space="0" w:color="auto"/>
        <w:bottom w:val="none" w:sz="0" w:space="0" w:color="auto"/>
        <w:right w:val="none" w:sz="0" w:space="0" w:color="auto"/>
      </w:divBdr>
      <w:divsChild>
        <w:div w:id="847791708">
          <w:marLeft w:val="0"/>
          <w:marRight w:val="0"/>
          <w:marTop w:val="0"/>
          <w:marBottom w:val="0"/>
          <w:divBdr>
            <w:top w:val="none" w:sz="0" w:space="0" w:color="auto"/>
            <w:left w:val="none" w:sz="0" w:space="0" w:color="auto"/>
            <w:bottom w:val="none" w:sz="0" w:space="0" w:color="auto"/>
            <w:right w:val="none" w:sz="0" w:space="0" w:color="auto"/>
          </w:divBdr>
          <w:divsChild>
            <w:div w:id="287123370">
              <w:marLeft w:val="0"/>
              <w:marRight w:val="0"/>
              <w:marTop w:val="0"/>
              <w:marBottom w:val="0"/>
              <w:divBdr>
                <w:top w:val="none" w:sz="0" w:space="0" w:color="auto"/>
                <w:left w:val="none" w:sz="0" w:space="0" w:color="auto"/>
                <w:bottom w:val="none" w:sz="0" w:space="0" w:color="auto"/>
                <w:right w:val="none" w:sz="0" w:space="0" w:color="auto"/>
              </w:divBdr>
              <w:divsChild>
                <w:div w:id="77676182">
                  <w:marLeft w:val="0"/>
                  <w:marRight w:val="0"/>
                  <w:marTop w:val="0"/>
                  <w:marBottom w:val="0"/>
                  <w:divBdr>
                    <w:top w:val="none" w:sz="0" w:space="0" w:color="auto"/>
                    <w:left w:val="none" w:sz="0" w:space="0" w:color="auto"/>
                    <w:bottom w:val="none" w:sz="0" w:space="0" w:color="auto"/>
                    <w:right w:val="none" w:sz="0" w:space="0" w:color="auto"/>
                  </w:divBdr>
                </w:div>
                <w:div w:id="179320911">
                  <w:marLeft w:val="0"/>
                  <w:marRight w:val="0"/>
                  <w:marTop w:val="0"/>
                  <w:marBottom w:val="0"/>
                  <w:divBdr>
                    <w:top w:val="none" w:sz="0" w:space="0" w:color="auto"/>
                    <w:left w:val="none" w:sz="0" w:space="0" w:color="auto"/>
                    <w:bottom w:val="none" w:sz="0" w:space="0" w:color="auto"/>
                    <w:right w:val="none" w:sz="0" w:space="0" w:color="auto"/>
                  </w:divBdr>
                </w:div>
                <w:div w:id="525604152">
                  <w:marLeft w:val="0"/>
                  <w:marRight w:val="0"/>
                  <w:marTop w:val="0"/>
                  <w:marBottom w:val="0"/>
                  <w:divBdr>
                    <w:top w:val="none" w:sz="0" w:space="0" w:color="auto"/>
                    <w:left w:val="none" w:sz="0" w:space="0" w:color="auto"/>
                    <w:bottom w:val="none" w:sz="0" w:space="0" w:color="auto"/>
                    <w:right w:val="none" w:sz="0" w:space="0" w:color="auto"/>
                  </w:divBdr>
                </w:div>
                <w:div w:id="1271670533">
                  <w:marLeft w:val="0"/>
                  <w:marRight w:val="0"/>
                  <w:marTop w:val="0"/>
                  <w:marBottom w:val="0"/>
                  <w:divBdr>
                    <w:top w:val="none" w:sz="0" w:space="0" w:color="auto"/>
                    <w:left w:val="none" w:sz="0" w:space="0" w:color="auto"/>
                    <w:bottom w:val="none" w:sz="0" w:space="0" w:color="auto"/>
                    <w:right w:val="none" w:sz="0" w:space="0" w:color="auto"/>
                  </w:divBdr>
                </w:div>
                <w:div w:id="16899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95">
      <w:bodyDiv w:val="1"/>
      <w:marLeft w:val="0"/>
      <w:marRight w:val="0"/>
      <w:marTop w:val="0"/>
      <w:marBottom w:val="0"/>
      <w:divBdr>
        <w:top w:val="none" w:sz="0" w:space="0" w:color="auto"/>
        <w:left w:val="none" w:sz="0" w:space="0" w:color="auto"/>
        <w:bottom w:val="none" w:sz="0" w:space="0" w:color="auto"/>
        <w:right w:val="none" w:sz="0" w:space="0" w:color="auto"/>
      </w:divBdr>
    </w:div>
    <w:div w:id="1534264618">
      <w:bodyDiv w:val="1"/>
      <w:marLeft w:val="0"/>
      <w:marRight w:val="0"/>
      <w:marTop w:val="0"/>
      <w:marBottom w:val="0"/>
      <w:divBdr>
        <w:top w:val="none" w:sz="0" w:space="0" w:color="auto"/>
        <w:left w:val="none" w:sz="0" w:space="0" w:color="auto"/>
        <w:bottom w:val="none" w:sz="0" w:space="0" w:color="auto"/>
        <w:right w:val="none" w:sz="0" w:space="0" w:color="auto"/>
      </w:divBdr>
    </w:div>
    <w:div w:id="1601447492">
      <w:bodyDiv w:val="1"/>
      <w:marLeft w:val="0"/>
      <w:marRight w:val="0"/>
      <w:marTop w:val="0"/>
      <w:marBottom w:val="0"/>
      <w:divBdr>
        <w:top w:val="none" w:sz="0" w:space="0" w:color="auto"/>
        <w:left w:val="none" w:sz="0" w:space="0" w:color="auto"/>
        <w:bottom w:val="none" w:sz="0" w:space="0" w:color="auto"/>
        <w:right w:val="none" w:sz="0" w:space="0" w:color="auto"/>
      </w:divBdr>
    </w:div>
    <w:div w:id="1676303226">
      <w:bodyDiv w:val="1"/>
      <w:marLeft w:val="0"/>
      <w:marRight w:val="0"/>
      <w:marTop w:val="0"/>
      <w:marBottom w:val="0"/>
      <w:divBdr>
        <w:top w:val="none" w:sz="0" w:space="0" w:color="auto"/>
        <w:left w:val="none" w:sz="0" w:space="0" w:color="auto"/>
        <w:bottom w:val="none" w:sz="0" w:space="0" w:color="auto"/>
        <w:right w:val="none" w:sz="0" w:space="0" w:color="auto"/>
      </w:divBdr>
    </w:div>
    <w:div w:id="2003509454">
      <w:bodyDiv w:val="1"/>
      <w:marLeft w:val="0"/>
      <w:marRight w:val="0"/>
      <w:marTop w:val="0"/>
      <w:marBottom w:val="0"/>
      <w:divBdr>
        <w:top w:val="none" w:sz="0" w:space="0" w:color="auto"/>
        <w:left w:val="none" w:sz="0" w:space="0" w:color="auto"/>
        <w:bottom w:val="none" w:sz="0" w:space="0" w:color="auto"/>
        <w:right w:val="none" w:sz="0" w:space="0" w:color="auto"/>
      </w:divBdr>
    </w:div>
    <w:div w:id="203025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A238-810C-4169-8433-0A6404B9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13800</Words>
  <Characters>74521</Characters>
  <Application>Microsoft Office Word</Application>
  <DocSecurity>0</DocSecurity>
  <Lines>621</Lines>
  <Paragraphs>176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88145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 CONSTANTIN</dc:creator>
  <cp:lastModifiedBy>Sidiropoulos Dimitrios</cp:lastModifiedBy>
  <cp:revision>6</cp:revision>
  <cp:lastPrinted>2022-07-25T06:17:00Z</cp:lastPrinted>
  <dcterms:created xsi:type="dcterms:W3CDTF">2025-01-24T10:29:00Z</dcterms:created>
  <dcterms:modified xsi:type="dcterms:W3CDTF">2025-05-15T11:35:00Z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24ed5-0cfc-4d4c-ac51-e92bca5b81d6_Enabled">
    <vt:lpwstr>true</vt:lpwstr>
  </property>
  <property fmtid="{D5CDD505-2E9C-101B-9397-08002B2CF9AE}" pid="3" name="MSIP_Label_05724ed5-0cfc-4d4c-ac51-e92bca5b81d6_SetDate">
    <vt:lpwstr>2025-01-16T12:16:37Z</vt:lpwstr>
  </property>
  <property fmtid="{D5CDD505-2E9C-101B-9397-08002B2CF9AE}" pid="4" name="MSIP_Label_05724ed5-0cfc-4d4c-ac51-e92bca5b81d6_Method">
    <vt:lpwstr>Standard</vt:lpwstr>
  </property>
  <property fmtid="{D5CDD505-2E9C-101B-9397-08002B2CF9AE}" pid="5" name="MSIP_Label_05724ed5-0cfc-4d4c-ac51-e92bca5b81d6_Name">
    <vt:lpwstr>defa4170-0d19-0005-0004-bc88714345d2</vt:lpwstr>
  </property>
  <property fmtid="{D5CDD505-2E9C-101B-9397-08002B2CF9AE}" pid="6" name="MSIP_Label_05724ed5-0cfc-4d4c-ac51-e92bca5b81d6_SiteId">
    <vt:lpwstr>04431d29-4523-4837-9461-aba5f0619b10</vt:lpwstr>
  </property>
  <property fmtid="{D5CDD505-2E9C-101B-9397-08002B2CF9AE}" pid="7" name="MSIP_Label_05724ed5-0cfc-4d4c-ac51-e92bca5b81d6_ActionId">
    <vt:lpwstr>f64ca94e-9091-409c-9bb6-43bf77798b4e</vt:lpwstr>
  </property>
  <property fmtid="{D5CDD505-2E9C-101B-9397-08002B2CF9AE}" pid="8" name="MSIP_Label_05724ed5-0cfc-4d4c-ac51-e92bca5b81d6_ContentBits">
    <vt:lpwstr>0</vt:lpwstr>
  </property>
</Properties>
</file>