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2E6D8" w14:textId="77777777" w:rsidR="00824C10" w:rsidRPr="00D00ABD" w:rsidRDefault="00824C10">
      <w:pPr>
        <w:widowControl w:val="0"/>
        <w:autoSpaceDE w:val="0"/>
        <w:autoSpaceDN w:val="0"/>
        <w:adjustRightInd w:val="0"/>
        <w:spacing w:before="6" w:after="0" w:line="100" w:lineRule="exact"/>
        <w:rPr>
          <w:rFonts w:ascii="Times New Roman" w:hAnsi="Times New Roman"/>
          <w:sz w:val="10"/>
          <w:szCs w:val="10"/>
        </w:rPr>
      </w:pPr>
      <w:bookmarkStart w:id="0" w:name="_GoBack"/>
      <w:bookmarkEnd w:id="0"/>
    </w:p>
    <w:p w14:paraId="6C72E6D9" w14:textId="77777777" w:rsidR="00824C10" w:rsidRPr="00D00ABD" w:rsidRDefault="00824C10">
      <w:pPr>
        <w:widowControl w:val="0"/>
        <w:autoSpaceDE w:val="0"/>
        <w:autoSpaceDN w:val="0"/>
        <w:adjustRightInd w:val="0"/>
        <w:spacing w:after="0" w:line="200" w:lineRule="exact"/>
        <w:rPr>
          <w:rFonts w:ascii="Times New Roman" w:hAnsi="Times New Roman"/>
          <w:sz w:val="20"/>
          <w:szCs w:val="20"/>
        </w:rPr>
      </w:pPr>
    </w:p>
    <w:p w14:paraId="6C72E6DA" w14:textId="77777777" w:rsidR="00824C10" w:rsidRPr="00D00ABD" w:rsidRDefault="00824C10">
      <w:pPr>
        <w:widowControl w:val="0"/>
        <w:autoSpaceDE w:val="0"/>
        <w:autoSpaceDN w:val="0"/>
        <w:adjustRightInd w:val="0"/>
        <w:spacing w:after="0" w:line="200" w:lineRule="exact"/>
        <w:rPr>
          <w:rFonts w:ascii="Times New Roman" w:hAnsi="Times New Roman"/>
          <w:sz w:val="20"/>
          <w:szCs w:val="20"/>
        </w:rPr>
      </w:pPr>
    </w:p>
    <w:p w14:paraId="6C72E6DB" w14:textId="77777777" w:rsidR="00824C10" w:rsidRPr="00D00ABD" w:rsidRDefault="00824C10">
      <w:pPr>
        <w:widowControl w:val="0"/>
        <w:autoSpaceDE w:val="0"/>
        <w:autoSpaceDN w:val="0"/>
        <w:adjustRightInd w:val="0"/>
        <w:spacing w:after="0" w:line="200" w:lineRule="exact"/>
        <w:rPr>
          <w:rFonts w:ascii="Times New Roman" w:hAnsi="Times New Roman"/>
          <w:sz w:val="20"/>
          <w:szCs w:val="20"/>
        </w:rPr>
      </w:pPr>
    </w:p>
    <w:p w14:paraId="6C72E6DC" w14:textId="77777777" w:rsidR="00824C10" w:rsidRPr="00D00ABD" w:rsidRDefault="00824C10">
      <w:pPr>
        <w:widowControl w:val="0"/>
        <w:autoSpaceDE w:val="0"/>
        <w:autoSpaceDN w:val="0"/>
        <w:adjustRightInd w:val="0"/>
        <w:spacing w:after="0" w:line="200" w:lineRule="exact"/>
        <w:rPr>
          <w:rFonts w:ascii="Times New Roman" w:hAnsi="Times New Roman"/>
          <w:sz w:val="20"/>
          <w:szCs w:val="20"/>
        </w:rPr>
      </w:pPr>
    </w:p>
    <w:p w14:paraId="6C72E6DD" w14:textId="77BC2383" w:rsidR="009242CF" w:rsidRPr="00D00ABD" w:rsidRDefault="00824C10" w:rsidP="004A7EF0">
      <w:pPr>
        <w:pStyle w:val="Title"/>
        <w:pBdr>
          <w:top w:val="single" w:sz="12" w:space="1" w:color="auto"/>
          <w:bottom w:val="single" w:sz="12" w:space="4" w:color="auto"/>
        </w:pBdr>
        <w:jc w:val="center"/>
        <w:rPr>
          <w:rFonts w:ascii="Arial" w:eastAsia="Times New Roman" w:hAnsi="Arial" w:cs="Arial"/>
          <w:color w:val="auto"/>
          <w:spacing w:val="0"/>
          <w:kern w:val="0"/>
        </w:rPr>
      </w:pPr>
      <w:r w:rsidRPr="00D00ABD">
        <w:rPr>
          <w:rFonts w:ascii="Arial" w:eastAsia="Times New Roman" w:hAnsi="Arial" w:cs="Arial"/>
          <w:color w:val="auto"/>
          <w:spacing w:val="0"/>
          <w:kern w:val="0"/>
        </w:rPr>
        <w:t xml:space="preserve">Supporting document to the </w:t>
      </w:r>
      <w:r w:rsidR="009242CF" w:rsidRPr="00D00ABD">
        <w:rPr>
          <w:rFonts w:ascii="Arial" w:eastAsia="Times New Roman" w:hAnsi="Arial" w:cs="Arial"/>
          <w:color w:val="auto"/>
          <w:spacing w:val="0"/>
          <w:kern w:val="0"/>
        </w:rPr>
        <w:t>GB Synchronous Area Operati</w:t>
      </w:r>
      <w:r w:rsidR="003C7AA0" w:rsidRPr="00D00ABD">
        <w:rPr>
          <w:rFonts w:ascii="Arial" w:eastAsia="Times New Roman" w:hAnsi="Arial" w:cs="Arial"/>
          <w:color w:val="auto"/>
          <w:spacing w:val="0"/>
          <w:kern w:val="0"/>
        </w:rPr>
        <w:t>onal</w:t>
      </w:r>
      <w:r w:rsidR="009242CF" w:rsidRPr="00D00ABD">
        <w:rPr>
          <w:rFonts w:ascii="Arial" w:eastAsia="Times New Roman" w:hAnsi="Arial" w:cs="Arial"/>
          <w:color w:val="auto"/>
          <w:spacing w:val="0"/>
          <w:kern w:val="0"/>
        </w:rPr>
        <w:t xml:space="preserve"> </w:t>
      </w:r>
      <w:r w:rsidR="0051359E" w:rsidRPr="00D00ABD">
        <w:rPr>
          <w:rFonts w:ascii="Arial" w:eastAsia="Times New Roman" w:hAnsi="Arial" w:cs="Arial"/>
          <w:color w:val="auto"/>
          <w:spacing w:val="0"/>
          <w:kern w:val="0"/>
        </w:rPr>
        <w:t xml:space="preserve">Methodologies </w:t>
      </w:r>
      <w:r w:rsidR="009242CF" w:rsidRPr="00D00ABD">
        <w:rPr>
          <w:rFonts w:ascii="Arial" w:eastAsia="Times New Roman" w:hAnsi="Arial" w:cs="Arial"/>
          <w:color w:val="auto"/>
          <w:spacing w:val="0"/>
          <w:kern w:val="0"/>
        </w:rPr>
        <w:t>developed</w:t>
      </w:r>
      <w:r w:rsidR="003C7AA0" w:rsidRPr="00D00ABD">
        <w:rPr>
          <w:rFonts w:ascii="Arial" w:eastAsia="Times New Roman" w:hAnsi="Arial" w:cs="Arial"/>
          <w:color w:val="auto"/>
          <w:spacing w:val="0"/>
          <w:kern w:val="0"/>
        </w:rPr>
        <w:t xml:space="preserve"> </w:t>
      </w:r>
      <w:r w:rsidRPr="00D00ABD">
        <w:rPr>
          <w:rFonts w:ascii="Arial" w:eastAsia="Times New Roman" w:hAnsi="Arial" w:cs="Arial"/>
          <w:color w:val="auto"/>
          <w:spacing w:val="0"/>
          <w:kern w:val="0"/>
        </w:rPr>
        <w:t>in accordance wit</w:t>
      </w:r>
      <w:r w:rsidR="004A7EF0" w:rsidRPr="00D00ABD">
        <w:rPr>
          <w:rFonts w:ascii="Arial" w:eastAsia="Times New Roman" w:hAnsi="Arial" w:cs="Arial"/>
          <w:color w:val="auto"/>
          <w:spacing w:val="0"/>
          <w:kern w:val="0"/>
        </w:rPr>
        <w:t>h A</w:t>
      </w:r>
      <w:r w:rsidRPr="00D00ABD">
        <w:rPr>
          <w:rFonts w:ascii="Arial" w:eastAsia="Times New Roman" w:hAnsi="Arial" w:cs="Arial"/>
          <w:color w:val="auto"/>
          <w:spacing w:val="0"/>
          <w:kern w:val="0"/>
        </w:rPr>
        <w:t xml:space="preserve">rticle </w:t>
      </w:r>
      <w:r w:rsidR="009242CF" w:rsidRPr="00D00ABD">
        <w:rPr>
          <w:rFonts w:ascii="Arial" w:eastAsia="Times New Roman" w:hAnsi="Arial" w:cs="Arial"/>
          <w:color w:val="auto"/>
          <w:spacing w:val="0"/>
          <w:kern w:val="0"/>
        </w:rPr>
        <w:t>118</w:t>
      </w:r>
      <w:r w:rsidRPr="00D00ABD">
        <w:rPr>
          <w:rFonts w:ascii="Arial" w:eastAsia="Times New Roman" w:hAnsi="Arial" w:cs="Arial"/>
          <w:color w:val="auto"/>
          <w:spacing w:val="0"/>
          <w:kern w:val="0"/>
        </w:rPr>
        <w:t xml:space="preserve"> of Commission Regulation (EU) 2017/1485</w:t>
      </w:r>
      <w:r w:rsidR="003C7AA0" w:rsidRPr="00D00ABD">
        <w:rPr>
          <w:rFonts w:ascii="Arial" w:eastAsia="Times New Roman" w:hAnsi="Arial" w:cs="Arial"/>
          <w:color w:val="auto"/>
          <w:spacing w:val="0"/>
          <w:kern w:val="0"/>
        </w:rPr>
        <w:t xml:space="preserve"> </w:t>
      </w:r>
      <w:r w:rsidRPr="00D00ABD">
        <w:rPr>
          <w:rFonts w:ascii="Arial" w:eastAsia="Times New Roman" w:hAnsi="Arial" w:cs="Arial"/>
          <w:color w:val="auto"/>
          <w:spacing w:val="0"/>
          <w:kern w:val="0"/>
        </w:rPr>
        <w:t>of 2 August 2017 establishing a guideline on electricity transmission system operati</w:t>
      </w:r>
      <w:r w:rsidR="009242CF" w:rsidRPr="00D00ABD">
        <w:rPr>
          <w:rFonts w:ascii="Arial" w:eastAsia="Times New Roman" w:hAnsi="Arial" w:cs="Arial"/>
          <w:color w:val="auto"/>
          <w:spacing w:val="0"/>
          <w:kern w:val="0"/>
        </w:rPr>
        <w:t>on</w:t>
      </w:r>
    </w:p>
    <w:p w14:paraId="6C72E6DE" w14:textId="77777777" w:rsidR="00824C10" w:rsidRPr="00D00ABD" w:rsidRDefault="00824C10">
      <w:pPr>
        <w:widowControl w:val="0"/>
        <w:autoSpaceDE w:val="0"/>
        <w:autoSpaceDN w:val="0"/>
        <w:adjustRightInd w:val="0"/>
        <w:spacing w:before="1" w:after="0" w:line="541" w:lineRule="exact"/>
        <w:ind w:left="1020" w:right="1082"/>
        <w:jc w:val="center"/>
        <w:rPr>
          <w:rFonts w:ascii="Arial" w:hAnsi="Arial" w:cs="Arial"/>
          <w:color w:val="000000"/>
          <w:sz w:val="28"/>
          <w:szCs w:val="24"/>
        </w:rPr>
      </w:pPr>
    </w:p>
    <w:p w14:paraId="6C72E6DF" w14:textId="77777777" w:rsidR="00824C10" w:rsidRPr="00D00ABD" w:rsidRDefault="00824C10">
      <w:pPr>
        <w:widowControl w:val="0"/>
        <w:autoSpaceDE w:val="0"/>
        <w:autoSpaceDN w:val="0"/>
        <w:adjustRightInd w:val="0"/>
        <w:spacing w:after="0" w:line="200" w:lineRule="exact"/>
        <w:rPr>
          <w:rFonts w:ascii="Arial" w:hAnsi="Arial" w:cs="Arial"/>
          <w:color w:val="000000"/>
          <w:sz w:val="28"/>
          <w:szCs w:val="24"/>
        </w:rPr>
      </w:pPr>
    </w:p>
    <w:p w14:paraId="6C72E6E0" w14:textId="77777777" w:rsidR="00824C10" w:rsidRPr="00D00ABD" w:rsidRDefault="00824C10">
      <w:pPr>
        <w:widowControl w:val="0"/>
        <w:autoSpaceDE w:val="0"/>
        <w:autoSpaceDN w:val="0"/>
        <w:adjustRightInd w:val="0"/>
        <w:spacing w:after="0" w:line="200" w:lineRule="exact"/>
        <w:rPr>
          <w:rFonts w:ascii="Arial" w:hAnsi="Arial" w:cs="Arial"/>
          <w:color w:val="000000"/>
          <w:sz w:val="28"/>
          <w:szCs w:val="24"/>
        </w:rPr>
      </w:pPr>
    </w:p>
    <w:p w14:paraId="6C72E6E1" w14:textId="77777777" w:rsidR="00824C10" w:rsidRPr="00D00ABD" w:rsidRDefault="00824C10">
      <w:pPr>
        <w:widowControl w:val="0"/>
        <w:autoSpaceDE w:val="0"/>
        <w:autoSpaceDN w:val="0"/>
        <w:adjustRightInd w:val="0"/>
        <w:spacing w:after="0" w:line="200" w:lineRule="exact"/>
        <w:rPr>
          <w:rFonts w:ascii="Arial" w:hAnsi="Arial" w:cs="Arial"/>
          <w:color w:val="000000"/>
          <w:sz w:val="28"/>
          <w:szCs w:val="24"/>
        </w:rPr>
      </w:pPr>
    </w:p>
    <w:p w14:paraId="6C72E6E2" w14:textId="07AB4EFB" w:rsidR="00824C10" w:rsidRPr="00D00ABD" w:rsidRDefault="00E401FE">
      <w:pPr>
        <w:widowControl w:val="0"/>
        <w:autoSpaceDE w:val="0"/>
        <w:autoSpaceDN w:val="0"/>
        <w:adjustRightInd w:val="0"/>
        <w:spacing w:before="23" w:after="0" w:line="327" w:lineRule="exact"/>
        <w:ind w:left="3677" w:right="3739"/>
        <w:jc w:val="center"/>
        <w:rPr>
          <w:rFonts w:ascii="Arial" w:hAnsi="Arial" w:cs="Arial"/>
          <w:color w:val="000000"/>
          <w:sz w:val="28"/>
          <w:szCs w:val="24"/>
        </w:rPr>
      </w:pPr>
      <w:r>
        <w:rPr>
          <w:rFonts w:ascii="Arial" w:hAnsi="Arial" w:cs="Arial"/>
          <w:color w:val="000000"/>
          <w:position w:val="-1"/>
          <w:sz w:val="28"/>
          <w:szCs w:val="24"/>
        </w:rPr>
        <w:t>23</w:t>
      </w:r>
      <w:r w:rsidRPr="00D00ABD">
        <w:rPr>
          <w:rFonts w:ascii="Arial" w:hAnsi="Arial" w:cs="Arial"/>
          <w:color w:val="000000"/>
          <w:position w:val="-1"/>
          <w:sz w:val="28"/>
          <w:szCs w:val="24"/>
        </w:rPr>
        <w:t xml:space="preserve"> </w:t>
      </w:r>
      <w:r w:rsidR="00787613" w:rsidRPr="00D00ABD">
        <w:rPr>
          <w:rFonts w:ascii="Arial" w:hAnsi="Arial" w:cs="Arial"/>
          <w:color w:val="000000"/>
          <w:position w:val="-1"/>
          <w:sz w:val="28"/>
          <w:szCs w:val="24"/>
        </w:rPr>
        <w:t>July 2018</w:t>
      </w:r>
    </w:p>
    <w:p w14:paraId="6C72E6E3" w14:textId="77777777" w:rsidR="00824C10" w:rsidRPr="00D00ABD" w:rsidRDefault="00824C10">
      <w:pPr>
        <w:widowControl w:val="0"/>
        <w:autoSpaceDE w:val="0"/>
        <w:autoSpaceDN w:val="0"/>
        <w:adjustRightInd w:val="0"/>
        <w:spacing w:before="3" w:after="0" w:line="130" w:lineRule="exact"/>
        <w:rPr>
          <w:rFonts w:ascii="Arial" w:hAnsi="Arial" w:cs="Arial"/>
          <w:color w:val="000000"/>
          <w:sz w:val="28"/>
          <w:szCs w:val="24"/>
        </w:rPr>
      </w:pPr>
    </w:p>
    <w:p w14:paraId="6C72E6E4" w14:textId="77777777" w:rsidR="00824C10" w:rsidRPr="00D00ABD" w:rsidRDefault="00824C10">
      <w:pPr>
        <w:widowControl w:val="0"/>
        <w:autoSpaceDE w:val="0"/>
        <w:autoSpaceDN w:val="0"/>
        <w:adjustRightInd w:val="0"/>
        <w:spacing w:after="0" w:line="200" w:lineRule="exact"/>
        <w:rPr>
          <w:rFonts w:ascii="Arial" w:hAnsi="Arial" w:cs="Arial"/>
          <w:color w:val="000000"/>
          <w:sz w:val="28"/>
          <w:szCs w:val="24"/>
        </w:rPr>
      </w:pPr>
    </w:p>
    <w:p w14:paraId="6C72E6E5" w14:textId="77777777" w:rsidR="00824C10" w:rsidRPr="00D00ABD" w:rsidRDefault="00824C10">
      <w:pPr>
        <w:widowControl w:val="0"/>
        <w:autoSpaceDE w:val="0"/>
        <w:autoSpaceDN w:val="0"/>
        <w:adjustRightInd w:val="0"/>
        <w:spacing w:after="0" w:line="200" w:lineRule="exact"/>
        <w:rPr>
          <w:rFonts w:ascii="Arial" w:hAnsi="Arial" w:cs="Arial"/>
          <w:color w:val="000000"/>
          <w:sz w:val="28"/>
          <w:szCs w:val="24"/>
        </w:rPr>
      </w:pPr>
    </w:p>
    <w:p w14:paraId="6C72E6E6" w14:textId="77777777" w:rsidR="00824C10" w:rsidRPr="00D00ABD" w:rsidRDefault="00824C10">
      <w:pPr>
        <w:widowControl w:val="0"/>
        <w:autoSpaceDE w:val="0"/>
        <w:autoSpaceDN w:val="0"/>
        <w:adjustRightInd w:val="0"/>
        <w:spacing w:after="0" w:line="130" w:lineRule="exact"/>
        <w:rPr>
          <w:rFonts w:ascii="Times New Roman" w:hAnsi="Times New Roman"/>
          <w:color w:val="000000"/>
          <w:sz w:val="28"/>
          <w:szCs w:val="24"/>
        </w:rPr>
      </w:pPr>
    </w:p>
    <w:tbl>
      <w:tblPr>
        <w:tblStyle w:val="TableGrid"/>
        <w:tblW w:w="0" w:type="auto"/>
        <w:tblLook w:val="04A0" w:firstRow="1" w:lastRow="0" w:firstColumn="1" w:lastColumn="0" w:noHBand="0" w:noVBand="1"/>
      </w:tblPr>
      <w:tblGrid>
        <w:gridCol w:w="9078"/>
      </w:tblGrid>
      <w:tr w:rsidR="009242CF" w:rsidRPr="00D00ABD" w14:paraId="6C72E6ED" w14:textId="77777777" w:rsidTr="009242CF">
        <w:tc>
          <w:tcPr>
            <w:tcW w:w="10016" w:type="dxa"/>
          </w:tcPr>
          <w:p w14:paraId="6C72E6E7" w14:textId="77777777" w:rsidR="009242CF" w:rsidRPr="00D00ABD" w:rsidRDefault="009242CF">
            <w:pPr>
              <w:widowControl w:val="0"/>
              <w:autoSpaceDE w:val="0"/>
              <w:autoSpaceDN w:val="0"/>
              <w:adjustRightInd w:val="0"/>
              <w:spacing w:after="0" w:line="200" w:lineRule="exact"/>
              <w:rPr>
                <w:rFonts w:ascii="Times New Roman" w:hAnsi="Times New Roman"/>
                <w:color w:val="000000"/>
                <w:sz w:val="28"/>
                <w:szCs w:val="24"/>
              </w:rPr>
            </w:pPr>
          </w:p>
          <w:p w14:paraId="6C72E6E8" w14:textId="77777777" w:rsidR="009242CF" w:rsidRPr="00D00ABD" w:rsidRDefault="009242CF">
            <w:pPr>
              <w:widowControl w:val="0"/>
              <w:autoSpaceDE w:val="0"/>
              <w:autoSpaceDN w:val="0"/>
              <w:adjustRightInd w:val="0"/>
              <w:spacing w:after="0" w:line="200" w:lineRule="exact"/>
              <w:rPr>
                <w:rFonts w:ascii="Times New Roman" w:hAnsi="Times New Roman"/>
                <w:color w:val="000000"/>
                <w:sz w:val="28"/>
                <w:szCs w:val="24"/>
              </w:rPr>
            </w:pPr>
          </w:p>
          <w:p w14:paraId="6C72E6E9" w14:textId="77777777" w:rsidR="009242CF" w:rsidRPr="00D00ABD" w:rsidRDefault="009242CF" w:rsidP="003D6A10">
            <w:pPr>
              <w:widowControl w:val="0"/>
              <w:autoSpaceDE w:val="0"/>
              <w:autoSpaceDN w:val="0"/>
              <w:adjustRightInd w:val="0"/>
              <w:spacing w:before="32" w:after="0" w:line="240" w:lineRule="auto"/>
              <w:ind w:left="101" w:right="157"/>
              <w:jc w:val="both"/>
              <w:rPr>
                <w:rFonts w:ascii="Times New Roman" w:hAnsi="Times New Roman"/>
                <w:color w:val="000000"/>
              </w:rPr>
            </w:pPr>
            <w:r w:rsidRPr="00D00ABD">
              <w:rPr>
                <w:rFonts w:ascii="Times New Roman" w:hAnsi="Times New Roman"/>
                <w:b/>
                <w:bCs/>
                <w:color w:val="000000"/>
                <w:spacing w:val="-1"/>
              </w:rPr>
              <w:t>D</w:t>
            </w:r>
            <w:r w:rsidRPr="00D00ABD">
              <w:rPr>
                <w:rFonts w:ascii="Times New Roman" w:hAnsi="Times New Roman"/>
                <w:b/>
                <w:bCs/>
                <w:color w:val="000000"/>
                <w:spacing w:val="1"/>
              </w:rPr>
              <w:t>i</w:t>
            </w:r>
            <w:r w:rsidRPr="00D00ABD">
              <w:rPr>
                <w:rFonts w:ascii="Times New Roman" w:hAnsi="Times New Roman"/>
                <w:b/>
                <w:bCs/>
                <w:color w:val="000000"/>
              </w:rPr>
              <w:t>s</w:t>
            </w:r>
            <w:r w:rsidRPr="00D00ABD">
              <w:rPr>
                <w:rFonts w:ascii="Times New Roman" w:hAnsi="Times New Roman"/>
                <w:b/>
                <w:bCs/>
                <w:color w:val="000000"/>
                <w:spacing w:val="1"/>
              </w:rPr>
              <w:t>c</w:t>
            </w:r>
            <w:r w:rsidRPr="00D00ABD">
              <w:rPr>
                <w:rFonts w:ascii="Times New Roman" w:hAnsi="Times New Roman"/>
                <w:b/>
                <w:bCs/>
                <w:color w:val="000000"/>
                <w:spacing w:val="-1"/>
              </w:rPr>
              <w:t>l</w:t>
            </w:r>
            <w:r w:rsidRPr="00D00ABD">
              <w:rPr>
                <w:rFonts w:ascii="Times New Roman" w:hAnsi="Times New Roman"/>
                <w:b/>
                <w:bCs/>
                <w:color w:val="000000"/>
              </w:rPr>
              <w:t>a</w:t>
            </w:r>
            <w:r w:rsidRPr="00D00ABD">
              <w:rPr>
                <w:rFonts w:ascii="Times New Roman" w:hAnsi="Times New Roman"/>
                <w:b/>
                <w:bCs/>
                <w:color w:val="000000"/>
                <w:spacing w:val="-1"/>
              </w:rPr>
              <w:t>i</w:t>
            </w:r>
            <w:r w:rsidRPr="00D00ABD">
              <w:rPr>
                <w:rFonts w:ascii="Times New Roman" w:hAnsi="Times New Roman"/>
                <w:b/>
                <w:bCs/>
                <w:color w:val="000000"/>
                <w:spacing w:val="1"/>
              </w:rPr>
              <w:t>m</w:t>
            </w:r>
            <w:r w:rsidRPr="00D00ABD">
              <w:rPr>
                <w:rFonts w:ascii="Times New Roman" w:hAnsi="Times New Roman"/>
                <w:b/>
                <w:bCs/>
                <w:color w:val="000000"/>
              </w:rPr>
              <w:t>er</w:t>
            </w:r>
          </w:p>
          <w:p w14:paraId="6C72E6EA" w14:textId="1E87CD88" w:rsidR="009242CF" w:rsidRPr="00D00ABD" w:rsidRDefault="009242CF" w:rsidP="009242CF">
            <w:pPr>
              <w:widowControl w:val="0"/>
              <w:autoSpaceDE w:val="0"/>
              <w:autoSpaceDN w:val="0"/>
              <w:adjustRightInd w:val="0"/>
              <w:spacing w:before="3" w:after="0" w:line="276" w:lineRule="exact"/>
              <w:ind w:left="101" w:right="121"/>
              <w:jc w:val="both"/>
              <w:rPr>
                <w:rFonts w:ascii="Arial" w:hAnsi="Arial" w:cs="Arial"/>
                <w:color w:val="000000"/>
              </w:rPr>
            </w:pPr>
            <w:r w:rsidRPr="00D00ABD">
              <w:rPr>
                <w:rFonts w:ascii="Arial" w:hAnsi="Arial" w:cs="Arial"/>
                <w:color w:val="000000"/>
              </w:rPr>
              <w:t>This</w:t>
            </w:r>
            <w:r w:rsidRPr="00D00ABD">
              <w:rPr>
                <w:rFonts w:ascii="Arial" w:hAnsi="Arial" w:cs="Arial"/>
                <w:color w:val="000000"/>
                <w:spacing w:val="3"/>
              </w:rPr>
              <w:t xml:space="preserve"> </w:t>
            </w:r>
            <w:r w:rsidRPr="00D00ABD">
              <w:rPr>
                <w:rFonts w:ascii="Arial" w:hAnsi="Arial" w:cs="Arial"/>
                <w:color w:val="000000"/>
                <w:spacing w:val="-1"/>
              </w:rPr>
              <w:t>e</w:t>
            </w:r>
            <w:r w:rsidRPr="00D00ABD">
              <w:rPr>
                <w:rFonts w:ascii="Arial" w:hAnsi="Arial" w:cs="Arial"/>
                <w:color w:val="000000"/>
                <w:spacing w:val="2"/>
              </w:rPr>
              <w:t>x</w:t>
            </w:r>
            <w:r w:rsidRPr="00D00ABD">
              <w:rPr>
                <w:rFonts w:ascii="Arial" w:hAnsi="Arial" w:cs="Arial"/>
                <w:color w:val="000000"/>
              </w:rPr>
              <w:t>plan</w:t>
            </w:r>
            <w:r w:rsidRPr="00D00ABD">
              <w:rPr>
                <w:rFonts w:ascii="Arial" w:hAnsi="Arial" w:cs="Arial"/>
                <w:color w:val="000000"/>
                <w:spacing w:val="-1"/>
              </w:rPr>
              <w:t>a</w:t>
            </w:r>
            <w:r w:rsidRPr="00D00ABD">
              <w:rPr>
                <w:rFonts w:ascii="Arial" w:hAnsi="Arial" w:cs="Arial"/>
                <w:color w:val="000000"/>
              </w:rPr>
              <w:t>to</w:t>
            </w:r>
            <w:r w:rsidRPr="00D00ABD">
              <w:rPr>
                <w:rFonts w:ascii="Arial" w:hAnsi="Arial" w:cs="Arial"/>
                <w:color w:val="000000"/>
                <w:spacing w:val="2"/>
              </w:rPr>
              <w:t>r</w:t>
            </w:r>
            <w:r w:rsidRPr="00D00ABD">
              <w:rPr>
                <w:rFonts w:ascii="Arial" w:hAnsi="Arial" w:cs="Arial"/>
                <w:color w:val="000000"/>
              </w:rPr>
              <w:t>y do</w:t>
            </w:r>
            <w:r w:rsidRPr="00D00ABD">
              <w:rPr>
                <w:rFonts w:ascii="Arial" w:hAnsi="Arial" w:cs="Arial"/>
                <w:color w:val="000000"/>
                <w:spacing w:val="-1"/>
              </w:rPr>
              <w:t>c</w:t>
            </w:r>
            <w:r w:rsidRPr="00D00ABD">
              <w:rPr>
                <w:rFonts w:ascii="Arial" w:hAnsi="Arial" w:cs="Arial"/>
                <w:color w:val="000000"/>
              </w:rPr>
              <w:t>ument</w:t>
            </w:r>
            <w:r w:rsidRPr="00D00ABD">
              <w:rPr>
                <w:rFonts w:ascii="Arial" w:hAnsi="Arial" w:cs="Arial"/>
                <w:color w:val="000000"/>
                <w:spacing w:val="3"/>
              </w:rPr>
              <w:t xml:space="preserve"> </w:t>
            </w:r>
            <w:r w:rsidRPr="00D00ABD">
              <w:rPr>
                <w:rFonts w:ascii="Arial" w:hAnsi="Arial" w:cs="Arial"/>
                <w:color w:val="000000"/>
              </w:rPr>
              <w:t>is</w:t>
            </w:r>
            <w:r w:rsidRPr="00D00ABD">
              <w:rPr>
                <w:rFonts w:ascii="Arial" w:hAnsi="Arial" w:cs="Arial"/>
                <w:color w:val="000000"/>
                <w:spacing w:val="5"/>
              </w:rPr>
              <w:t xml:space="preserve"> </w:t>
            </w:r>
            <w:r w:rsidRPr="00D00ABD">
              <w:rPr>
                <w:rFonts w:ascii="Arial" w:hAnsi="Arial" w:cs="Arial"/>
                <w:color w:val="000000"/>
              </w:rPr>
              <w:t>provid</w:t>
            </w:r>
            <w:r w:rsidRPr="00D00ABD">
              <w:rPr>
                <w:rFonts w:ascii="Arial" w:hAnsi="Arial" w:cs="Arial"/>
                <w:color w:val="000000"/>
                <w:spacing w:val="-1"/>
              </w:rPr>
              <w:t>e</w:t>
            </w:r>
            <w:r w:rsidRPr="00D00ABD">
              <w:rPr>
                <w:rFonts w:ascii="Arial" w:hAnsi="Arial" w:cs="Arial"/>
                <w:color w:val="000000"/>
              </w:rPr>
              <w:t>d</w:t>
            </w:r>
            <w:r w:rsidRPr="00D00ABD">
              <w:rPr>
                <w:rFonts w:ascii="Arial" w:hAnsi="Arial" w:cs="Arial"/>
                <w:color w:val="000000"/>
                <w:spacing w:val="3"/>
              </w:rPr>
              <w:t xml:space="preserve"> </w:t>
            </w:r>
            <w:r w:rsidR="004A7EF0" w:rsidRPr="00D00ABD">
              <w:rPr>
                <w:rFonts w:ascii="Arial" w:hAnsi="Arial" w:cs="Arial"/>
                <w:color w:val="000000"/>
                <w:spacing w:val="3"/>
              </w:rPr>
              <w:t xml:space="preserve">by </w:t>
            </w:r>
            <w:r w:rsidRPr="00D00ABD">
              <w:rPr>
                <w:rFonts w:ascii="Arial" w:hAnsi="Arial" w:cs="Arial"/>
                <w:color w:val="000000"/>
                <w:spacing w:val="2"/>
              </w:rPr>
              <w:t xml:space="preserve">NGET </w:t>
            </w:r>
            <w:r w:rsidRPr="00D00ABD">
              <w:rPr>
                <w:rFonts w:ascii="Arial" w:hAnsi="Arial" w:cs="Arial"/>
                <w:color w:val="000000"/>
              </w:rPr>
              <w:t>for info</w:t>
            </w:r>
            <w:r w:rsidRPr="00D00ABD">
              <w:rPr>
                <w:rFonts w:ascii="Arial" w:hAnsi="Arial" w:cs="Arial"/>
                <w:color w:val="000000"/>
                <w:spacing w:val="-1"/>
              </w:rPr>
              <w:t>r</w:t>
            </w:r>
            <w:r w:rsidRPr="00D00ABD">
              <w:rPr>
                <w:rFonts w:ascii="Arial" w:hAnsi="Arial" w:cs="Arial"/>
                <w:color w:val="000000"/>
              </w:rPr>
              <w:t>mation</w:t>
            </w:r>
            <w:r w:rsidRPr="00D00ABD">
              <w:rPr>
                <w:rFonts w:ascii="Arial" w:hAnsi="Arial" w:cs="Arial"/>
                <w:color w:val="000000"/>
                <w:spacing w:val="-7"/>
              </w:rPr>
              <w:t xml:space="preserve"> </w:t>
            </w:r>
            <w:r w:rsidRPr="00D00ABD">
              <w:rPr>
                <w:rFonts w:ascii="Arial" w:hAnsi="Arial" w:cs="Arial"/>
                <w:color w:val="000000"/>
              </w:rPr>
              <w:t>purp</w:t>
            </w:r>
            <w:r w:rsidRPr="00D00ABD">
              <w:rPr>
                <w:rFonts w:ascii="Arial" w:hAnsi="Arial" w:cs="Arial"/>
                <w:color w:val="000000"/>
                <w:spacing w:val="-1"/>
              </w:rPr>
              <w:t>o</w:t>
            </w:r>
            <w:r w:rsidRPr="00D00ABD">
              <w:rPr>
                <w:rFonts w:ascii="Arial" w:hAnsi="Arial" w:cs="Arial"/>
                <w:color w:val="000000"/>
              </w:rPr>
              <w:t>s</w:t>
            </w:r>
            <w:r w:rsidRPr="00D00ABD">
              <w:rPr>
                <w:rFonts w:ascii="Arial" w:hAnsi="Arial" w:cs="Arial"/>
                <w:color w:val="000000"/>
                <w:spacing w:val="-1"/>
              </w:rPr>
              <w:t>e</w:t>
            </w:r>
            <w:r w:rsidRPr="00D00ABD">
              <w:rPr>
                <w:rFonts w:ascii="Arial" w:hAnsi="Arial" w:cs="Arial"/>
                <w:color w:val="000000"/>
              </w:rPr>
              <w:t>s</w:t>
            </w:r>
            <w:r w:rsidRPr="00D00ABD">
              <w:rPr>
                <w:rFonts w:ascii="Arial" w:hAnsi="Arial" w:cs="Arial"/>
                <w:color w:val="000000"/>
                <w:spacing w:val="-5"/>
              </w:rPr>
              <w:t xml:space="preserve"> </w:t>
            </w:r>
            <w:r w:rsidRPr="00D00ABD">
              <w:rPr>
                <w:rFonts w:ascii="Arial" w:hAnsi="Arial" w:cs="Arial"/>
                <w:color w:val="000000"/>
              </w:rPr>
              <w:t>only</w:t>
            </w:r>
            <w:r w:rsidRPr="00D00ABD">
              <w:rPr>
                <w:rFonts w:ascii="Arial" w:hAnsi="Arial" w:cs="Arial"/>
                <w:color w:val="000000"/>
                <w:spacing w:val="-9"/>
              </w:rPr>
              <w:t xml:space="preserve"> </w:t>
            </w:r>
            <w:r w:rsidRPr="00D00ABD">
              <w:rPr>
                <w:rFonts w:ascii="Arial" w:hAnsi="Arial" w:cs="Arial"/>
                <w:color w:val="000000"/>
                <w:spacing w:val="1"/>
              </w:rPr>
              <w:t>a</w:t>
            </w:r>
            <w:r w:rsidRPr="00D00ABD">
              <w:rPr>
                <w:rFonts w:ascii="Arial" w:hAnsi="Arial" w:cs="Arial"/>
                <w:color w:val="000000"/>
              </w:rPr>
              <w:t>nd</w:t>
            </w:r>
            <w:r w:rsidRPr="00D00ABD">
              <w:rPr>
                <w:rFonts w:ascii="Arial" w:hAnsi="Arial" w:cs="Arial"/>
                <w:color w:val="000000"/>
                <w:spacing w:val="-5"/>
              </w:rPr>
              <w:t xml:space="preserve"> </w:t>
            </w:r>
            <w:r w:rsidRPr="00D00ABD">
              <w:rPr>
                <w:rFonts w:ascii="Arial" w:hAnsi="Arial" w:cs="Arial"/>
                <w:color w:val="000000"/>
                <w:spacing w:val="-1"/>
              </w:rPr>
              <w:t>acc</w:t>
            </w:r>
            <w:r w:rsidRPr="00D00ABD">
              <w:rPr>
                <w:rFonts w:ascii="Arial" w:hAnsi="Arial" w:cs="Arial"/>
                <w:color w:val="000000"/>
              </w:rPr>
              <w:t>om</w:t>
            </w:r>
            <w:r w:rsidRPr="00D00ABD">
              <w:rPr>
                <w:rFonts w:ascii="Arial" w:hAnsi="Arial" w:cs="Arial"/>
                <w:color w:val="000000"/>
                <w:spacing w:val="3"/>
              </w:rPr>
              <w:t>p</w:t>
            </w:r>
            <w:r w:rsidRPr="00D00ABD">
              <w:rPr>
                <w:rFonts w:ascii="Arial" w:hAnsi="Arial" w:cs="Arial"/>
                <w:color w:val="000000"/>
                <w:spacing w:val="-1"/>
              </w:rPr>
              <w:t>a</w:t>
            </w:r>
            <w:r w:rsidRPr="00D00ABD">
              <w:rPr>
                <w:rFonts w:ascii="Arial" w:hAnsi="Arial" w:cs="Arial"/>
                <w:color w:val="000000"/>
                <w:spacing w:val="6"/>
              </w:rPr>
              <w:t>n</w:t>
            </w:r>
            <w:r w:rsidRPr="00D00ABD">
              <w:rPr>
                <w:rFonts w:ascii="Arial" w:hAnsi="Arial" w:cs="Arial"/>
                <w:color w:val="000000"/>
                <w:spacing w:val="-7"/>
              </w:rPr>
              <w:t>y</w:t>
            </w:r>
            <w:r w:rsidRPr="00D00ABD">
              <w:rPr>
                <w:rFonts w:ascii="Arial" w:hAnsi="Arial" w:cs="Arial"/>
                <w:color w:val="000000"/>
              </w:rPr>
              <w:t>i</w:t>
            </w:r>
            <w:r w:rsidRPr="00D00ABD">
              <w:rPr>
                <w:rFonts w:ascii="Arial" w:hAnsi="Arial" w:cs="Arial"/>
                <w:color w:val="000000"/>
                <w:spacing w:val="3"/>
              </w:rPr>
              <w:t>n</w:t>
            </w:r>
            <w:r w:rsidRPr="00D00ABD">
              <w:rPr>
                <w:rFonts w:ascii="Arial" w:hAnsi="Arial" w:cs="Arial"/>
                <w:color w:val="000000"/>
              </w:rPr>
              <w:t>g</w:t>
            </w:r>
            <w:r w:rsidRPr="00D00ABD">
              <w:rPr>
                <w:rFonts w:ascii="Arial" w:hAnsi="Arial" w:cs="Arial"/>
                <w:color w:val="000000"/>
                <w:spacing w:val="-7"/>
              </w:rPr>
              <w:t xml:space="preserve"> </w:t>
            </w:r>
            <w:r w:rsidRPr="00D00ABD">
              <w:rPr>
                <w:rFonts w:ascii="Arial" w:hAnsi="Arial" w:cs="Arial"/>
                <w:color w:val="000000"/>
              </w:rPr>
              <w:t>the</w:t>
            </w:r>
            <w:r w:rsidRPr="00D00ABD">
              <w:rPr>
                <w:rFonts w:ascii="Arial" w:hAnsi="Arial" w:cs="Arial"/>
                <w:color w:val="000000"/>
                <w:spacing w:val="-5"/>
              </w:rPr>
              <w:t xml:space="preserve"> </w:t>
            </w:r>
            <w:r w:rsidRPr="00D00ABD">
              <w:rPr>
                <w:rFonts w:ascii="Arial" w:hAnsi="Arial" w:cs="Arial"/>
                <w:color w:val="000000"/>
              </w:rPr>
              <w:t>dr</w:t>
            </w:r>
            <w:r w:rsidRPr="00D00ABD">
              <w:rPr>
                <w:rFonts w:ascii="Arial" w:hAnsi="Arial" w:cs="Arial"/>
                <w:color w:val="000000"/>
                <w:spacing w:val="-2"/>
              </w:rPr>
              <w:t>a</w:t>
            </w:r>
            <w:r w:rsidRPr="00D00ABD">
              <w:rPr>
                <w:rFonts w:ascii="Arial" w:hAnsi="Arial" w:cs="Arial"/>
                <w:color w:val="000000"/>
              </w:rPr>
              <w:t>ft</w:t>
            </w:r>
            <w:r w:rsidRPr="00D00ABD">
              <w:rPr>
                <w:rFonts w:ascii="Arial" w:hAnsi="Arial" w:cs="Arial"/>
                <w:color w:val="000000"/>
                <w:spacing w:val="-5"/>
              </w:rPr>
              <w:t xml:space="preserve"> </w:t>
            </w:r>
            <w:r w:rsidRPr="00D00ABD">
              <w:rPr>
                <w:rFonts w:ascii="Arial" w:hAnsi="Arial" w:cs="Arial"/>
                <w:color w:val="000000"/>
              </w:rPr>
              <w:t>NGET prop</w:t>
            </w:r>
            <w:r w:rsidRPr="00D00ABD">
              <w:rPr>
                <w:rFonts w:ascii="Arial" w:hAnsi="Arial" w:cs="Arial"/>
                <w:color w:val="000000"/>
                <w:spacing w:val="-1"/>
              </w:rPr>
              <w:t>o</w:t>
            </w:r>
            <w:r w:rsidRPr="00D00ABD">
              <w:rPr>
                <w:rFonts w:ascii="Arial" w:hAnsi="Arial" w:cs="Arial"/>
                <w:color w:val="000000"/>
              </w:rPr>
              <w:t>s</w:t>
            </w:r>
            <w:r w:rsidRPr="00D00ABD">
              <w:rPr>
                <w:rFonts w:ascii="Arial" w:hAnsi="Arial" w:cs="Arial"/>
                <w:color w:val="000000"/>
                <w:spacing w:val="-1"/>
              </w:rPr>
              <w:t>a</w:t>
            </w:r>
            <w:r w:rsidRPr="00D00ABD">
              <w:rPr>
                <w:rFonts w:ascii="Arial" w:hAnsi="Arial" w:cs="Arial"/>
                <w:color w:val="000000"/>
              </w:rPr>
              <w:t>l</w:t>
            </w:r>
            <w:r w:rsidRPr="00D00ABD">
              <w:rPr>
                <w:rFonts w:ascii="Arial" w:hAnsi="Arial" w:cs="Arial"/>
                <w:color w:val="000000"/>
                <w:spacing w:val="5"/>
              </w:rPr>
              <w:t xml:space="preserve"> </w:t>
            </w:r>
            <w:r w:rsidRPr="00D00ABD">
              <w:rPr>
                <w:rFonts w:ascii="Arial" w:hAnsi="Arial" w:cs="Arial"/>
                <w:color w:val="000000"/>
              </w:rPr>
              <w:t>for</w:t>
            </w:r>
            <w:r w:rsidRPr="00D00ABD">
              <w:rPr>
                <w:rFonts w:ascii="Arial" w:hAnsi="Arial" w:cs="Arial"/>
                <w:color w:val="000000"/>
                <w:spacing w:val="3"/>
              </w:rPr>
              <w:t xml:space="preserve"> </w:t>
            </w:r>
            <w:r w:rsidRPr="00D00ABD">
              <w:rPr>
                <w:rFonts w:ascii="Arial" w:hAnsi="Arial" w:cs="Arial"/>
                <w:color w:val="000000"/>
              </w:rPr>
              <w:t>t</w:t>
            </w:r>
            <w:r w:rsidRPr="00D00ABD">
              <w:rPr>
                <w:rFonts w:ascii="Arial" w:hAnsi="Arial" w:cs="Arial"/>
                <w:color w:val="000000"/>
                <w:spacing w:val="3"/>
              </w:rPr>
              <w:t>h</w:t>
            </w:r>
            <w:r w:rsidRPr="00D00ABD">
              <w:rPr>
                <w:rFonts w:ascii="Arial" w:hAnsi="Arial" w:cs="Arial"/>
                <w:color w:val="000000"/>
              </w:rPr>
              <w:t>e</w:t>
            </w:r>
            <w:r w:rsidRPr="00D00ABD">
              <w:rPr>
                <w:rFonts w:ascii="Arial" w:hAnsi="Arial" w:cs="Arial"/>
                <w:color w:val="000000"/>
                <w:spacing w:val="4"/>
              </w:rPr>
              <w:t xml:space="preserve"> </w:t>
            </w:r>
            <w:r w:rsidRPr="00D00ABD">
              <w:rPr>
                <w:rFonts w:ascii="Arial" w:hAnsi="Arial" w:cs="Arial"/>
                <w:color w:val="000000"/>
              </w:rPr>
              <w:t xml:space="preserve">GB </w:t>
            </w:r>
            <w:r w:rsidR="003C7AA0" w:rsidRPr="00D00ABD">
              <w:rPr>
                <w:rFonts w:ascii="Arial" w:hAnsi="Arial" w:cs="Arial"/>
                <w:color w:val="000000"/>
              </w:rPr>
              <w:t>Synchronous Area Operational</w:t>
            </w:r>
            <w:r w:rsidRPr="00D00ABD">
              <w:rPr>
                <w:rFonts w:ascii="Arial" w:hAnsi="Arial" w:cs="Arial"/>
                <w:color w:val="000000"/>
              </w:rPr>
              <w:t xml:space="preserve"> </w:t>
            </w:r>
            <w:r w:rsidR="0051359E" w:rsidRPr="00D00ABD">
              <w:rPr>
                <w:rFonts w:ascii="Arial" w:hAnsi="Arial" w:cs="Arial"/>
                <w:color w:val="000000"/>
              </w:rPr>
              <w:t xml:space="preserve">Methodologies </w:t>
            </w:r>
            <w:r w:rsidRPr="00D00ABD">
              <w:rPr>
                <w:rFonts w:ascii="Arial" w:hAnsi="Arial" w:cs="Arial"/>
                <w:color w:val="000000"/>
              </w:rPr>
              <w:t>document</w:t>
            </w:r>
            <w:r w:rsidRPr="00D00ABD">
              <w:rPr>
                <w:rFonts w:ascii="Arial" w:hAnsi="Arial" w:cs="Arial"/>
                <w:color w:val="000000"/>
                <w:spacing w:val="5"/>
              </w:rPr>
              <w:t xml:space="preserve"> </w:t>
            </w:r>
            <w:r w:rsidRPr="00D00ABD">
              <w:rPr>
                <w:rFonts w:ascii="Arial" w:hAnsi="Arial" w:cs="Arial"/>
                <w:color w:val="000000"/>
              </w:rPr>
              <w:t>in</w:t>
            </w:r>
            <w:r w:rsidRPr="00D00ABD">
              <w:rPr>
                <w:rFonts w:ascii="Arial" w:hAnsi="Arial" w:cs="Arial"/>
                <w:color w:val="000000"/>
                <w:spacing w:val="5"/>
              </w:rPr>
              <w:t xml:space="preserve"> </w:t>
            </w:r>
            <w:r w:rsidRPr="00D00ABD">
              <w:rPr>
                <w:rFonts w:ascii="Arial" w:hAnsi="Arial" w:cs="Arial"/>
                <w:color w:val="000000"/>
                <w:spacing w:val="-1"/>
              </w:rPr>
              <w:t>acc</w:t>
            </w:r>
            <w:r w:rsidRPr="00D00ABD">
              <w:rPr>
                <w:rFonts w:ascii="Arial" w:hAnsi="Arial" w:cs="Arial"/>
                <w:color w:val="000000"/>
              </w:rPr>
              <w:t>or</w:t>
            </w:r>
            <w:r w:rsidRPr="00D00ABD">
              <w:rPr>
                <w:rFonts w:ascii="Arial" w:hAnsi="Arial" w:cs="Arial"/>
                <w:color w:val="000000"/>
                <w:spacing w:val="1"/>
              </w:rPr>
              <w:t>d</w:t>
            </w:r>
            <w:r w:rsidRPr="00D00ABD">
              <w:rPr>
                <w:rFonts w:ascii="Arial" w:hAnsi="Arial" w:cs="Arial"/>
                <w:color w:val="000000"/>
                <w:spacing w:val="-1"/>
              </w:rPr>
              <w:t>a</w:t>
            </w:r>
            <w:r w:rsidRPr="00D00ABD">
              <w:rPr>
                <w:rFonts w:ascii="Arial" w:hAnsi="Arial" w:cs="Arial"/>
                <w:color w:val="000000"/>
              </w:rPr>
              <w:t>n</w:t>
            </w:r>
            <w:r w:rsidRPr="00D00ABD">
              <w:rPr>
                <w:rFonts w:ascii="Arial" w:hAnsi="Arial" w:cs="Arial"/>
                <w:color w:val="000000"/>
                <w:spacing w:val="-1"/>
              </w:rPr>
              <w:t>c</w:t>
            </w:r>
            <w:r w:rsidRPr="00D00ABD">
              <w:rPr>
                <w:rFonts w:ascii="Arial" w:hAnsi="Arial" w:cs="Arial"/>
                <w:color w:val="000000"/>
              </w:rPr>
              <w:t>e</w:t>
            </w:r>
            <w:r w:rsidRPr="00D00ABD">
              <w:rPr>
                <w:rFonts w:ascii="Arial" w:hAnsi="Arial" w:cs="Arial"/>
                <w:color w:val="000000"/>
                <w:spacing w:val="6"/>
              </w:rPr>
              <w:t xml:space="preserve"> </w:t>
            </w:r>
            <w:r w:rsidRPr="00D00ABD">
              <w:rPr>
                <w:rFonts w:ascii="Arial" w:hAnsi="Arial" w:cs="Arial"/>
                <w:color w:val="000000"/>
              </w:rPr>
              <w:t xml:space="preserve">with </w:t>
            </w:r>
            <w:r w:rsidR="000222DE" w:rsidRPr="00D00ABD">
              <w:rPr>
                <w:rFonts w:ascii="Arial" w:hAnsi="Arial" w:cs="Arial"/>
                <w:color w:val="000000"/>
                <w:spacing w:val="-1"/>
              </w:rPr>
              <w:t>Article</w:t>
            </w:r>
            <w:r w:rsidRPr="00D00ABD">
              <w:rPr>
                <w:rFonts w:ascii="Arial" w:hAnsi="Arial" w:cs="Arial"/>
                <w:color w:val="000000"/>
              </w:rPr>
              <w:t xml:space="preserve"> 118 of</w:t>
            </w:r>
            <w:r w:rsidRPr="00D00ABD">
              <w:rPr>
                <w:rFonts w:ascii="Arial" w:hAnsi="Arial" w:cs="Arial"/>
                <w:color w:val="000000"/>
                <w:spacing w:val="-1"/>
              </w:rPr>
              <w:t xml:space="preserve"> </w:t>
            </w:r>
            <w:r w:rsidRPr="00D00ABD">
              <w:rPr>
                <w:rFonts w:ascii="Arial" w:hAnsi="Arial" w:cs="Arial"/>
                <w:color w:val="000000"/>
              </w:rPr>
              <w:t>Com</w:t>
            </w:r>
            <w:r w:rsidRPr="00D00ABD">
              <w:rPr>
                <w:rFonts w:ascii="Arial" w:hAnsi="Arial" w:cs="Arial"/>
                <w:color w:val="000000"/>
                <w:spacing w:val="1"/>
              </w:rPr>
              <w:t>m</w:t>
            </w:r>
            <w:r w:rsidRPr="00D00ABD">
              <w:rPr>
                <w:rFonts w:ascii="Arial" w:hAnsi="Arial" w:cs="Arial"/>
                <w:color w:val="000000"/>
              </w:rPr>
              <w:t>is</w:t>
            </w:r>
            <w:r w:rsidRPr="00D00ABD">
              <w:rPr>
                <w:rFonts w:ascii="Arial" w:hAnsi="Arial" w:cs="Arial"/>
                <w:color w:val="000000"/>
                <w:spacing w:val="1"/>
              </w:rPr>
              <w:t>s</w:t>
            </w:r>
            <w:r w:rsidRPr="00D00ABD">
              <w:rPr>
                <w:rFonts w:ascii="Arial" w:hAnsi="Arial" w:cs="Arial"/>
                <w:color w:val="000000"/>
              </w:rPr>
              <w:t>ion</w:t>
            </w:r>
            <w:r w:rsidRPr="00D00ABD">
              <w:rPr>
                <w:rFonts w:ascii="Arial" w:hAnsi="Arial" w:cs="Arial"/>
                <w:color w:val="000000"/>
                <w:spacing w:val="-2"/>
              </w:rPr>
              <w:t xml:space="preserve"> </w:t>
            </w:r>
            <w:r w:rsidRPr="00D00ABD">
              <w:rPr>
                <w:rFonts w:ascii="Arial" w:hAnsi="Arial" w:cs="Arial"/>
                <w:color w:val="000000"/>
              </w:rPr>
              <w:t>R</w:t>
            </w:r>
            <w:r w:rsidRPr="00D00ABD">
              <w:rPr>
                <w:rFonts w:ascii="Arial" w:hAnsi="Arial" w:cs="Arial"/>
                <w:color w:val="000000"/>
                <w:spacing w:val="-1"/>
              </w:rPr>
              <w:t>e</w:t>
            </w:r>
            <w:r w:rsidRPr="00D00ABD">
              <w:rPr>
                <w:rFonts w:ascii="Arial" w:hAnsi="Arial" w:cs="Arial"/>
                <w:color w:val="000000"/>
                <w:spacing w:val="-2"/>
              </w:rPr>
              <w:t>g</w:t>
            </w:r>
            <w:r w:rsidRPr="00D00ABD">
              <w:rPr>
                <w:rFonts w:ascii="Arial" w:hAnsi="Arial" w:cs="Arial"/>
                <w:color w:val="000000"/>
              </w:rPr>
              <w:t>ulation (E</w:t>
            </w:r>
            <w:r w:rsidRPr="00D00ABD">
              <w:rPr>
                <w:rFonts w:ascii="Arial" w:hAnsi="Arial" w:cs="Arial"/>
                <w:color w:val="000000"/>
                <w:spacing w:val="-1"/>
              </w:rPr>
              <w:t>U</w:t>
            </w:r>
            <w:r w:rsidRPr="00D00ABD">
              <w:rPr>
                <w:rFonts w:ascii="Arial" w:hAnsi="Arial" w:cs="Arial"/>
                <w:color w:val="000000"/>
              </w:rPr>
              <w:t>) 20</w:t>
            </w:r>
            <w:r w:rsidRPr="00D00ABD">
              <w:rPr>
                <w:rFonts w:ascii="Arial" w:hAnsi="Arial" w:cs="Arial"/>
                <w:color w:val="000000"/>
                <w:spacing w:val="-1"/>
              </w:rPr>
              <w:t>1</w:t>
            </w:r>
            <w:r w:rsidRPr="00D00ABD">
              <w:rPr>
                <w:rFonts w:ascii="Arial" w:hAnsi="Arial" w:cs="Arial"/>
                <w:color w:val="000000"/>
              </w:rPr>
              <w:t>7/</w:t>
            </w:r>
            <w:r w:rsidRPr="00D00ABD">
              <w:rPr>
                <w:rFonts w:ascii="Arial" w:hAnsi="Arial" w:cs="Arial"/>
                <w:color w:val="000000"/>
                <w:spacing w:val="3"/>
              </w:rPr>
              <w:t>1</w:t>
            </w:r>
            <w:r w:rsidRPr="00D00ABD">
              <w:rPr>
                <w:rFonts w:ascii="Arial" w:hAnsi="Arial" w:cs="Arial"/>
                <w:color w:val="000000"/>
              </w:rPr>
              <w:t>485 of</w:t>
            </w:r>
            <w:r w:rsidRPr="00D00ABD">
              <w:rPr>
                <w:rFonts w:ascii="Arial" w:hAnsi="Arial" w:cs="Arial"/>
                <w:color w:val="000000"/>
                <w:spacing w:val="-1"/>
              </w:rPr>
              <w:t xml:space="preserve"> </w:t>
            </w:r>
            <w:r w:rsidRPr="00D00ABD">
              <w:rPr>
                <w:rFonts w:ascii="Arial" w:hAnsi="Arial" w:cs="Arial"/>
                <w:color w:val="000000"/>
              </w:rPr>
              <w:t>2 Au</w:t>
            </w:r>
            <w:r w:rsidRPr="00D00ABD">
              <w:rPr>
                <w:rFonts w:ascii="Arial" w:hAnsi="Arial" w:cs="Arial"/>
                <w:color w:val="000000"/>
                <w:spacing w:val="-3"/>
              </w:rPr>
              <w:t>g</w:t>
            </w:r>
            <w:r w:rsidRPr="00D00ABD">
              <w:rPr>
                <w:rFonts w:ascii="Arial" w:hAnsi="Arial" w:cs="Arial"/>
                <w:color w:val="000000"/>
              </w:rPr>
              <w:t xml:space="preserve">ust 2017 </w:t>
            </w:r>
            <w:r w:rsidRPr="00D00ABD">
              <w:rPr>
                <w:rFonts w:ascii="Arial" w:hAnsi="Arial" w:cs="Arial"/>
                <w:color w:val="000000"/>
                <w:spacing w:val="-1"/>
              </w:rPr>
              <w:t>e</w:t>
            </w:r>
            <w:r w:rsidRPr="00D00ABD">
              <w:rPr>
                <w:rFonts w:ascii="Arial" w:hAnsi="Arial" w:cs="Arial"/>
                <w:color w:val="000000"/>
              </w:rPr>
              <w:t>stabli</w:t>
            </w:r>
            <w:r w:rsidRPr="00D00ABD">
              <w:rPr>
                <w:rFonts w:ascii="Arial" w:hAnsi="Arial" w:cs="Arial"/>
                <w:color w:val="000000"/>
                <w:spacing w:val="1"/>
              </w:rPr>
              <w:t>s</w:t>
            </w:r>
            <w:r w:rsidRPr="00D00ABD">
              <w:rPr>
                <w:rFonts w:ascii="Arial" w:hAnsi="Arial" w:cs="Arial"/>
                <w:color w:val="000000"/>
              </w:rPr>
              <w:t>hing</w:t>
            </w:r>
            <w:r w:rsidRPr="00D00ABD">
              <w:rPr>
                <w:rFonts w:ascii="Arial" w:hAnsi="Arial" w:cs="Arial"/>
                <w:color w:val="000000"/>
                <w:spacing w:val="-2"/>
              </w:rPr>
              <w:t xml:space="preserve"> </w:t>
            </w:r>
            <w:r w:rsidRPr="00D00ABD">
              <w:rPr>
                <w:rFonts w:ascii="Arial" w:hAnsi="Arial" w:cs="Arial"/>
                <w:color w:val="000000"/>
              </w:rPr>
              <w:t>a</w:t>
            </w:r>
            <w:r w:rsidRPr="00D00ABD">
              <w:rPr>
                <w:rFonts w:ascii="Arial" w:hAnsi="Arial" w:cs="Arial"/>
                <w:color w:val="000000"/>
                <w:spacing w:val="1"/>
              </w:rPr>
              <w:t xml:space="preserve"> </w:t>
            </w:r>
            <w:r w:rsidRPr="00D00ABD">
              <w:rPr>
                <w:rFonts w:ascii="Arial" w:hAnsi="Arial" w:cs="Arial"/>
                <w:color w:val="000000"/>
                <w:spacing w:val="-2"/>
              </w:rPr>
              <w:t>g</w:t>
            </w:r>
            <w:r w:rsidRPr="00D00ABD">
              <w:rPr>
                <w:rFonts w:ascii="Arial" w:hAnsi="Arial" w:cs="Arial"/>
                <w:color w:val="000000"/>
              </w:rPr>
              <w:t xml:space="preserve">uideline on </w:t>
            </w:r>
            <w:r w:rsidRPr="00D00ABD">
              <w:rPr>
                <w:rFonts w:ascii="Arial" w:hAnsi="Arial" w:cs="Arial"/>
                <w:color w:val="000000"/>
                <w:spacing w:val="-1"/>
              </w:rPr>
              <w:t>e</w:t>
            </w:r>
            <w:r w:rsidRPr="00D00ABD">
              <w:rPr>
                <w:rFonts w:ascii="Arial" w:hAnsi="Arial" w:cs="Arial"/>
                <w:color w:val="000000"/>
              </w:rPr>
              <w:t>le</w:t>
            </w:r>
            <w:r w:rsidRPr="00D00ABD">
              <w:rPr>
                <w:rFonts w:ascii="Arial" w:hAnsi="Arial" w:cs="Arial"/>
                <w:color w:val="000000"/>
                <w:spacing w:val="-1"/>
              </w:rPr>
              <w:t>c</w:t>
            </w:r>
            <w:r w:rsidRPr="00D00ABD">
              <w:rPr>
                <w:rFonts w:ascii="Arial" w:hAnsi="Arial" w:cs="Arial"/>
                <w:color w:val="000000"/>
              </w:rPr>
              <w:t>tri</w:t>
            </w:r>
            <w:r w:rsidRPr="00D00ABD">
              <w:rPr>
                <w:rFonts w:ascii="Arial" w:hAnsi="Arial" w:cs="Arial"/>
                <w:color w:val="000000"/>
                <w:spacing w:val="-1"/>
              </w:rPr>
              <w:t>c</w:t>
            </w:r>
            <w:r w:rsidRPr="00D00ABD">
              <w:rPr>
                <w:rFonts w:ascii="Arial" w:hAnsi="Arial" w:cs="Arial"/>
                <w:color w:val="000000"/>
              </w:rPr>
              <w:t>i</w:t>
            </w:r>
            <w:r w:rsidRPr="00D00ABD">
              <w:rPr>
                <w:rFonts w:ascii="Arial" w:hAnsi="Arial" w:cs="Arial"/>
                <w:color w:val="000000"/>
                <w:spacing w:val="6"/>
              </w:rPr>
              <w:t>t</w:t>
            </w:r>
            <w:r w:rsidRPr="00D00ABD">
              <w:rPr>
                <w:rFonts w:ascii="Arial" w:hAnsi="Arial" w:cs="Arial"/>
                <w:color w:val="000000"/>
              </w:rPr>
              <w:t>y tr</w:t>
            </w:r>
            <w:r w:rsidRPr="00D00ABD">
              <w:rPr>
                <w:rFonts w:ascii="Arial" w:hAnsi="Arial" w:cs="Arial"/>
                <w:color w:val="000000"/>
                <w:spacing w:val="-1"/>
              </w:rPr>
              <w:t>a</w:t>
            </w:r>
            <w:r w:rsidRPr="00D00ABD">
              <w:rPr>
                <w:rFonts w:ascii="Arial" w:hAnsi="Arial" w:cs="Arial"/>
                <w:color w:val="000000"/>
              </w:rPr>
              <w:t>nsm</w:t>
            </w:r>
            <w:r w:rsidRPr="00D00ABD">
              <w:rPr>
                <w:rFonts w:ascii="Arial" w:hAnsi="Arial" w:cs="Arial"/>
                <w:color w:val="000000"/>
                <w:spacing w:val="1"/>
              </w:rPr>
              <w:t>i</w:t>
            </w:r>
            <w:r w:rsidRPr="00D00ABD">
              <w:rPr>
                <w:rFonts w:ascii="Arial" w:hAnsi="Arial" w:cs="Arial"/>
                <w:color w:val="000000"/>
              </w:rPr>
              <w:t>ss</w:t>
            </w:r>
            <w:r w:rsidRPr="00D00ABD">
              <w:rPr>
                <w:rFonts w:ascii="Arial" w:hAnsi="Arial" w:cs="Arial"/>
                <w:color w:val="000000"/>
                <w:spacing w:val="1"/>
              </w:rPr>
              <w:t>i</w:t>
            </w:r>
            <w:r w:rsidRPr="00D00ABD">
              <w:rPr>
                <w:rFonts w:ascii="Arial" w:hAnsi="Arial" w:cs="Arial"/>
                <w:color w:val="000000"/>
              </w:rPr>
              <w:t>on</w:t>
            </w:r>
            <w:r w:rsidRPr="00D00ABD">
              <w:rPr>
                <w:rFonts w:ascii="Arial" w:hAnsi="Arial" w:cs="Arial"/>
                <w:color w:val="000000"/>
                <w:spacing w:val="5"/>
              </w:rPr>
              <w:t xml:space="preserve"> </w:t>
            </w:r>
            <w:r w:rsidRPr="00D00ABD">
              <w:rPr>
                <w:rFonts w:ascii="Arial" w:hAnsi="Arial" w:cs="Arial"/>
                <w:color w:val="000000"/>
              </w:rPr>
              <w:t>s</w:t>
            </w:r>
            <w:r w:rsidRPr="00D00ABD">
              <w:rPr>
                <w:rFonts w:ascii="Arial" w:hAnsi="Arial" w:cs="Arial"/>
                <w:color w:val="000000"/>
                <w:spacing w:val="-5"/>
              </w:rPr>
              <w:t>y</w:t>
            </w:r>
            <w:r w:rsidRPr="00D00ABD">
              <w:rPr>
                <w:rFonts w:ascii="Arial" w:hAnsi="Arial" w:cs="Arial"/>
                <w:color w:val="000000"/>
                <w:spacing w:val="2"/>
              </w:rPr>
              <w:t>s</w:t>
            </w:r>
            <w:r w:rsidRPr="00D00ABD">
              <w:rPr>
                <w:rFonts w:ascii="Arial" w:hAnsi="Arial" w:cs="Arial"/>
                <w:color w:val="000000"/>
              </w:rPr>
              <w:t>tem.</w:t>
            </w:r>
          </w:p>
          <w:p w14:paraId="6C72E6EB" w14:textId="77777777" w:rsidR="009242CF" w:rsidRPr="00D00ABD" w:rsidRDefault="009242CF">
            <w:pPr>
              <w:widowControl w:val="0"/>
              <w:autoSpaceDE w:val="0"/>
              <w:autoSpaceDN w:val="0"/>
              <w:adjustRightInd w:val="0"/>
              <w:spacing w:after="0" w:line="200" w:lineRule="exact"/>
              <w:rPr>
                <w:rFonts w:ascii="Times New Roman" w:hAnsi="Times New Roman"/>
                <w:color w:val="000000"/>
                <w:sz w:val="28"/>
                <w:szCs w:val="24"/>
              </w:rPr>
            </w:pPr>
          </w:p>
          <w:p w14:paraId="6C72E6EC" w14:textId="77777777" w:rsidR="009242CF" w:rsidRPr="00D00ABD" w:rsidRDefault="009242CF">
            <w:pPr>
              <w:widowControl w:val="0"/>
              <w:autoSpaceDE w:val="0"/>
              <w:autoSpaceDN w:val="0"/>
              <w:adjustRightInd w:val="0"/>
              <w:spacing w:after="0" w:line="200" w:lineRule="exact"/>
              <w:rPr>
                <w:rFonts w:ascii="Times New Roman" w:hAnsi="Times New Roman"/>
                <w:color w:val="000000"/>
                <w:sz w:val="28"/>
                <w:szCs w:val="24"/>
              </w:rPr>
            </w:pPr>
          </w:p>
        </w:tc>
      </w:tr>
    </w:tbl>
    <w:p w14:paraId="6C72E6EE" w14:textId="77777777" w:rsidR="00824C10" w:rsidRPr="00D00ABD" w:rsidRDefault="00824C10">
      <w:pPr>
        <w:widowControl w:val="0"/>
        <w:autoSpaceDE w:val="0"/>
        <w:autoSpaceDN w:val="0"/>
        <w:adjustRightInd w:val="0"/>
        <w:spacing w:after="0" w:line="200" w:lineRule="exact"/>
        <w:rPr>
          <w:rFonts w:ascii="Times New Roman" w:hAnsi="Times New Roman"/>
          <w:color w:val="000000"/>
          <w:sz w:val="28"/>
          <w:szCs w:val="24"/>
        </w:rPr>
      </w:pPr>
    </w:p>
    <w:p w14:paraId="6C72E6EF" w14:textId="77777777" w:rsidR="00824C10" w:rsidRPr="00D00ABD"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0" w14:textId="77777777" w:rsidR="00824C10" w:rsidRPr="00D00ABD"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1" w14:textId="77777777" w:rsidR="00824C10" w:rsidRPr="00D00ABD"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2" w14:textId="77777777" w:rsidR="00824C10" w:rsidRPr="00D00ABD"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3" w14:textId="77777777" w:rsidR="00824C10" w:rsidRPr="00D00ABD"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4" w14:textId="77777777" w:rsidR="00824C10" w:rsidRPr="00D00ABD"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5" w14:textId="77777777" w:rsidR="00824C10" w:rsidRPr="00D00ABD"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6" w14:textId="77777777" w:rsidR="00824C10" w:rsidRPr="00D00ABD"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7" w14:textId="77777777" w:rsidR="00824C10" w:rsidRPr="00D00ABD"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8" w14:textId="77777777" w:rsidR="00824C10" w:rsidRPr="00D00ABD"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9" w14:textId="77777777" w:rsidR="00824C10" w:rsidRPr="00D00ABD"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A" w14:textId="77777777" w:rsidR="00824C10" w:rsidRPr="00D00ABD"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B" w14:textId="77777777" w:rsidR="00824C10" w:rsidRPr="00D00ABD" w:rsidRDefault="00824C10">
      <w:pPr>
        <w:widowControl w:val="0"/>
        <w:autoSpaceDE w:val="0"/>
        <w:autoSpaceDN w:val="0"/>
        <w:adjustRightInd w:val="0"/>
        <w:spacing w:after="0" w:line="200" w:lineRule="exact"/>
        <w:rPr>
          <w:rFonts w:ascii="Times New Roman" w:hAnsi="Times New Roman"/>
          <w:color w:val="000000"/>
          <w:sz w:val="28"/>
          <w:szCs w:val="24"/>
        </w:rPr>
      </w:pPr>
    </w:p>
    <w:p w14:paraId="6C72E6FC" w14:textId="77777777" w:rsidR="00824C10" w:rsidRPr="00D00ABD" w:rsidRDefault="00824C10">
      <w:pPr>
        <w:widowControl w:val="0"/>
        <w:autoSpaceDE w:val="0"/>
        <w:autoSpaceDN w:val="0"/>
        <w:adjustRightInd w:val="0"/>
        <w:spacing w:before="41" w:after="0" w:line="240" w:lineRule="auto"/>
        <w:ind w:left="101"/>
        <w:rPr>
          <w:rFonts w:ascii="Arial" w:hAnsi="Arial" w:cs="Arial"/>
          <w:color w:val="000000"/>
          <w:sz w:val="14"/>
          <w:szCs w:val="14"/>
        </w:rPr>
        <w:sectPr w:rsidR="00824C10" w:rsidRPr="00D00ABD" w:rsidSect="003D6A10">
          <w:headerReference w:type="default" r:id="rId11"/>
          <w:headerReference w:type="first" r:id="rId12"/>
          <w:footerReference w:type="first" r:id="rId13"/>
          <w:pgSz w:w="11920" w:h="16840"/>
          <w:pgMar w:top="1560" w:right="1572" w:bottom="280" w:left="1260" w:header="720" w:footer="720" w:gutter="0"/>
          <w:cols w:space="720"/>
          <w:noEndnote/>
        </w:sectPr>
      </w:pPr>
    </w:p>
    <w:p w14:paraId="6C72E6FD" w14:textId="77777777" w:rsidR="00824C10" w:rsidRPr="00D00ABD" w:rsidRDefault="00824C10">
      <w:pPr>
        <w:widowControl w:val="0"/>
        <w:autoSpaceDE w:val="0"/>
        <w:autoSpaceDN w:val="0"/>
        <w:adjustRightInd w:val="0"/>
        <w:spacing w:before="5" w:after="0" w:line="120" w:lineRule="exact"/>
        <w:rPr>
          <w:rFonts w:ascii="Arial" w:hAnsi="Arial" w:cs="Arial"/>
          <w:color w:val="000000"/>
          <w:sz w:val="12"/>
          <w:szCs w:val="12"/>
        </w:rPr>
      </w:pPr>
    </w:p>
    <w:p w14:paraId="6C72E6FE" w14:textId="77777777" w:rsidR="00824C10" w:rsidRPr="00D00ABD" w:rsidRDefault="00824C10">
      <w:pPr>
        <w:widowControl w:val="0"/>
        <w:autoSpaceDE w:val="0"/>
        <w:autoSpaceDN w:val="0"/>
        <w:adjustRightInd w:val="0"/>
        <w:spacing w:after="0" w:line="200" w:lineRule="exact"/>
        <w:rPr>
          <w:rFonts w:ascii="Arial" w:hAnsi="Arial" w:cs="Arial"/>
          <w:color w:val="000000"/>
          <w:sz w:val="20"/>
          <w:szCs w:val="20"/>
        </w:rPr>
      </w:pPr>
    </w:p>
    <w:p w14:paraId="6C72E6FF" w14:textId="77777777" w:rsidR="00824C10" w:rsidRPr="00D00ABD" w:rsidRDefault="00824C10">
      <w:pPr>
        <w:widowControl w:val="0"/>
        <w:autoSpaceDE w:val="0"/>
        <w:autoSpaceDN w:val="0"/>
        <w:adjustRightInd w:val="0"/>
        <w:spacing w:after="0" w:line="200" w:lineRule="exact"/>
        <w:rPr>
          <w:rFonts w:ascii="Arial" w:hAnsi="Arial" w:cs="Arial"/>
          <w:color w:val="000000"/>
          <w:sz w:val="20"/>
          <w:szCs w:val="20"/>
        </w:rPr>
      </w:pPr>
    </w:p>
    <w:sdt>
      <w:sdtPr>
        <w:rPr>
          <w:rFonts w:ascii="Calibri" w:eastAsia="Times New Roman" w:hAnsi="Calibri" w:cs="Times New Roman"/>
          <w:b w:val="0"/>
          <w:bCs w:val="0"/>
          <w:color w:val="auto"/>
          <w:sz w:val="22"/>
          <w:szCs w:val="22"/>
          <w:lang w:val="en-GB" w:eastAsia="en-GB"/>
        </w:rPr>
        <w:id w:val="-1616045737"/>
        <w:docPartObj>
          <w:docPartGallery w:val="Table of Contents"/>
          <w:docPartUnique/>
        </w:docPartObj>
      </w:sdtPr>
      <w:sdtEndPr>
        <w:rPr>
          <w:noProof/>
        </w:rPr>
      </w:sdtEndPr>
      <w:sdtContent>
        <w:p w14:paraId="6C72E700" w14:textId="77777777" w:rsidR="00EE517B" w:rsidRPr="00D00ABD" w:rsidRDefault="00EE517B">
          <w:pPr>
            <w:pStyle w:val="TOCHeading"/>
            <w:rPr>
              <w:rFonts w:ascii="Arial" w:hAnsi="Arial" w:cs="Arial"/>
              <w:lang w:val="en-GB"/>
            </w:rPr>
          </w:pPr>
          <w:r w:rsidRPr="00D00ABD">
            <w:rPr>
              <w:rFonts w:ascii="Arial" w:hAnsi="Arial" w:cs="Arial"/>
              <w:lang w:val="en-GB"/>
            </w:rPr>
            <w:t>Contents</w:t>
          </w:r>
        </w:p>
        <w:p w14:paraId="14E55FD1" w14:textId="5A2F81B0" w:rsidR="00EA3F1F" w:rsidRDefault="00EE517B">
          <w:pPr>
            <w:pStyle w:val="TOC1"/>
            <w:rPr>
              <w:rFonts w:asciiTheme="minorHAnsi" w:eastAsiaTheme="minorEastAsia" w:hAnsiTheme="minorHAnsi" w:cstheme="minorBidi"/>
              <w:noProof/>
            </w:rPr>
          </w:pPr>
          <w:r w:rsidRPr="00946F21">
            <w:rPr>
              <w:rFonts w:ascii="Arial" w:hAnsi="Arial" w:cs="Arial"/>
            </w:rPr>
            <w:fldChar w:fldCharType="begin"/>
          </w:r>
          <w:r w:rsidRPr="00D00ABD">
            <w:rPr>
              <w:rFonts w:ascii="Arial" w:hAnsi="Arial" w:cs="Arial"/>
            </w:rPr>
            <w:instrText xml:space="preserve"> TOC \o "1-3" \h \z \u </w:instrText>
          </w:r>
          <w:r w:rsidRPr="00946F21">
            <w:rPr>
              <w:rFonts w:ascii="Arial" w:hAnsi="Arial" w:cs="Arial"/>
            </w:rPr>
            <w:fldChar w:fldCharType="separate"/>
          </w:r>
          <w:hyperlink w:anchor="_Toc519422400" w:history="1">
            <w:r w:rsidR="00EA3F1F" w:rsidRPr="0042357A">
              <w:rPr>
                <w:rStyle w:val="Hyperlink"/>
                <w:noProof/>
                <w:spacing w:val="1"/>
              </w:rPr>
              <w:t>I</w:t>
            </w:r>
            <w:r w:rsidR="00EA3F1F" w:rsidRPr="0042357A">
              <w:rPr>
                <w:rStyle w:val="Hyperlink"/>
                <w:noProof/>
                <w:spacing w:val="-1"/>
              </w:rPr>
              <w:t>n</w:t>
            </w:r>
            <w:r w:rsidR="00EA3F1F" w:rsidRPr="0042357A">
              <w:rPr>
                <w:rStyle w:val="Hyperlink"/>
                <w:noProof/>
              </w:rPr>
              <w:t>t</w:t>
            </w:r>
            <w:r w:rsidR="00EA3F1F" w:rsidRPr="0042357A">
              <w:rPr>
                <w:rStyle w:val="Hyperlink"/>
                <w:noProof/>
                <w:spacing w:val="1"/>
              </w:rPr>
              <w:t>r</w:t>
            </w:r>
            <w:r w:rsidR="00EA3F1F" w:rsidRPr="0042357A">
              <w:rPr>
                <w:rStyle w:val="Hyperlink"/>
                <w:noProof/>
                <w:spacing w:val="-1"/>
              </w:rPr>
              <w:t>odu</w:t>
            </w:r>
            <w:r w:rsidR="00EA3F1F" w:rsidRPr="0042357A">
              <w:rPr>
                <w:rStyle w:val="Hyperlink"/>
                <w:noProof/>
              </w:rPr>
              <w:t>ct</w:t>
            </w:r>
            <w:r w:rsidR="00EA3F1F" w:rsidRPr="0042357A">
              <w:rPr>
                <w:rStyle w:val="Hyperlink"/>
                <w:noProof/>
                <w:spacing w:val="1"/>
              </w:rPr>
              <w:t>i</w:t>
            </w:r>
            <w:r w:rsidR="00EA3F1F" w:rsidRPr="0042357A">
              <w:rPr>
                <w:rStyle w:val="Hyperlink"/>
                <w:noProof/>
                <w:spacing w:val="-1"/>
              </w:rPr>
              <w:t>o</w:t>
            </w:r>
            <w:r w:rsidR="00EA3F1F" w:rsidRPr="0042357A">
              <w:rPr>
                <w:rStyle w:val="Hyperlink"/>
                <w:noProof/>
              </w:rPr>
              <w:t>n</w:t>
            </w:r>
            <w:r w:rsidR="00EA3F1F">
              <w:rPr>
                <w:noProof/>
                <w:webHidden/>
              </w:rPr>
              <w:tab/>
            </w:r>
            <w:r w:rsidR="00EA3F1F">
              <w:rPr>
                <w:noProof/>
                <w:webHidden/>
              </w:rPr>
              <w:fldChar w:fldCharType="begin"/>
            </w:r>
            <w:r w:rsidR="00EA3F1F">
              <w:rPr>
                <w:noProof/>
                <w:webHidden/>
              </w:rPr>
              <w:instrText xml:space="preserve"> PAGEREF _Toc519422400 \h </w:instrText>
            </w:r>
            <w:r w:rsidR="00EA3F1F">
              <w:rPr>
                <w:noProof/>
                <w:webHidden/>
              </w:rPr>
            </w:r>
            <w:r w:rsidR="00EA3F1F">
              <w:rPr>
                <w:noProof/>
                <w:webHidden/>
              </w:rPr>
              <w:fldChar w:fldCharType="separate"/>
            </w:r>
            <w:r w:rsidR="004D39DA">
              <w:rPr>
                <w:noProof/>
                <w:webHidden/>
              </w:rPr>
              <w:t>5</w:t>
            </w:r>
            <w:r w:rsidR="00EA3F1F">
              <w:rPr>
                <w:noProof/>
                <w:webHidden/>
              </w:rPr>
              <w:fldChar w:fldCharType="end"/>
            </w:r>
          </w:hyperlink>
        </w:p>
        <w:p w14:paraId="3E9985B4" w14:textId="5485A176" w:rsidR="00EA3F1F" w:rsidRDefault="00391B2A">
          <w:pPr>
            <w:pStyle w:val="TOC1"/>
            <w:rPr>
              <w:rFonts w:asciiTheme="minorHAnsi" w:eastAsiaTheme="minorEastAsia" w:hAnsiTheme="minorHAnsi" w:cstheme="minorBidi"/>
              <w:noProof/>
            </w:rPr>
          </w:pPr>
          <w:hyperlink w:anchor="_Toc519422401" w:history="1">
            <w:r w:rsidR="00EA3F1F" w:rsidRPr="0042357A">
              <w:rPr>
                <w:rStyle w:val="Hyperlink"/>
                <w:noProof/>
              </w:rPr>
              <w:t>General information about the Synchronous Area Operational Methodologies and the document for GB</w:t>
            </w:r>
            <w:r w:rsidR="00EA3F1F">
              <w:rPr>
                <w:noProof/>
                <w:webHidden/>
              </w:rPr>
              <w:tab/>
            </w:r>
            <w:r w:rsidR="00EA3F1F">
              <w:rPr>
                <w:noProof/>
                <w:webHidden/>
              </w:rPr>
              <w:fldChar w:fldCharType="begin"/>
            </w:r>
            <w:r w:rsidR="00EA3F1F">
              <w:rPr>
                <w:noProof/>
                <w:webHidden/>
              </w:rPr>
              <w:instrText xml:space="preserve"> PAGEREF _Toc519422401 \h </w:instrText>
            </w:r>
            <w:r w:rsidR="00EA3F1F">
              <w:rPr>
                <w:noProof/>
                <w:webHidden/>
              </w:rPr>
            </w:r>
            <w:r w:rsidR="00EA3F1F">
              <w:rPr>
                <w:noProof/>
                <w:webHidden/>
              </w:rPr>
              <w:fldChar w:fldCharType="separate"/>
            </w:r>
            <w:r w:rsidR="004D39DA">
              <w:rPr>
                <w:noProof/>
                <w:webHidden/>
              </w:rPr>
              <w:t>6</w:t>
            </w:r>
            <w:r w:rsidR="00EA3F1F">
              <w:rPr>
                <w:noProof/>
                <w:webHidden/>
              </w:rPr>
              <w:fldChar w:fldCharType="end"/>
            </w:r>
          </w:hyperlink>
        </w:p>
        <w:p w14:paraId="22AB2DBF" w14:textId="250076D8" w:rsidR="00EA3F1F" w:rsidRDefault="00391B2A">
          <w:pPr>
            <w:pStyle w:val="TOC2"/>
            <w:tabs>
              <w:tab w:val="right" w:leader="dot" w:pos="9240"/>
            </w:tabs>
            <w:rPr>
              <w:rFonts w:asciiTheme="minorHAnsi" w:eastAsiaTheme="minorEastAsia" w:hAnsiTheme="minorHAnsi" w:cstheme="minorBidi"/>
              <w:noProof/>
            </w:rPr>
          </w:pPr>
          <w:hyperlink w:anchor="_Toc519422402" w:history="1">
            <w:r w:rsidR="00EA3F1F" w:rsidRPr="0042357A">
              <w:rPr>
                <w:rStyle w:val="Hyperlink"/>
                <w:noProof/>
              </w:rPr>
              <w:t>Subject matter and scope</w:t>
            </w:r>
            <w:r w:rsidR="00EA3F1F">
              <w:rPr>
                <w:noProof/>
                <w:webHidden/>
              </w:rPr>
              <w:tab/>
            </w:r>
            <w:r w:rsidR="00EA3F1F">
              <w:rPr>
                <w:noProof/>
                <w:webHidden/>
              </w:rPr>
              <w:fldChar w:fldCharType="begin"/>
            </w:r>
            <w:r w:rsidR="00EA3F1F">
              <w:rPr>
                <w:noProof/>
                <w:webHidden/>
              </w:rPr>
              <w:instrText xml:space="preserve"> PAGEREF _Toc519422402 \h </w:instrText>
            </w:r>
            <w:r w:rsidR="00EA3F1F">
              <w:rPr>
                <w:noProof/>
                <w:webHidden/>
              </w:rPr>
            </w:r>
            <w:r w:rsidR="00EA3F1F">
              <w:rPr>
                <w:noProof/>
                <w:webHidden/>
              </w:rPr>
              <w:fldChar w:fldCharType="separate"/>
            </w:r>
            <w:r w:rsidR="004D39DA">
              <w:rPr>
                <w:noProof/>
                <w:webHidden/>
              </w:rPr>
              <w:t>6</w:t>
            </w:r>
            <w:r w:rsidR="00EA3F1F">
              <w:rPr>
                <w:noProof/>
                <w:webHidden/>
              </w:rPr>
              <w:fldChar w:fldCharType="end"/>
            </w:r>
          </w:hyperlink>
        </w:p>
        <w:p w14:paraId="1C06CCAF" w14:textId="1E175478" w:rsidR="00EA3F1F" w:rsidRDefault="00391B2A">
          <w:pPr>
            <w:pStyle w:val="TOC2"/>
            <w:tabs>
              <w:tab w:val="right" w:leader="dot" w:pos="9240"/>
            </w:tabs>
            <w:rPr>
              <w:rFonts w:asciiTheme="minorHAnsi" w:eastAsiaTheme="minorEastAsia" w:hAnsiTheme="minorHAnsi" w:cstheme="minorBidi"/>
              <w:noProof/>
            </w:rPr>
          </w:pPr>
          <w:hyperlink w:anchor="_Toc519422403" w:history="1">
            <w:r w:rsidR="00EA3F1F" w:rsidRPr="0042357A">
              <w:rPr>
                <w:rStyle w:val="Hyperlink"/>
                <w:noProof/>
              </w:rPr>
              <w:t>Governance and implementation within GB</w:t>
            </w:r>
            <w:r w:rsidR="00EA3F1F">
              <w:rPr>
                <w:noProof/>
                <w:webHidden/>
              </w:rPr>
              <w:tab/>
            </w:r>
            <w:r w:rsidR="00EA3F1F">
              <w:rPr>
                <w:noProof/>
                <w:webHidden/>
              </w:rPr>
              <w:fldChar w:fldCharType="begin"/>
            </w:r>
            <w:r w:rsidR="00EA3F1F">
              <w:rPr>
                <w:noProof/>
                <w:webHidden/>
              </w:rPr>
              <w:instrText xml:space="preserve"> PAGEREF _Toc519422403 \h </w:instrText>
            </w:r>
            <w:r w:rsidR="00EA3F1F">
              <w:rPr>
                <w:noProof/>
                <w:webHidden/>
              </w:rPr>
            </w:r>
            <w:r w:rsidR="00EA3F1F">
              <w:rPr>
                <w:noProof/>
                <w:webHidden/>
              </w:rPr>
              <w:fldChar w:fldCharType="separate"/>
            </w:r>
            <w:r w:rsidR="004D39DA">
              <w:rPr>
                <w:noProof/>
                <w:webHidden/>
              </w:rPr>
              <w:t>7</w:t>
            </w:r>
            <w:r w:rsidR="00EA3F1F">
              <w:rPr>
                <w:noProof/>
                <w:webHidden/>
              </w:rPr>
              <w:fldChar w:fldCharType="end"/>
            </w:r>
          </w:hyperlink>
        </w:p>
        <w:p w14:paraId="4BE71650" w14:textId="0C863D0C" w:rsidR="00EA3F1F" w:rsidRDefault="00391B2A">
          <w:pPr>
            <w:pStyle w:val="TOC2"/>
            <w:tabs>
              <w:tab w:val="right" w:leader="dot" w:pos="9240"/>
            </w:tabs>
            <w:rPr>
              <w:rFonts w:asciiTheme="minorHAnsi" w:eastAsiaTheme="minorEastAsia" w:hAnsiTheme="minorHAnsi" w:cstheme="minorBidi"/>
              <w:noProof/>
            </w:rPr>
          </w:pPr>
          <w:hyperlink w:anchor="_Toc519422404" w:history="1">
            <w:r w:rsidR="00EA3F1F" w:rsidRPr="0042357A">
              <w:rPr>
                <w:rStyle w:val="Hyperlink"/>
                <w:noProof/>
              </w:rPr>
              <w:t>Methodologies from Article 118 that are subject to National Regulatory Authority (OFGEM) approval.</w:t>
            </w:r>
            <w:r w:rsidR="00EA3F1F">
              <w:rPr>
                <w:noProof/>
                <w:webHidden/>
              </w:rPr>
              <w:tab/>
            </w:r>
            <w:r w:rsidR="00EA3F1F">
              <w:rPr>
                <w:noProof/>
                <w:webHidden/>
              </w:rPr>
              <w:fldChar w:fldCharType="begin"/>
            </w:r>
            <w:r w:rsidR="00EA3F1F">
              <w:rPr>
                <w:noProof/>
                <w:webHidden/>
              </w:rPr>
              <w:instrText xml:space="preserve"> PAGEREF _Toc519422404 \h </w:instrText>
            </w:r>
            <w:r w:rsidR="00EA3F1F">
              <w:rPr>
                <w:noProof/>
                <w:webHidden/>
              </w:rPr>
            </w:r>
            <w:r w:rsidR="00EA3F1F">
              <w:rPr>
                <w:noProof/>
                <w:webHidden/>
              </w:rPr>
              <w:fldChar w:fldCharType="separate"/>
            </w:r>
            <w:r w:rsidR="004D39DA">
              <w:rPr>
                <w:noProof/>
                <w:webHidden/>
              </w:rPr>
              <w:t>10</w:t>
            </w:r>
            <w:r w:rsidR="00EA3F1F">
              <w:rPr>
                <w:noProof/>
                <w:webHidden/>
              </w:rPr>
              <w:fldChar w:fldCharType="end"/>
            </w:r>
          </w:hyperlink>
        </w:p>
        <w:p w14:paraId="7B4FD280" w14:textId="07A63100" w:rsidR="00EA3F1F" w:rsidRDefault="00391B2A">
          <w:pPr>
            <w:pStyle w:val="TOC2"/>
            <w:tabs>
              <w:tab w:val="right" w:leader="dot" w:pos="9240"/>
            </w:tabs>
            <w:rPr>
              <w:rFonts w:asciiTheme="minorHAnsi" w:eastAsiaTheme="minorEastAsia" w:hAnsiTheme="minorHAnsi" w:cstheme="minorBidi"/>
              <w:noProof/>
            </w:rPr>
          </w:pPr>
          <w:hyperlink w:anchor="_Toc519422405" w:history="1">
            <w:r w:rsidR="00EA3F1F" w:rsidRPr="0042357A">
              <w:rPr>
                <w:rStyle w:val="Hyperlink"/>
                <w:noProof/>
              </w:rPr>
              <w:t>Methodologies from Article 118 that are NOT subject to National Regulatory Authority (OFGEM) approval.</w:t>
            </w:r>
            <w:r w:rsidR="00EA3F1F">
              <w:rPr>
                <w:noProof/>
                <w:webHidden/>
              </w:rPr>
              <w:tab/>
            </w:r>
            <w:r w:rsidR="00EA3F1F">
              <w:rPr>
                <w:noProof/>
                <w:webHidden/>
              </w:rPr>
              <w:fldChar w:fldCharType="begin"/>
            </w:r>
            <w:r w:rsidR="00EA3F1F">
              <w:rPr>
                <w:noProof/>
                <w:webHidden/>
              </w:rPr>
              <w:instrText xml:space="preserve"> PAGEREF _Toc519422405 \h </w:instrText>
            </w:r>
            <w:r w:rsidR="00EA3F1F">
              <w:rPr>
                <w:noProof/>
                <w:webHidden/>
              </w:rPr>
            </w:r>
            <w:r w:rsidR="00EA3F1F">
              <w:rPr>
                <w:noProof/>
                <w:webHidden/>
              </w:rPr>
              <w:fldChar w:fldCharType="separate"/>
            </w:r>
            <w:r w:rsidR="004D39DA">
              <w:rPr>
                <w:noProof/>
                <w:webHidden/>
              </w:rPr>
              <w:t>11</w:t>
            </w:r>
            <w:r w:rsidR="00EA3F1F">
              <w:rPr>
                <w:noProof/>
                <w:webHidden/>
              </w:rPr>
              <w:fldChar w:fldCharType="end"/>
            </w:r>
          </w:hyperlink>
        </w:p>
        <w:p w14:paraId="404B77BB" w14:textId="1254A4D8" w:rsidR="00EA3F1F" w:rsidRDefault="00391B2A">
          <w:pPr>
            <w:pStyle w:val="TOC2"/>
            <w:tabs>
              <w:tab w:val="right" w:leader="dot" w:pos="9240"/>
            </w:tabs>
            <w:rPr>
              <w:rFonts w:asciiTheme="minorHAnsi" w:eastAsiaTheme="minorEastAsia" w:hAnsiTheme="minorHAnsi" w:cstheme="minorBidi"/>
              <w:noProof/>
            </w:rPr>
          </w:pPr>
          <w:hyperlink w:anchor="_Toc519422406" w:history="1">
            <w:r w:rsidR="00EA3F1F" w:rsidRPr="0042357A">
              <w:rPr>
                <w:rStyle w:val="Hyperlink"/>
                <w:noProof/>
              </w:rPr>
              <w:t>Timeline for the initial SAOM development process</w:t>
            </w:r>
            <w:r w:rsidR="00EA3F1F">
              <w:rPr>
                <w:noProof/>
                <w:webHidden/>
              </w:rPr>
              <w:tab/>
            </w:r>
            <w:r w:rsidR="00EA3F1F">
              <w:rPr>
                <w:noProof/>
                <w:webHidden/>
              </w:rPr>
              <w:fldChar w:fldCharType="begin"/>
            </w:r>
            <w:r w:rsidR="00EA3F1F">
              <w:rPr>
                <w:noProof/>
                <w:webHidden/>
              </w:rPr>
              <w:instrText xml:space="preserve"> PAGEREF _Toc519422406 \h </w:instrText>
            </w:r>
            <w:r w:rsidR="00EA3F1F">
              <w:rPr>
                <w:noProof/>
                <w:webHidden/>
              </w:rPr>
            </w:r>
            <w:r w:rsidR="00EA3F1F">
              <w:rPr>
                <w:noProof/>
                <w:webHidden/>
              </w:rPr>
              <w:fldChar w:fldCharType="separate"/>
            </w:r>
            <w:r w:rsidR="004D39DA">
              <w:rPr>
                <w:noProof/>
                <w:webHidden/>
              </w:rPr>
              <w:t>13</w:t>
            </w:r>
            <w:r w:rsidR="00EA3F1F">
              <w:rPr>
                <w:noProof/>
                <w:webHidden/>
              </w:rPr>
              <w:fldChar w:fldCharType="end"/>
            </w:r>
          </w:hyperlink>
        </w:p>
        <w:p w14:paraId="2A3D04E5" w14:textId="6AE4646D" w:rsidR="00EA3F1F" w:rsidRDefault="00391B2A">
          <w:pPr>
            <w:pStyle w:val="TOC2"/>
            <w:tabs>
              <w:tab w:val="right" w:leader="dot" w:pos="9240"/>
            </w:tabs>
            <w:rPr>
              <w:rFonts w:asciiTheme="minorHAnsi" w:eastAsiaTheme="minorEastAsia" w:hAnsiTheme="minorHAnsi" w:cstheme="minorBidi"/>
              <w:noProof/>
            </w:rPr>
          </w:pPr>
          <w:hyperlink w:anchor="_Toc519422407" w:history="1">
            <w:r w:rsidR="00EA3F1F" w:rsidRPr="0042357A">
              <w:rPr>
                <w:rStyle w:val="Hyperlink"/>
                <w:noProof/>
              </w:rPr>
              <w:t>Revisions to the SAOM for GB</w:t>
            </w:r>
            <w:r w:rsidR="00EA3F1F">
              <w:rPr>
                <w:noProof/>
                <w:webHidden/>
              </w:rPr>
              <w:tab/>
            </w:r>
            <w:r w:rsidR="00EA3F1F">
              <w:rPr>
                <w:noProof/>
                <w:webHidden/>
              </w:rPr>
              <w:fldChar w:fldCharType="begin"/>
            </w:r>
            <w:r w:rsidR="00EA3F1F">
              <w:rPr>
                <w:noProof/>
                <w:webHidden/>
              </w:rPr>
              <w:instrText xml:space="preserve"> PAGEREF _Toc519422407 \h </w:instrText>
            </w:r>
            <w:r w:rsidR="00EA3F1F">
              <w:rPr>
                <w:noProof/>
                <w:webHidden/>
              </w:rPr>
            </w:r>
            <w:r w:rsidR="00EA3F1F">
              <w:rPr>
                <w:noProof/>
                <w:webHidden/>
              </w:rPr>
              <w:fldChar w:fldCharType="separate"/>
            </w:r>
            <w:r w:rsidR="004D39DA">
              <w:rPr>
                <w:noProof/>
                <w:webHidden/>
              </w:rPr>
              <w:t>13</w:t>
            </w:r>
            <w:r w:rsidR="00EA3F1F">
              <w:rPr>
                <w:noProof/>
                <w:webHidden/>
              </w:rPr>
              <w:fldChar w:fldCharType="end"/>
            </w:r>
          </w:hyperlink>
        </w:p>
        <w:p w14:paraId="01F1955E" w14:textId="76A92E71" w:rsidR="00EA3F1F" w:rsidRDefault="00391B2A">
          <w:pPr>
            <w:pStyle w:val="TOC1"/>
            <w:rPr>
              <w:rFonts w:asciiTheme="minorHAnsi" w:eastAsiaTheme="minorEastAsia" w:hAnsiTheme="minorHAnsi" w:cstheme="minorBidi"/>
              <w:noProof/>
            </w:rPr>
          </w:pPr>
          <w:hyperlink w:anchor="_Toc519422408" w:history="1">
            <w:r w:rsidR="00EA3F1F" w:rsidRPr="0042357A">
              <w:rPr>
                <w:rStyle w:val="Hyperlink"/>
                <w:noProof/>
              </w:rPr>
              <w:t>TITLE 2 - Explanatory text to accompany each agreement Article in the SAOM document that is subject to NRA approval</w:t>
            </w:r>
            <w:r w:rsidR="00EA3F1F">
              <w:rPr>
                <w:noProof/>
                <w:webHidden/>
              </w:rPr>
              <w:tab/>
            </w:r>
            <w:r w:rsidR="00EA3F1F">
              <w:rPr>
                <w:noProof/>
                <w:webHidden/>
              </w:rPr>
              <w:fldChar w:fldCharType="begin"/>
            </w:r>
            <w:r w:rsidR="00EA3F1F">
              <w:rPr>
                <w:noProof/>
                <w:webHidden/>
              </w:rPr>
              <w:instrText xml:space="preserve"> PAGEREF _Toc519422408 \h </w:instrText>
            </w:r>
            <w:r w:rsidR="00EA3F1F">
              <w:rPr>
                <w:noProof/>
                <w:webHidden/>
              </w:rPr>
            </w:r>
            <w:r w:rsidR="00EA3F1F">
              <w:rPr>
                <w:noProof/>
                <w:webHidden/>
              </w:rPr>
              <w:fldChar w:fldCharType="separate"/>
            </w:r>
            <w:r w:rsidR="004D39DA">
              <w:rPr>
                <w:noProof/>
                <w:webHidden/>
              </w:rPr>
              <w:t>14</w:t>
            </w:r>
            <w:r w:rsidR="00EA3F1F">
              <w:rPr>
                <w:noProof/>
                <w:webHidden/>
              </w:rPr>
              <w:fldChar w:fldCharType="end"/>
            </w:r>
          </w:hyperlink>
        </w:p>
        <w:p w14:paraId="2BFBF843" w14:textId="4780FFB6" w:rsidR="00EA3F1F" w:rsidRDefault="00391B2A">
          <w:pPr>
            <w:pStyle w:val="TOC2"/>
            <w:tabs>
              <w:tab w:val="right" w:leader="dot" w:pos="9240"/>
            </w:tabs>
            <w:rPr>
              <w:rFonts w:asciiTheme="minorHAnsi" w:eastAsiaTheme="minorEastAsia" w:hAnsiTheme="minorHAnsi" w:cstheme="minorBidi"/>
              <w:noProof/>
            </w:rPr>
          </w:pPr>
          <w:hyperlink w:anchor="_Toc519422409" w:history="1">
            <w:r w:rsidR="00EA3F1F" w:rsidRPr="0042357A">
              <w:rPr>
                <w:rStyle w:val="Hyperlink"/>
                <w:noProof/>
              </w:rPr>
              <w:t>SAOM Article 3 - SOGL Article 118(a) - “the dimensioning rules for FCR in accordance with Article 153;”</w:t>
            </w:r>
            <w:r w:rsidR="00EA3F1F">
              <w:rPr>
                <w:noProof/>
                <w:webHidden/>
              </w:rPr>
              <w:tab/>
            </w:r>
            <w:r w:rsidR="00EA3F1F">
              <w:rPr>
                <w:noProof/>
                <w:webHidden/>
              </w:rPr>
              <w:fldChar w:fldCharType="begin"/>
            </w:r>
            <w:r w:rsidR="00EA3F1F">
              <w:rPr>
                <w:noProof/>
                <w:webHidden/>
              </w:rPr>
              <w:instrText xml:space="preserve"> PAGEREF _Toc519422409 \h </w:instrText>
            </w:r>
            <w:r w:rsidR="00EA3F1F">
              <w:rPr>
                <w:noProof/>
                <w:webHidden/>
              </w:rPr>
            </w:r>
            <w:r w:rsidR="00EA3F1F">
              <w:rPr>
                <w:noProof/>
                <w:webHidden/>
              </w:rPr>
              <w:fldChar w:fldCharType="separate"/>
            </w:r>
            <w:r w:rsidR="004D39DA">
              <w:rPr>
                <w:noProof/>
                <w:webHidden/>
              </w:rPr>
              <w:t>14</w:t>
            </w:r>
            <w:r w:rsidR="00EA3F1F">
              <w:rPr>
                <w:noProof/>
                <w:webHidden/>
              </w:rPr>
              <w:fldChar w:fldCharType="end"/>
            </w:r>
          </w:hyperlink>
        </w:p>
        <w:p w14:paraId="7C6FF642" w14:textId="0F711C9A" w:rsidR="00EA3F1F" w:rsidRDefault="00391B2A">
          <w:pPr>
            <w:pStyle w:val="TOC2"/>
            <w:tabs>
              <w:tab w:val="right" w:leader="dot" w:pos="9240"/>
            </w:tabs>
            <w:rPr>
              <w:rFonts w:asciiTheme="minorHAnsi" w:eastAsiaTheme="minorEastAsia" w:hAnsiTheme="minorHAnsi" w:cstheme="minorBidi"/>
              <w:noProof/>
            </w:rPr>
          </w:pPr>
          <w:hyperlink w:anchor="_Toc519422410" w:history="1">
            <w:r w:rsidR="00EA3F1F" w:rsidRPr="0042357A">
              <w:rPr>
                <w:rStyle w:val="Hyperlink"/>
                <w:noProof/>
              </w:rPr>
              <w:t>SAOM Article 4 - SOGL Article 118(b) - “additional properties of FCR in accordance with Article 154(2);”</w:t>
            </w:r>
            <w:r w:rsidR="00EA3F1F">
              <w:rPr>
                <w:noProof/>
                <w:webHidden/>
              </w:rPr>
              <w:tab/>
            </w:r>
            <w:r w:rsidR="00EA3F1F">
              <w:rPr>
                <w:noProof/>
                <w:webHidden/>
              </w:rPr>
              <w:fldChar w:fldCharType="begin"/>
            </w:r>
            <w:r w:rsidR="00EA3F1F">
              <w:rPr>
                <w:noProof/>
                <w:webHidden/>
              </w:rPr>
              <w:instrText xml:space="preserve"> PAGEREF _Toc519422410 \h </w:instrText>
            </w:r>
            <w:r w:rsidR="00EA3F1F">
              <w:rPr>
                <w:noProof/>
                <w:webHidden/>
              </w:rPr>
            </w:r>
            <w:r w:rsidR="00EA3F1F">
              <w:rPr>
                <w:noProof/>
                <w:webHidden/>
              </w:rPr>
              <w:fldChar w:fldCharType="separate"/>
            </w:r>
            <w:r w:rsidR="004D39DA">
              <w:rPr>
                <w:noProof/>
                <w:webHidden/>
              </w:rPr>
              <w:t>15</w:t>
            </w:r>
            <w:r w:rsidR="00EA3F1F">
              <w:rPr>
                <w:noProof/>
                <w:webHidden/>
              </w:rPr>
              <w:fldChar w:fldCharType="end"/>
            </w:r>
          </w:hyperlink>
        </w:p>
        <w:p w14:paraId="6E47439A" w14:textId="4BC82BEA" w:rsidR="00EA3F1F" w:rsidRDefault="00391B2A">
          <w:pPr>
            <w:pStyle w:val="TOC2"/>
            <w:tabs>
              <w:tab w:val="right" w:leader="dot" w:pos="9240"/>
            </w:tabs>
            <w:rPr>
              <w:rFonts w:asciiTheme="minorHAnsi" w:eastAsiaTheme="minorEastAsia" w:hAnsiTheme="minorHAnsi" w:cstheme="minorBidi"/>
              <w:noProof/>
            </w:rPr>
          </w:pPr>
          <w:hyperlink w:anchor="_Toc519422411" w:history="1">
            <w:r w:rsidR="00EA3F1F" w:rsidRPr="0042357A">
              <w:rPr>
                <w:rStyle w:val="Hyperlink"/>
                <w:noProof/>
              </w:rPr>
              <w:t>SAOM Article 5 - SOGL Article 118(c) - “the frequency quality defining parameters and the frequency quality target parameters in accordance with Article 127;”</w:t>
            </w:r>
            <w:r w:rsidR="00EA3F1F">
              <w:rPr>
                <w:noProof/>
                <w:webHidden/>
              </w:rPr>
              <w:tab/>
            </w:r>
            <w:r w:rsidR="00EA3F1F">
              <w:rPr>
                <w:noProof/>
                <w:webHidden/>
              </w:rPr>
              <w:fldChar w:fldCharType="begin"/>
            </w:r>
            <w:r w:rsidR="00EA3F1F">
              <w:rPr>
                <w:noProof/>
                <w:webHidden/>
              </w:rPr>
              <w:instrText xml:space="preserve"> PAGEREF _Toc519422411 \h </w:instrText>
            </w:r>
            <w:r w:rsidR="00EA3F1F">
              <w:rPr>
                <w:noProof/>
                <w:webHidden/>
              </w:rPr>
            </w:r>
            <w:r w:rsidR="00EA3F1F">
              <w:rPr>
                <w:noProof/>
                <w:webHidden/>
              </w:rPr>
              <w:fldChar w:fldCharType="separate"/>
            </w:r>
            <w:r w:rsidR="004D39DA">
              <w:rPr>
                <w:noProof/>
                <w:webHidden/>
              </w:rPr>
              <w:t>16</w:t>
            </w:r>
            <w:r w:rsidR="00EA3F1F">
              <w:rPr>
                <w:noProof/>
                <w:webHidden/>
              </w:rPr>
              <w:fldChar w:fldCharType="end"/>
            </w:r>
          </w:hyperlink>
        </w:p>
        <w:p w14:paraId="3EF94E13" w14:textId="770EB1E2" w:rsidR="00EA3F1F" w:rsidRDefault="00391B2A">
          <w:pPr>
            <w:pStyle w:val="TOC3"/>
            <w:tabs>
              <w:tab w:val="right" w:leader="dot" w:pos="9240"/>
            </w:tabs>
            <w:rPr>
              <w:rFonts w:asciiTheme="minorHAnsi" w:eastAsiaTheme="minorEastAsia" w:hAnsiTheme="minorHAnsi" w:cstheme="minorBidi"/>
              <w:noProof/>
            </w:rPr>
          </w:pPr>
          <w:hyperlink w:anchor="_Toc519422412" w:history="1">
            <w:r w:rsidR="00EA3F1F" w:rsidRPr="0042357A">
              <w:rPr>
                <w:rStyle w:val="Hyperlink"/>
                <w:noProof/>
              </w:rPr>
              <w:t>SOGL - ANNEX III</w:t>
            </w:r>
            <w:r w:rsidR="00EA3F1F">
              <w:rPr>
                <w:noProof/>
                <w:webHidden/>
              </w:rPr>
              <w:tab/>
            </w:r>
            <w:r w:rsidR="00EA3F1F">
              <w:rPr>
                <w:noProof/>
                <w:webHidden/>
              </w:rPr>
              <w:fldChar w:fldCharType="begin"/>
            </w:r>
            <w:r w:rsidR="00EA3F1F">
              <w:rPr>
                <w:noProof/>
                <w:webHidden/>
              </w:rPr>
              <w:instrText xml:space="preserve"> PAGEREF _Toc519422412 \h </w:instrText>
            </w:r>
            <w:r w:rsidR="00EA3F1F">
              <w:rPr>
                <w:noProof/>
                <w:webHidden/>
              </w:rPr>
            </w:r>
            <w:r w:rsidR="00EA3F1F">
              <w:rPr>
                <w:noProof/>
                <w:webHidden/>
              </w:rPr>
              <w:fldChar w:fldCharType="separate"/>
            </w:r>
            <w:r w:rsidR="004D39DA">
              <w:rPr>
                <w:noProof/>
                <w:webHidden/>
              </w:rPr>
              <w:t>17</w:t>
            </w:r>
            <w:r w:rsidR="00EA3F1F">
              <w:rPr>
                <w:noProof/>
                <w:webHidden/>
              </w:rPr>
              <w:fldChar w:fldCharType="end"/>
            </w:r>
          </w:hyperlink>
        </w:p>
        <w:p w14:paraId="7D3514BA" w14:textId="53D5CF3C" w:rsidR="00EA3F1F" w:rsidRDefault="00391B2A">
          <w:pPr>
            <w:pStyle w:val="TOC2"/>
            <w:tabs>
              <w:tab w:val="right" w:leader="dot" w:pos="9240"/>
            </w:tabs>
            <w:rPr>
              <w:rFonts w:asciiTheme="minorHAnsi" w:eastAsiaTheme="minorEastAsia" w:hAnsiTheme="minorHAnsi" w:cstheme="minorBidi"/>
              <w:noProof/>
            </w:rPr>
          </w:pPr>
          <w:hyperlink w:anchor="_Toc519422413" w:history="1">
            <w:r w:rsidR="00EA3F1F" w:rsidRPr="0042357A">
              <w:rPr>
                <w:rStyle w:val="Hyperlink"/>
                <w:noProof/>
              </w:rPr>
              <w:t>SAOM Article 6 - SOGL Article 118(m) - “for the GB synchronous areas, measures to ensure the recovery of energy reservoirs in accordance with to Article 156(6)(b);”</w:t>
            </w:r>
            <w:r w:rsidR="00EA3F1F">
              <w:rPr>
                <w:noProof/>
                <w:webHidden/>
              </w:rPr>
              <w:tab/>
            </w:r>
            <w:r w:rsidR="00EA3F1F">
              <w:rPr>
                <w:noProof/>
                <w:webHidden/>
              </w:rPr>
              <w:fldChar w:fldCharType="begin"/>
            </w:r>
            <w:r w:rsidR="00EA3F1F">
              <w:rPr>
                <w:noProof/>
                <w:webHidden/>
              </w:rPr>
              <w:instrText xml:space="preserve"> PAGEREF _Toc519422413 \h </w:instrText>
            </w:r>
            <w:r w:rsidR="00EA3F1F">
              <w:rPr>
                <w:noProof/>
                <w:webHidden/>
              </w:rPr>
            </w:r>
            <w:r w:rsidR="00EA3F1F">
              <w:rPr>
                <w:noProof/>
                <w:webHidden/>
              </w:rPr>
              <w:fldChar w:fldCharType="separate"/>
            </w:r>
            <w:r w:rsidR="004D39DA">
              <w:rPr>
                <w:noProof/>
                <w:webHidden/>
              </w:rPr>
              <w:t>19</w:t>
            </w:r>
            <w:r w:rsidR="00EA3F1F">
              <w:rPr>
                <w:noProof/>
                <w:webHidden/>
              </w:rPr>
              <w:fldChar w:fldCharType="end"/>
            </w:r>
          </w:hyperlink>
        </w:p>
        <w:p w14:paraId="78691E00" w14:textId="4FADA9FF" w:rsidR="00EA3F1F" w:rsidRDefault="00391B2A">
          <w:pPr>
            <w:pStyle w:val="TOC2"/>
            <w:tabs>
              <w:tab w:val="right" w:leader="dot" w:pos="9240"/>
            </w:tabs>
            <w:rPr>
              <w:rFonts w:asciiTheme="minorHAnsi" w:eastAsiaTheme="minorEastAsia" w:hAnsiTheme="minorHAnsi" w:cstheme="minorBidi"/>
              <w:noProof/>
            </w:rPr>
          </w:pPr>
          <w:hyperlink w:anchor="_Toc519422414" w:history="1">
            <w:r w:rsidR="00EA3F1F" w:rsidRPr="0042357A">
              <w:rPr>
                <w:rStyle w:val="Hyperlink"/>
                <w:noProof/>
              </w:rPr>
              <w:t>SAOM Article 7 – for the CE and Nordic synchronous areas, the minimum activation period to be ensured by FCR providers in accordance with Article 156(10);</w:t>
            </w:r>
            <w:r w:rsidR="00EA3F1F">
              <w:rPr>
                <w:noProof/>
                <w:webHidden/>
              </w:rPr>
              <w:tab/>
            </w:r>
            <w:r w:rsidR="00EA3F1F">
              <w:rPr>
                <w:noProof/>
                <w:webHidden/>
              </w:rPr>
              <w:fldChar w:fldCharType="begin"/>
            </w:r>
            <w:r w:rsidR="00EA3F1F">
              <w:rPr>
                <w:noProof/>
                <w:webHidden/>
              </w:rPr>
              <w:instrText xml:space="preserve"> PAGEREF _Toc519422414 \h </w:instrText>
            </w:r>
            <w:r w:rsidR="00EA3F1F">
              <w:rPr>
                <w:noProof/>
                <w:webHidden/>
              </w:rPr>
            </w:r>
            <w:r w:rsidR="00EA3F1F">
              <w:rPr>
                <w:noProof/>
                <w:webHidden/>
              </w:rPr>
              <w:fldChar w:fldCharType="separate"/>
            </w:r>
            <w:r w:rsidR="004D39DA">
              <w:rPr>
                <w:noProof/>
                <w:webHidden/>
              </w:rPr>
              <w:t>20</w:t>
            </w:r>
            <w:r w:rsidR="00EA3F1F">
              <w:rPr>
                <w:noProof/>
                <w:webHidden/>
              </w:rPr>
              <w:fldChar w:fldCharType="end"/>
            </w:r>
          </w:hyperlink>
        </w:p>
        <w:p w14:paraId="73B0DEB5" w14:textId="6D053CAC" w:rsidR="00EA3F1F" w:rsidRDefault="00391B2A">
          <w:pPr>
            <w:pStyle w:val="TOC2"/>
            <w:tabs>
              <w:tab w:val="right" w:leader="dot" w:pos="9240"/>
            </w:tabs>
            <w:rPr>
              <w:rFonts w:asciiTheme="minorHAnsi" w:eastAsiaTheme="minorEastAsia" w:hAnsiTheme="minorHAnsi" w:cstheme="minorBidi"/>
              <w:noProof/>
            </w:rPr>
          </w:pPr>
          <w:hyperlink w:anchor="_Toc519422415" w:history="1">
            <w:r w:rsidR="00EA3F1F" w:rsidRPr="0042357A">
              <w:rPr>
                <w:rStyle w:val="Hyperlink"/>
                <w:noProof/>
              </w:rPr>
              <w:t>SAOM Article 9 – SOGL Article 118(t) – “if applicable, for synchronous areas other than CE, limits for the exchange of FCR between the TSOs within the same synchronous area in accordance with SOGL Article 163(2);”</w:t>
            </w:r>
            <w:r w:rsidR="00EA3F1F">
              <w:rPr>
                <w:noProof/>
                <w:webHidden/>
              </w:rPr>
              <w:tab/>
            </w:r>
            <w:r w:rsidR="00EA3F1F">
              <w:rPr>
                <w:noProof/>
                <w:webHidden/>
              </w:rPr>
              <w:fldChar w:fldCharType="begin"/>
            </w:r>
            <w:r w:rsidR="00EA3F1F">
              <w:rPr>
                <w:noProof/>
                <w:webHidden/>
              </w:rPr>
              <w:instrText xml:space="preserve"> PAGEREF _Toc519422415 \h </w:instrText>
            </w:r>
            <w:r w:rsidR="00EA3F1F">
              <w:rPr>
                <w:noProof/>
                <w:webHidden/>
              </w:rPr>
            </w:r>
            <w:r w:rsidR="00EA3F1F">
              <w:rPr>
                <w:noProof/>
                <w:webHidden/>
              </w:rPr>
              <w:fldChar w:fldCharType="separate"/>
            </w:r>
            <w:r w:rsidR="004D39DA">
              <w:rPr>
                <w:noProof/>
                <w:webHidden/>
              </w:rPr>
              <w:t>21</w:t>
            </w:r>
            <w:r w:rsidR="00EA3F1F">
              <w:rPr>
                <w:noProof/>
                <w:webHidden/>
              </w:rPr>
              <w:fldChar w:fldCharType="end"/>
            </w:r>
          </w:hyperlink>
        </w:p>
        <w:p w14:paraId="635CB791" w14:textId="707FC458" w:rsidR="00EA3F1F" w:rsidRDefault="00391B2A">
          <w:pPr>
            <w:pStyle w:val="TOC2"/>
            <w:tabs>
              <w:tab w:val="right" w:leader="dot" w:pos="9240"/>
            </w:tabs>
            <w:rPr>
              <w:rFonts w:asciiTheme="minorHAnsi" w:eastAsiaTheme="minorEastAsia" w:hAnsiTheme="minorHAnsi" w:cstheme="minorBidi"/>
              <w:noProof/>
            </w:rPr>
          </w:pPr>
          <w:hyperlink w:anchor="_Toc519422416" w:history="1">
            <w:r w:rsidR="00EA3F1F" w:rsidRPr="0042357A">
              <w:rPr>
                <w:rStyle w:val="Hyperlink"/>
                <w:noProof/>
              </w:rPr>
              <w:t>SAOM Article 10 - SOGL Article 118 (y) for the GB synchronous areas, the methodology to determine the minimum provision of reserve capacity [within the GB synchronous area] on FCR in accordance with SOGL Article 174(2)(b);</w:t>
            </w:r>
            <w:r w:rsidR="00EA3F1F">
              <w:rPr>
                <w:noProof/>
                <w:webHidden/>
              </w:rPr>
              <w:tab/>
            </w:r>
            <w:r w:rsidR="00EA3F1F">
              <w:rPr>
                <w:noProof/>
                <w:webHidden/>
              </w:rPr>
              <w:fldChar w:fldCharType="begin"/>
            </w:r>
            <w:r w:rsidR="00EA3F1F">
              <w:rPr>
                <w:noProof/>
                <w:webHidden/>
              </w:rPr>
              <w:instrText xml:space="preserve"> PAGEREF _Toc519422416 \h </w:instrText>
            </w:r>
            <w:r w:rsidR="00EA3F1F">
              <w:rPr>
                <w:noProof/>
                <w:webHidden/>
              </w:rPr>
            </w:r>
            <w:r w:rsidR="00EA3F1F">
              <w:rPr>
                <w:noProof/>
                <w:webHidden/>
              </w:rPr>
              <w:fldChar w:fldCharType="separate"/>
            </w:r>
            <w:r w:rsidR="004D39DA">
              <w:rPr>
                <w:noProof/>
                <w:webHidden/>
              </w:rPr>
              <w:t>21</w:t>
            </w:r>
            <w:r w:rsidR="00EA3F1F">
              <w:rPr>
                <w:noProof/>
                <w:webHidden/>
              </w:rPr>
              <w:fldChar w:fldCharType="end"/>
            </w:r>
          </w:hyperlink>
        </w:p>
        <w:p w14:paraId="76FB3294" w14:textId="39BEC91D" w:rsidR="00EA3F1F" w:rsidRDefault="00391B2A">
          <w:pPr>
            <w:pStyle w:val="TOC2"/>
            <w:tabs>
              <w:tab w:val="right" w:leader="dot" w:pos="9240"/>
            </w:tabs>
            <w:rPr>
              <w:rFonts w:asciiTheme="minorHAnsi" w:eastAsiaTheme="minorEastAsia" w:hAnsiTheme="minorHAnsi" w:cstheme="minorBidi"/>
              <w:noProof/>
            </w:rPr>
          </w:pPr>
          <w:hyperlink w:anchor="_Toc519422417" w:history="1">
            <w:r w:rsidR="00EA3F1F" w:rsidRPr="0042357A">
              <w:rPr>
                <w:rStyle w:val="Hyperlink"/>
                <w:noProof/>
              </w:rPr>
              <w:t>SAOM Article 11 - SOGL Article 118(z) - “the methodology to determine limits on the amount of exchange of FRR between synchronous areas defined in accordance with Article 176(1) and the methodology to determine limits on the amount of sharing of FRR between synchronous areas defined in accordance with Article 177(1); and”</w:t>
            </w:r>
            <w:r w:rsidR="00EA3F1F">
              <w:rPr>
                <w:noProof/>
                <w:webHidden/>
              </w:rPr>
              <w:tab/>
            </w:r>
            <w:r w:rsidR="00EA3F1F">
              <w:rPr>
                <w:noProof/>
                <w:webHidden/>
              </w:rPr>
              <w:fldChar w:fldCharType="begin"/>
            </w:r>
            <w:r w:rsidR="00EA3F1F">
              <w:rPr>
                <w:noProof/>
                <w:webHidden/>
              </w:rPr>
              <w:instrText xml:space="preserve"> PAGEREF _Toc519422417 \h </w:instrText>
            </w:r>
            <w:r w:rsidR="00EA3F1F">
              <w:rPr>
                <w:noProof/>
                <w:webHidden/>
              </w:rPr>
            </w:r>
            <w:r w:rsidR="00EA3F1F">
              <w:rPr>
                <w:noProof/>
                <w:webHidden/>
              </w:rPr>
              <w:fldChar w:fldCharType="separate"/>
            </w:r>
            <w:r w:rsidR="004D39DA">
              <w:rPr>
                <w:noProof/>
                <w:webHidden/>
              </w:rPr>
              <w:t>22</w:t>
            </w:r>
            <w:r w:rsidR="00EA3F1F">
              <w:rPr>
                <w:noProof/>
                <w:webHidden/>
              </w:rPr>
              <w:fldChar w:fldCharType="end"/>
            </w:r>
          </w:hyperlink>
        </w:p>
        <w:p w14:paraId="1DD0501A" w14:textId="23CF4861" w:rsidR="00EA3F1F" w:rsidRDefault="00391B2A">
          <w:pPr>
            <w:pStyle w:val="TOC2"/>
            <w:tabs>
              <w:tab w:val="right" w:leader="dot" w:pos="9240"/>
            </w:tabs>
            <w:rPr>
              <w:rFonts w:asciiTheme="minorHAnsi" w:eastAsiaTheme="minorEastAsia" w:hAnsiTheme="minorHAnsi" w:cstheme="minorBidi"/>
              <w:noProof/>
            </w:rPr>
          </w:pPr>
          <w:hyperlink w:anchor="_Toc519422418" w:history="1">
            <w:r w:rsidR="00EA3F1F" w:rsidRPr="0042357A">
              <w:rPr>
                <w:rStyle w:val="Hyperlink"/>
                <w:noProof/>
              </w:rPr>
              <w:t>SAOM Article 12 - SOGL Article 118(aa) - “the methodology to determine limits on the amount of exchange of RR between synchronous areas  defined  in  accordance  with  Article  178(1)  and  the methodology to determine limits on the amount of sharing of RR between synchronous areas defined in accordance with Article 179(1).”</w:t>
            </w:r>
            <w:r w:rsidR="00EA3F1F">
              <w:rPr>
                <w:noProof/>
                <w:webHidden/>
              </w:rPr>
              <w:tab/>
            </w:r>
            <w:r w:rsidR="00EA3F1F">
              <w:rPr>
                <w:noProof/>
                <w:webHidden/>
              </w:rPr>
              <w:fldChar w:fldCharType="begin"/>
            </w:r>
            <w:r w:rsidR="00EA3F1F">
              <w:rPr>
                <w:noProof/>
                <w:webHidden/>
              </w:rPr>
              <w:instrText xml:space="preserve"> PAGEREF _Toc519422418 \h </w:instrText>
            </w:r>
            <w:r w:rsidR="00EA3F1F">
              <w:rPr>
                <w:noProof/>
                <w:webHidden/>
              </w:rPr>
            </w:r>
            <w:r w:rsidR="00EA3F1F">
              <w:rPr>
                <w:noProof/>
                <w:webHidden/>
              </w:rPr>
              <w:fldChar w:fldCharType="separate"/>
            </w:r>
            <w:r w:rsidR="004D39DA">
              <w:rPr>
                <w:noProof/>
                <w:webHidden/>
              </w:rPr>
              <w:t>23</w:t>
            </w:r>
            <w:r w:rsidR="00EA3F1F">
              <w:rPr>
                <w:noProof/>
                <w:webHidden/>
              </w:rPr>
              <w:fldChar w:fldCharType="end"/>
            </w:r>
          </w:hyperlink>
        </w:p>
        <w:p w14:paraId="5B9DC47E" w14:textId="6063298B" w:rsidR="00EA3F1F" w:rsidRDefault="00391B2A">
          <w:pPr>
            <w:pStyle w:val="TOC1"/>
            <w:rPr>
              <w:rFonts w:asciiTheme="minorHAnsi" w:eastAsiaTheme="minorEastAsia" w:hAnsiTheme="minorHAnsi" w:cstheme="minorBidi"/>
              <w:noProof/>
            </w:rPr>
          </w:pPr>
          <w:hyperlink w:anchor="_Toc519422419" w:history="1">
            <w:r w:rsidR="00EA3F1F" w:rsidRPr="0042357A">
              <w:rPr>
                <w:rStyle w:val="Hyperlink"/>
                <w:noProof/>
              </w:rPr>
              <w:t>TITLE 3 - Explanatory text to accompany each Article in the SAOM document that is not subject to NRA approval</w:t>
            </w:r>
            <w:r w:rsidR="00EA3F1F">
              <w:rPr>
                <w:noProof/>
                <w:webHidden/>
              </w:rPr>
              <w:tab/>
            </w:r>
            <w:r w:rsidR="00EA3F1F">
              <w:rPr>
                <w:noProof/>
                <w:webHidden/>
              </w:rPr>
              <w:fldChar w:fldCharType="begin"/>
            </w:r>
            <w:r w:rsidR="00EA3F1F">
              <w:rPr>
                <w:noProof/>
                <w:webHidden/>
              </w:rPr>
              <w:instrText xml:space="preserve"> PAGEREF _Toc519422419 \h </w:instrText>
            </w:r>
            <w:r w:rsidR="00EA3F1F">
              <w:rPr>
                <w:noProof/>
                <w:webHidden/>
              </w:rPr>
            </w:r>
            <w:r w:rsidR="00EA3F1F">
              <w:rPr>
                <w:noProof/>
                <w:webHidden/>
              </w:rPr>
              <w:fldChar w:fldCharType="separate"/>
            </w:r>
            <w:r w:rsidR="004D39DA">
              <w:rPr>
                <w:noProof/>
                <w:webHidden/>
              </w:rPr>
              <w:t>23</w:t>
            </w:r>
            <w:r w:rsidR="00EA3F1F">
              <w:rPr>
                <w:noProof/>
                <w:webHidden/>
              </w:rPr>
              <w:fldChar w:fldCharType="end"/>
            </w:r>
          </w:hyperlink>
        </w:p>
        <w:p w14:paraId="4E8807D0" w14:textId="71C58AD7" w:rsidR="00EA3F1F" w:rsidRDefault="00391B2A">
          <w:pPr>
            <w:pStyle w:val="TOC2"/>
            <w:tabs>
              <w:tab w:val="right" w:leader="dot" w:pos="9240"/>
            </w:tabs>
            <w:rPr>
              <w:rFonts w:asciiTheme="minorHAnsi" w:eastAsiaTheme="minorEastAsia" w:hAnsiTheme="minorHAnsi" w:cstheme="minorBidi"/>
              <w:noProof/>
            </w:rPr>
          </w:pPr>
          <w:hyperlink w:anchor="_Toc519422420" w:history="1">
            <w:r w:rsidR="00EA3F1F" w:rsidRPr="0042357A">
              <w:rPr>
                <w:rStyle w:val="Hyperlink"/>
                <w:noProof/>
              </w:rPr>
              <w:t>SAOM Article 13 - SOGL Article 118 (d)   for the Continental Europe (‘CE’) and Nordic synchronous areas, the frequency restoration control error target parameters for each LFC block in accordance with Article 128;</w:t>
            </w:r>
            <w:r w:rsidR="00EA3F1F">
              <w:rPr>
                <w:noProof/>
                <w:webHidden/>
              </w:rPr>
              <w:tab/>
            </w:r>
            <w:r w:rsidR="00EA3F1F">
              <w:rPr>
                <w:noProof/>
                <w:webHidden/>
              </w:rPr>
              <w:fldChar w:fldCharType="begin"/>
            </w:r>
            <w:r w:rsidR="00EA3F1F">
              <w:rPr>
                <w:noProof/>
                <w:webHidden/>
              </w:rPr>
              <w:instrText xml:space="preserve"> PAGEREF _Toc519422420 \h </w:instrText>
            </w:r>
            <w:r w:rsidR="00EA3F1F">
              <w:rPr>
                <w:noProof/>
                <w:webHidden/>
              </w:rPr>
            </w:r>
            <w:r w:rsidR="00EA3F1F">
              <w:rPr>
                <w:noProof/>
                <w:webHidden/>
              </w:rPr>
              <w:fldChar w:fldCharType="separate"/>
            </w:r>
            <w:r w:rsidR="004D39DA">
              <w:rPr>
                <w:noProof/>
                <w:webHidden/>
              </w:rPr>
              <w:t>23</w:t>
            </w:r>
            <w:r w:rsidR="00EA3F1F">
              <w:rPr>
                <w:noProof/>
                <w:webHidden/>
              </w:rPr>
              <w:fldChar w:fldCharType="end"/>
            </w:r>
          </w:hyperlink>
        </w:p>
        <w:p w14:paraId="53A0A1EF" w14:textId="50B7A71F" w:rsidR="00EA3F1F" w:rsidRDefault="00391B2A">
          <w:pPr>
            <w:pStyle w:val="TOC2"/>
            <w:tabs>
              <w:tab w:val="left" w:pos="3858"/>
              <w:tab w:val="right" w:leader="dot" w:pos="9240"/>
            </w:tabs>
            <w:rPr>
              <w:rFonts w:asciiTheme="minorHAnsi" w:eastAsiaTheme="minorEastAsia" w:hAnsiTheme="minorHAnsi" w:cstheme="minorBidi"/>
              <w:noProof/>
            </w:rPr>
          </w:pPr>
          <w:hyperlink w:anchor="_Toc519422421" w:history="1">
            <w:r w:rsidR="00EA3F1F" w:rsidRPr="0042357A">
              <w:rPr>
                <w:rStyle w:val="Hyperlink"/>
                <w:noProof/>
              </w:rPr>
              <w:t>SAOM Article 14 - SOGL Article 118 (e)</w:t>
            </w:r>
            <w:r w:rsidR="00EA3F1F">
              <w:rPr>
                <w:rFonts w:asciiTheme="minorHAnsi" w:eastAsiaTheme="minorEastAsia" w:hAnsiTheme="minorHAnsi" w:cstheme="minorBidi"/>
                <w:noProof/>
              </w:rPr>
              <w:tab/>
            </w:r>
            <w:r w:rsidR="00EA3F1F" w:rsidRPr="0042357A">
              <w:rPr>
                <w:rStyle w:val="Hyperlink"/>
                <w:noProof/>
              </w:rPr>
              <w:t>the methodology to assess the risk and the evolution of the risk of exhaustion of FCR of the synchronous area in accordance with Article 131(2);</w:t>
            </w:r>
            <w:r w:rsidR="00EA3F1F">
              <w:rPr>
                <w:noProof/>
                <w:webHidden/>
              </w:rPr>
              <w:tab/>
            </w:r>
            <w:r w:rsidR="00EA3F1F">
              <w:rPr>
                <w:noProof/>
                <w:webHidden/>
              </w:rPr>
              <w:fldChar w:fldCharType="begin"/>
            </w:r>
            <w:r w:rsidR="00EA3F1F">
              <w:rPr>
                <w:noProof/>
                <w:webHidden/>
              </w:rPr>
              <w:instrText xml:space="preserve"> PAGEREF _Toc519422421 \h </w:instrText>
            </w:r>
            <w:r w:rsidR="00EA3F1F">
              <w:rPr>
                <w:noProof/>
                <w:webHidden/>
              </w:rPr>
            </w:r>
            <w:r w:rsidR="00EA3F1F">
              <w:rPr>
                <w:noProof/>
                <w:webHidden/>
              </w:rPr>
              <w:fldChar w:fldCharType="separate"/>
            </w:r>
            <w:r w:rsidR="004D39DA">
              <w:rPr>
                <w:noProof/>
                <w:webHidden/>
              </w:rPr>
              <w:t>24</w:t>
            </w:r>
            <w:r w:rsidR="00EA3F1F">
              <w:rPr>
                <w:noProof/>
                <w:webHidden/>
              </w:rPr>
              <w:fldChar w:fldCharType="end"/>
            </w:r>
          </w:hyperlink>
        </w:p>
        <w:p w14:paraId="547132D4" w14:textId="17056D2A" w:rsidR="00EA3F1F" w:rsidRDefault="00391B2A">
          <w:pPr>
            <w:pStyle w:val="TOC2"/>
            <w:tabs>
              <w:tab w:val="right" w:leader="dot" w:pos="9240"/>
            </w:tabs>
            <w:rPr>
              <w:rFonts w:asciiTheme="minorHAnsi" w:eastAsiaTheme="minorEastAsia" w:hAnsiTheme="minorHAnsi" w:cstheme="minorBidi"/>
              <w:noProof/>
            </w:rPr>
          </w:pPr>
          <w:hyperlink w:anchor="_Toc519422422" w:history="1">
            <w:r w:rsidR="00EA3F1F" w:rsidRPr="0042357A">
              <w:rPr>
                <w:rStyle w:val="Hyperlink"/>
                <w:noProof/>
              </w:rPr>
              <w:t>SAOM Article 15 - SOGL Article 118 (f)   the synchronous area monitor in accordance with Article 133;</w:t>
            </w:r>
            <w:r w:rsidR="00EA3F1F">
              <w:rPr>
                <w:noProof/>
                <w:webHidden/>
              </w:rPr>
              <w:tab/>
            </w:r>
            <w:r w:rsidR="00EA3F1F">
              <w:rPr>
                <w:noProof/>
                <w:webHidden/>
              </w:rPr>
              <w:fldChar w:fldCharType="begin"/>
            </w:r>
            <w:r w:rsidR="00EA3F1F">
              <w:rPr>
                <w:noProof/>
                <w:webHidden/>
              </w:rPr>
              <w:instrText xml:space="preserve"> PAGEREF _Toc519422422 \h </w:instrText>
            </w:r>
            <w:r w:rsidR="00EA3F1F">
              <w:rPr>
                <w:noProof/>
                <w:webHidden/>
              </w:rPr>
            </w:r>
            <w:r w:rsidR="00EA3F1F">
              <w:rPr>
                <w:noProof/>
                <w:webHidden/>
              </w:rPr>
              <w:fldChar w:fldCharType="separate"/>
            </w:r>
            <w:r w:rsidR="004D39DA">
              <w:rPr>
                <w:noProof/>
                <w:webHidden/>
              </w:rPr>
              <w:t>24</w:t>
            </w:r>
            <w:r w:rsidR="00EA3F1F">
              <w:rPr>
                <w:noProof/>
                <w:webHidden/>
              </w:rPr>
              <w:fldChar w:fldCharType="end"/>
            </w:r>
          </w:hyperlink>
        </w:p>
        <w:p w14:paraId="15B7C32A" w14:textId="2E2ACEAE" w:rsidR="00EA3F1F" w:rsidRDefault="00391B2A">
          <w:pPr>
            <w:pStyle w:val="TOC2"/>
            <w:tabs>
              <w:tab w:val="right" w:leader="dot" w:pos="9240"/>
            </w:tabs>
            <w:rPr>
              <w:rFonts w:asciiTheme="minorHAnsi" w:eastAsiaTheme="minorEastAsia" w:hAnsiTheme="minorHAnsi" w:cstheme="minorBidi"/>
              <w:noProof/>
            </w:rPr>
          </w:pPr>
          <w:hyperlink w:anchor="_Toc519422423" w:history="1">
            <w:r w:rsidR="00EA3F1F" w:rsidRPr="0042357A">
              <w:rPr>
                <w:rStyle w:val="Hyperlink"/>
                <w:noProof/>
              </w:rPr>
              <w:t>SAOM Article 16 - SOGL Article 118 (g)   the calculation of the control program from the netted area AC position with a common ramping period for ACE calculation for a synchronous area with more than one LFC area in accordance with Article 136;</w:t>
            </w:r>
            <w:r w:rsidR="00EA3F1F">
              <w:rPr>
                <w:noProof/>
                <w:webHidden/>
              </w:rPr>
              <w:tab/>
            </w:r>
            <w:r w:rsidR="00EA3F1F">
              <w:rPr>
                <w:noProof/>
                <w:webHidden/>
              </w:rPr>
              <w:fldChar w:fldCharType="begin"/>
            </w:r>
            <w:r w:rsidR="00EA3F1F">
              <w:rPr>
                <w:noProof/>
                <w:webHidden/>
              </w:rPr>
              <w:instrText xml:space="preserve"> PAGEREF _Toc519422423 \h </w:instrText>
            </w:r>
            <w:r w:rsidR="00EA3F1F">
              <w:rPr>
                <w:noProof/>
                <w:webHidden/>
              </w:rPr>
            </w:r>
            <w:r w:rsidR="00EA3F1F">
              <w:rPr>
                <w:noProof/>
                <w:webHidden/>
              </w:rPr>
              <w:fldChar w:fldCharType="separate"/>
            </w:r>
            <w:r w:rsidR="004D39DA">
              <w:rPr>
                <w:noProof/>
                <w:webHidden/>
              </w:rPr>
              <w:t>25</w:t>
            </w:r>
            <w:r w:rsidR="00EA3F1F">
              <w:rPr>
                <w:noProof/>
                <w:webHidden/>
              </w:rPr>
              <w:fldChar w:fldCharType="end"/>
            </w:r>
          </w:hyperlink>
        </w:p>
        <w:p w14:paraId="45C6D50F" w14:textId="4A468494" w:rsidR="00EA3F1F" w:rsidRDefault="00391B2A">
          <w:pPr>
            <w:pStyle w:val="TOC2"/>
            <w:tabs>
              <w:tab w:val="right" w:leader="dot" w:pos="9240"/>
            </w:tabs>
            <w:rPr>
              <w:rFonts w:asciiTheme="minorHAnsi" w:eastAsiaTheme="minorEastAsia" w:hAnsiTheme="minorHAnsi" w:cstheme="minorBidi"/>
              <w:noProof/>
            </w:rPr>
          </w:pPr>
          <w:hyperlink w:anchor="_Toc519422424" w:history="1">
            <w:r w:rsidR="00EA3F1F" w:rsidRPr="0042357A">
              <w:rPr>
                <w:rStyle w:val="Hyperlink"/>
                <w:noProof/>
              </w:rPr>
              <w:t>SAOM Article 17 - SOGL Article 118 (h)   if applicable, restrictions for the active power output of HVDC interconnectors between synchronous areas in accordance with Article 137(1);</w:t>
            </w:r>
            <w:r w:rsidR="00EA3F1F">
              <w:rPr>
                <w:noProof/>
                <w:webHidden/>
              </w:rPr>
              <w:tab/>
            </w:r>
            <w:r w:rsidR="00EA3F1F">
              <w:rPr>
                <w:noProof/>
                <w:webHidden/>
              </w:rPr>
              <w:fldChar w:fldCharType="begin"/>
            </w:r>
            <w:r w:rsidR="00EA3F1F">
              <w:rPr>
                <w:noProof/>
                <w:webHidden/>
              </w:rPr>
              <w:instrText xml:space="preserve"> PAGEREF _Toc519422424 \h </w:instrText>
            </w:r>
            <w:r w:rsidR="00EA3F1F">
              <w:rPr>
                <w:noProof/>
                <w:webHidden/>
              </w:rPr>
            </w:r>
            <w:r w:rsidR="00EA3F1F">
              <w:rPr>
                <w:noProof/>
                <w:webHidden/>
              </w:rPr>
              <w:fldChar w:fldCharType="separate"/>
            </w:r>
            <w:r w:rsidR="004D39DA">
              <w:rPr>
                <w:noProof/>
                <w:webHidden/>
              </w:rPr>
              <w:t>25</w:t>
            </w:r>
            <w:r w:rsidR="00EA3F1F">
              <w:rPr>
                <w:noProof/>
                <w:webHidden/>
              </w:rPr>
              <w:fldChar w:fldCharType="end"/>
            </w:r>
          </w:hyperlink>
        </w:p>
        <w:p w14:paraId="77E88021" w14:textId="0482F476" w:rsidR="00EA3F1F" w:rsidRDefault="00391B2A">
          <w:pPr>
            <w:pStyle w:val="TOC2"/>
            <w:tabs>
              <w:tab w:val="right" w:leader="dot" w:pos="9240"/>
            </w:tabs>
            <w:rPr>
              <w:rFonts w:asciiTheme="minorHAnsi" w:eastAsiaTheme="minorEastAsia" w:hAnsiTheme="minorHAnsi" w:cstheme="minorBidi"/>
              <w:noProof/>
            </w:rPr>
          </w:pPr>
          <w:hyperlink w:anchor="_Toc519422425" w:history="1">
            <w:r w:rsidR="00EA3F1F" w:rsidRPr="0042357A">
              <w:rPr>
                <w:rStyle w:val="Hyperlink"/>
                <w:noProof/>
              </w:rPr>
              <w:t>SAOM Article 18 - SOGL Article 118 (i)   the LFC structure in accordance with Article 139;</w:t>
            </w:r>
            <w:r w:rsidR="00EA3F1F">
              <w:rPr>
                <w:noProof/>
                <w:webHidden/>
              </w:rPr>
              <w:tab/>
            </w:r>
            <w:r w:rsidR="00EA3F1F">
              <w:rPr>
                <w:noProof/>
                <w:webHidden/>
              </w:rPr>
              <w:fldChar w:fldCharType="begin"/>
            </w:r>
            <w:r w:rsidR="00EA3F1F">
              <w:rPr>
                <w:noProof/>
                <w:webHidden/>
              </w:rPr>
              <w:instrText xml:space="preserve"> PAGEREF _Toc519422425 \h </w:instrText>
            </w:r>
            <w:r w:rsidR="00EA3F1F">
              <w:rPr>
                <w:noProof/>
                <w:webHidden/>
              </w:rPr>
            </w:r>
            <w:r w:rsidR="00EA3F1F">
              <w:rPr>
                <w:noProof/>
                <w:webHidden/>
              </w:rPr>
              <w:fldChar w:fldCharType="separate"/>
            </w:r>
            <w:r w:rsidR="004D39DA">
              <w:rPr>
                <w:noProof/>
                <w:webHidden/>
              </w:rPr>
              <w:t>25</w:t>
            </w:r>
            <w:r w:rsidR="00EA3F1F">
              <w:rPr>
                <w:noProof/>
                <w:webHidden/>
              </w:rPr>
              <w:fldChar w:fldCharType="end"/>
            </w:r>
          </w:hyperlink>
        </w:p>
        <w:p w14:paraId="2D887078" w14:textId="3D8285AF" w:rsidR="00EA3F1F" w:rsidRDefault="00391B2A">
          <w:pPr>
            <w:pStyle w:val="TOC2"/>
            <w:tabs>
              <w:tab w:val="right" w:leader="dot" w:pos="9240"/>
            </w:tabs>
            <w:rPr>
              <w:rFonts w:asciiTheme="minorHAnsi" w:eastAsiaTheme="minorEastAsia" w:hAnsiTheme="minorHAnsi" w:cstheme="minorBidi"/>
              <w:noProof/>
            </w:rPr>
          </w:pPr>
          <w:hyperlink w:anchor="_Toc519422426" w:history="1">
            <w:r w:rsidR="00EA3F1F" w:rsidRPr="0042357A">
              <w:rPr>
                <w:rStyle w:val="Hyperlink"/>
                <w:noProof/>
              </w:rPr>
              <w:t>SAOM Article 19 - SOGL Article 118 (j)   if applicable, the methodology to reduce the electrical time deviation in accordance with Article 181;</w:t>
            </w:r>
            <w:r w:rsidR="00EA3F1F">
              <w:rPr>
                <w:noProof/>
                <w:webHidden/>
              </w:rPr>
              <w:tab/>
            </w:r>
            <w:r w:rsidR="00EA3F1F">
              <w:rPr>
                <w:noProof/>
                <w:webHidden/>
              </w:rPr>
              <w:fldChar w:fldCharType="begin"/>
            </w:r>
            <w:r w:rsidR="00EA3F1F">
              <w:rPr>
                <w:noProof/>
                <w:webHidden/>
              </w:rPr>
              <w:instrText xml:space="preserve"> PAGEREF _Toc519422426 \h </w:instrText>
            </w:r>
            <w:r w:rsidR="00EA3F1F">
              <w:rPr>
                <w:noProof/>
                <w:webHidden/>
              </w:rPr>
            </w:r>
            <w:r w:rsidR="00EA3F1F">
              <w:rPr>
                <w:noProof/>
                <w:webHidden/>
              </w:rPr>
              <w:fldChar w:fldCharType="separate"/>
            </w:r>
            <w:r w:rsidR="004D39DA">
              <w:rPr>
                <w:noProof/>
                <w:webHidden/>
              </w:rPr>
              <w:t>27</w:t>
            </w:r>
            <w:r w:rsidR="00EA3F1F">
              <w:rPr>
                <w:noProof/>
                <w:webHidden/>
              </w:rPr>
              <w:fldChar w:fldCharType="end"/>
            </w:r>
          </w:hyperlink>
        </w:p>
        <w:p w14:paraId="664F7672" w14:textId="262B3AEF" w:rsidR="00EA3F1F" w:rsidRDefault="00391B2A">
          <w:pPr>
            <w:pStyle w:val="TOC2"/>
            <w:tabs>
              <w:tab w:val="right" w:leader="dot" w:pos="9240"/>
            </w:tabs>
            <w:rPr>
              <w:rFonts w:asciiTheme="minorHAnsi" w:eastAsiaTheme="minorEastAsia" w:hAnsiTheme="minorHAnsi" w:cstheme="minorBidi"/>
              <w:noProof/>
            </w:rPr>
          </w:pPr>
          <w:hyperlink w:anchor="_Toc519422427" w:history="1">
            <w:r w:rsidR="00EA3F1F" w:rsidRPr="0042357A">
              <w:rPr>
                <w:rStyle w:val="Hyperlink"/>
                <w:noProof/>
              </w:rPr>
              <w:t>SAOM Article 20 - SOGL Article 118 (k)   whenever the synchronous area is operated by more than one TSO, the specific allocation of responsibilities between TSOs in accordance with Article 141;</w:t>
            </w:r>
            <w:r w:rsidR="00EA3F1F">
              <w:rPr>
                <w:noProof/>
                <w:webHidden/>
              </w:rPr>
              <w:tab/>
            </w:r>
            <w:r w:rsidR="00EA3F1F">
              <w:rPr>
                <w:noProof/>
                <w:webHidden/>
              </w:rPr>
              <w:fldChar w:fldCharType="begin"/>
            </w:r>
            <w:r w:rsidR="00EA3F1F">
              <w:rPr>
                <w:noProof/>
                <w:webHidden/>
              </w:rPr>
              <w:instrText xml:space="preserve"> PAGEREF _Toc519422427 \h </w:instrText>
            </w:r>
            <w:r w:rsidR="00EA3F1F">
              <w:rPr>
                <w:noProof/>
                <w:webHidden/>
              </w:rPr>
            </w:r>
            <w:r w:rsidR="00EA3F1F">
              <w:rPr>
                <w:noProof/>
                <w:webHidden/>
              </w:rPr>
              <w:fldChar w:fldCharType="separate"/>
            </w:r>
            <w:r w:rsidR="004D39DA">
              <w:rPr>
                <w:noProof/>
                <w:webHidden/>
              </w:rPr>
              <w:t>27</w:t>
            </w:r>
            <w:r w:rsidR="00EA3F1F">
              <w:rPr>
                <w:noProof/>
                <w:webHidden/>
              </w:rPr>
              <w:fldChar w:fldCharType="end"/>
            </w:r>
          </w:hyperlink>
        </w:p>
        <w:p w14:paraId="117FDEDD" w14:textId="5A519445" w:rsidR="00EA3F1F" w:rsidRDefault="00391B2A">
          <w:pPr>
            <w:pStyle w:val="TOC2"/>
            <w:tabs>
              <w:tab w:val="right" w:leader="dot" w:pos="9240"/>
            </w:tabs>
            <w:rPr>
              <w:rFonts w:asciiTheme="minorHAnsi" w:eastAsiaTheme="minorEastAsia" w:hAnsiTheme="minorHAnsi" w:cstheme="minorBidi"/>
              <w:noProof/>
            </w:rPr>
          </w:pPr>
          <w:hyperlink w:anchor="_Toc519422428" w:history="1">
            <w:r w:rsidR="00EA3F1F" w:rsidRPr="0042357A">
              <w:rPr>
                <w:rStyle w:val="Hyperlink"/>
                <w:noProof/>
              </w:rPr>
              <w:t>SAOM Article 21 - SOGL Article 118 (l)   operational procedures in case of exhausted FCR in accordance with Article 152(7)</w:t>
            </w:r>
            <w:r w:rsidR="00EA3F1F">
              <w:rPr>
                <w:noProof/>
                <w:webHidden/>
              </w:rPr>
              <w:tab/>
            </w:r>
            <w:r w:rsidR="00EA3F1F">
              <w:rPr>
                <w:noProof/>
                <w:webHidden/>
              </w:rPr>
              <w:fldChar w:fldCharType="begin"/>
            </w:r>
            <w:r w:rsidR="00EA3F1F">
              <w:rPr>
                <w:noProof/>
                <w:webHidden/>
              </w:rPr>
              <w:instrText xml:space="preserve"> PAGEREF _Toc519422428 \h </w:instrText>
            </w:r>
            <w:r w:rsidR="00EA3F1F">
              <w:rPr>
                <w:noProof/>
                <w:webHidden/>
              </w:rPr>
            </w:r>
            <w:r w:rsidR="00EA3F1F">
              <w:rPr>
                <w:noProof/>
                <w:webHidden/>
              </w:rPr>
              <w:fldChar w:fldCharType="separate"/>
            </w:r>
            <w:r w:rsidR="004D39DA">
              <w:rPr>
                <w:noProof/>
                <w:webHidden/>
              </w:rPr>
              <w:t>27</w:t>
            </w:r>
            <w:r w:rsidR="00EA3F1F">
              <w:rPr>
                <w:noProof/>
                <w:webHidden/>
              </w:rPr>
              <w:fldChar w:fldCharType="end"/>
            </w:r>
          </w:hyperlink>
        </w:p>
        <w:p w14:paraId="719589E4" w14:textId="73B9DDB3" w:rsidR="00EA3F1F" w:rsidRDefault="00391B2A">
          <w:pPr>
            <w:pStyle w:val="TOC2"/>
            <w:tabs>
              <w:tab w:val="right" w:leader="dot" w:pos="9240"/>
            </w:tabs>
            <w:rPr>
              <w:rFonts w:asciiTheme="minorHAnsi" w:eastAsiaTheme="minorEastAsia" w:hAnsiTheme="minorHAnsi" w:cstheme="minorBidi"/>
              <w:noProof/>
            </w:rPr>
          </w:pPr>
          <w:hyperlink w:anchor="_Toc519422429" w:history="1">
            <w:r w:rsidR="00EA3F1F" w:rsidRPr="0042357A">
              <w:rPr>
                <w:rStyle w:val="Hyperlink"/>
                <w:noProof/>
              </w:rPr>
              <w:t>SAOM Article 22 - SOGL Article 118 (n)   operational procedures to reduce the system frequency deviation to restore the system state to normal state and to limit the risk of entering into the emergency state in accordance with Article 152(10);</w:t>
            </w:r>
            <w:r w:rsidR="00EA3F1F">
              <w:rPr>
                <w:noProof/>
                <w:webHidden/>
              </w:rPr>
              <w:tab/>
            </w:r>
            <w:r w:rsidR="00EA3F1F">
              <w:rPr>
                <w:noProof/>
                <w:webHidden/>
              </w:rPr>
              <w:fldChar w:fldCharType="begin"/>
            </w:r>
            <w:r w:rsidR="00EA3F1F">
              <w:rPr>
                <w:noProof/>
                <w:webHidden/>
              </w:rPr>
              <w:instrText xml:space="preserve"> PAGEREF _Toc519422429 \h </w:instrText>
            </w:r>
            <w:r w:rsidR="00EA3F1F">
              <w:rPr>
                <w:noProof/>
                <w:webHidden/>
              </w:rPr>
            </w:r>
            <w:r w:rsidR="00EA3F1F">
              <w:rPr>
                <w:noProof/>
                <w:webHidden/>
              </w:rPr>
              <w:fldChar w:fldCharType="separate"/>
            </w:r>
            <w:r w:rsidR="004D39DA">
              <w:rPr>
                <w:noProof/>
                <w:webHidden/>
              </w:rPr>
              <w:t>29</w:t>
            </w:r>
            <w:r w:rsidR="00EA3F1F">
              <w:rPr>
                <w:noProof/>
                <w:webHidden/>
              </w:rPr>
              <w:fldChar w:fldCharType="end"/>
            </w:r>
          </w:hyperlink>
        </w:p>
        <w:p w14:paraId="10D7E638" w14:textId="5A8F2E40" w:rsidR="00EA3F1F" w:rsidRDefault="00391B2A">
          <w:pPr>
            <w:pStyle w:val="TOC2"/>
            <w:tabs>
              <w:tab w:val="right" w:leader="dot" w:pos="9240"/>
            </w:tabs>
            <w:rPr>
              <w:rFonts w:asciiTheme="minorHAnsi" w:eastAsiaTheme="minorEastAsia" w:hAnsiTheme="minorHAnsi" w:cstheme="minorBidi"/>
              <w:noProof/>
            </w:rPr>
          </w:pPr>
          <w:hyperlink w:anchor="_Toc519422430" w:history="1">
            <w:r w:rsidR="00EA3F1F" w:rsidRPr="0042357A">
              <w:rPr>
                <w:rStyle w:val="Hyperlink"/>
                <w:noProof/>
              </w:rPr>
              <w:t>SAOM Article 23 - SOGL Article 118 (o)   the roles and responsibilities of the TSOs implementing an imbalance netting process, a cross-border FRR activation process or a cross-border RR activation process in accordance with Article 149(2)</w:t>
            </w:r>
            <w:r w:rsidR="00EA3F1F">
              <w:rPr>
                <w:noProof/>
                <w:webHidden/>
              </w:rPr>
              <w:tab/>
            </w:r>
            <w:r w:rsidR="00EA3F1F">
              <w:rPr>
                <w:noProof/>
                <w:webHidden/>
              </w:rPr>
              <w:fldChar w:fldCharType="begin"/>
            </w:r>
            <w:r w:rsidR="00EA3F1F">
              <w:rPr>
                <w:noProof/>
                <w:webHidden/>
              </w:rPr>
              <w:instrText xml:space="preserve"> PAGEREF _Toc519422430 \h </w:instrText>
            </w:r>
            <w:r w:rsidR="00EA3F1F">
              <w:rPr>
                <w:noProof/>
                <w:webHidden/>
              </w:rPr>
            </w:r>
            <w:r w:rsidR="00EA3F1F">
              <w:rPr>
                <w:noProof/>
                <w:webHidden/>
              </w:rPr>
              <w:fldChar w:fldCharType="separate"/>
            </w:r>
            <w:r w:rsidR="004D39DA">
              <w:rPr>
                <w:noProof/>
                <w:webHidden/>
              </w:rPr>
              <w:t>30</w:t>
            </w:r>
            <w:r w:rsidR="00EA3F1F">
              <w:rPr>
                <w:noProof/>
                <w:webHidden/>
              </w:rPr>
              <w:fldChar w:fldCharType="end"/>
            </w:r>
          </w:hyperlink>
        </w:p>
        <w:p w14:paraId="45A7A585" w14:textId="6A107B7F" w:rsidR="00EA3F1F" w:rsidRDefault="00391B2A">
          <w:pPr>
            <w:pStyle w:val="TOC2"/>
            <w:tabs>
              <w:tab w:val="right" w:leader="dot" w:pos="9240"/>
            </w:tabs>
            <w:rPr>
              <w:rFonts w:asciiTheme="minorHAnsi" w:eastAsiaTheme="minorEastAsia" w:hAnsiTheme="minorHAnsi" w:cstheme="minorBidi"/>
              <w:noProof/>
            </w:rPr>
          </w:pPr>
          <w:hyperlink w:anchor="_Toc519422431" w:history="1">
            <w:r w:rsidR="00EA3F1F" w:rsidRPr="0042357A">
              <w:rPr>
                <w:rStyle w:val="Hyperlink"/>
                <w:noProof/>
              </w:rPr>
              <w:t>SAOM Article 24 - SOGL Article 118 (p)   requirements concerning the availability, reliability and redundancy of the technical infrastructure in accordance with Article 151(2);</w:t>
            </w:r>
            <w:r w:rsidR="00EA3F1F">
              <w:rPr>
                <w:noProof/>
                <w:webHidden/>
              </w:rPr>
              <w:tab/>
            </w:r>
            <w:r w:rsidR="00EA3F1F">
              <w:rPr>
                <w:noProof/>
                <w:webHidden/>
              </w:rPr>
              <w:fldChar w:fldCharType="begin"/>
            </w:r>
            <w:r w:rsidR="00EA3F1F">
              <w:rPr>
                <w:noProof/>
                <w:webHidden/>
              </w:rPr>
              <w:instrText xml:space="preserve"> PAGEREF _Toc519422431 \h </w:instrText>
            </w:r>
            <w:r w:rsidR="00EA3F1F">
              <w:rPr>
                <w:noProof/>
                <w:webHidden/>
              </w:rPr>
            </w:r>
            <w:r w:rsidR="00EA3F1F">
              <w:rPr>
                <w:noProof/>
                <w:webHidden/>
              </w:rPr>
              <w:fldChar w:fldCharType="separate"/>
            </w:r>
            <w:r w:rsidR="004D39DA">
              <w:rPr>
                <w:noProof/>
                <w:webHidden/>
              </w:rPr>
              <w:t>30</w:t>
            </w:r>
            <w:r w:rsidR="00EA3F1F">
              <w:rPr>
                <w:noProof/>
                <w:webHidden/>
              </w:rPr>
              <w:fldChar w:fldCharType="end"/>
            </w:r>
          </w:hyperlink>
        </w:p>
        <w:p w14:paraId="4B85BB7A" w14:textId="6C5645AA" w:rsidR="00EA3F1F" w:rsidRDefault="00391B2A">
          <w:pPr>
            <w:pStyle w:val="TOC2"/>
            <w:tabs>
              <w:tab w:val="right" w:leader="dot" w:pos="9240"/>
            </w:tabs>
            <w:rPr>
              <w:rFonts w:asciiTheme="minorHAnsi" w:eastAsiaTheme="minorEastAsia" w:hAnsiTheme="minorHAnsi" w:cstheme="minorBidi"/>
              <w:noProof/>
            </w:rPr>
          </w:pPr>
          <w:hyperlink w:anchor="_Toc519422432" w:history="1">
            <w:r w:rsidR="00EA3F1F" w:rsidRPr="0042357A">
              <w:rPr>
                <w:rStyle w:val="Hyperlink"/>
                <w:noProof/>
              </w:rPr>
              <w:t>SAOM Article 25 - SOGL Article 118 (q)   common rules for the operation in normal state and alert state in accordance with Article 152(6) and the actions referred to in Article 152(15);</w:t>
            </w:r>
            <w:r w:rsidR="00EA3F1F">
              <w:rPr>
                <w:noProof/>
                <w:webHidden/>
              </w:rPr>
              <w:tab/>
            </w:r>
            <w:r w:rsidR="00EA3F1F">
              <w:rPr>
                <w:noProof/>
                <w:webHidden/>
              </w:rPr>
              <w:fldChar w:fldCharType="begin"/>
            </w:r>
            <w:r w:rsidR="00EA3F1F">
              <w:rPr>
                <w:noProof/>
                <w:webHidden/>
              </w:rPr>
              <w:instrText xml:space="preserve"> PAGEREF _Toc519422432 \h </w:instrText>
            </w:r>
            <w:r w:rsidR="00EA3F1F">
              <w:rPr>
                <w:noProof/>
                <w:webHidden/>
              </w:rPr>
            </w:r>
            <w:r w:rsidR="00EA3F1F">
              <w:rPr>
                <w:noProof/>
                <w:webHidden/>
              </w:rPr>
              <w:fldChar w:fldCharType="separate"/>
            </w:r>
            <w:r w:rsidR="004D39DA">
              <w:rPr>
                <w:noProof/>
                <w:webHidden/>
              </w:rPr>
              <w:t>31</w:t>
            </w:r>
            <w:r w:rsidR="00EA3F1F">
              <w:rPr>
                <w:noProof/>
                <w:webHidden/>
              </w:rPr>
              <w:fldChar w:fldCharType="end"/>
            </w:r>
          </w:hyperlink>
        </w:p>
        <w:p w14:paraId="64762131" w14:textId="687E8051" w:rsidR="00EA3F1F" w:rsidRDefault="00391B2A">
          <w:pPr>
            <w:pStyle w:val="TOC2"/>
            <w:tabs>
              <w:tab w:val="right" w:leader="dot" w:pos="9240"/>
            </w:tabs>
            <w:rPr>
              <w:rFonts w:asciiTheme="minorHAnsi" w:eastAsiaTheme="minorEastAsia" w:hAnsiTheme="minorHAnsi" w:cstheme="minorBidi"/>
              <w:noProof/>
            </w:rPr>
          </w:pPr>
          <w:hyperlink w:anchor="_Toc519422433" w:history="1">
            <w:r w:rsidR="00EA3F1F" w:rsidRPr="0042357A">
              <w:rPr>
                <w:rStyle w:val="Hyperlink"/>
                <w:noProof/>
              </w:rPr>
              <w:t>SAOM Article 26 - SOGL Article 118 (r)   for the CE and Nordic synchronous areas, the minimum activation period to be ensured by FCR providers in accordance with Article 156(10);</w:t>
            </w:r>
            <w:r w:rsidR="00EA3F1F">
              <w:rPr>
                <w:noProof/>
                <w:webHidden/>
              </w:rPr>
              <w:tab/>
            </w:r>
            <w:r w:rsidR="00EA3F1F">
              <w:rPr>
                <w:noProof/>
                <w:webHidden/>
              </w:rPr>
              <w:fldChar w:fldCharType="begin"/>
            </w:r>
            <w:r w:rsidR="00EA3F1F">
              <w:rPr>
                <w:noProof/>
                <w:webHidden/>
              </w:rPr>
              <w:instrText xml:space="preserve"> PAGEREF _Toc519422433 \h </w:instrText>
            </w:r>
            <w:r w:rsidR="00EA3F1F">
              <w:rPr>
                <w:noProof/>
                <w:webHidden/>
              </w:rPr>
            </w:r>
            <w:r w:rsidR="00EA3F1F">
              <w:rPr>
                <w:noProof/>
                <w:webHidden/>
              </w:rPr>
              <w:fldChar w:fldCharType="separate"/>
            </w:r>
            <w:r w:rsidR="004D39DA">
              <w:rPr>
                <w:noProof/>
                <w:webHidden/>
              </w:rPr>
              <w:t>31</w:t>
            </w:r>
            <w:r w:rsidR="00EA3F1F">
              <w:rPr>
                <w:noProof/>
                <w:webHidden/>
              </w:rPr>
              <w:fldChar w:fldCharType="end"/>
            </w:r>
          </w:hyperlink>
        </w:p>
        <w:p w14:paraId="22E447E5" w14:textId="1DD54E77" w:rsidR="00EA3F1F" w:rsidRDefault="00391B2A">
          <w:pPr>
            <w:pStyle w:val="TOC2"/>
            <w:tabs>
              <w:tab w:val="right" w:leader="dot" w:pos="9240"/>
            </w:tabs>
            <w:rPr>
              <w:rFonts w:asciiTheme="minorHAnsi" w:eastAsiaTheme="minorEastAsia" w:hAnsiTheme="minorHAnsi" w:cstheme="minorBidi"/>
              <w:noProof/>
            </w:rPr>
          </w:pPr>
          <w:hyperlink w:anchor="_Toc519422434" w:history="1">
            <w:r w:rsidR="00EA3F1F" w:rsidRPr="0042357A">
              <w:rPr>
                <w:rStyle w:val="Hyperlink"/>
                <w:noProof/>
              </w:rPr>
              <w:t>SAOM Article 27 - SOGL Article 118 (s)   for the CE and Nordic synchronous areas, the assumptions and methodology for a cost-benefit analysis in accordance with Article 156(11);</w:t>
            </w:r>
            <w:r w:rsidR="00EA3F1F">
              <w:rPr>
                <w:noProof/>
                <w:webHidden/>
              </w:rPr>
              <w:tab/>
            </w:r>
            <w:r w:rsidR="00EA3F1F">
              <w:rPr>
                <w:noProof/>
                <w:webHidden/>
              </w:rPr>
              <w:fldChar w:fldCharType="begin"/>
            </w:r>
            <w:r w:rsidR="00EA3F1F">
              <w:rPr>
                <w:noProof/>
                <w:webHidden/>
              </w:rPr>
              <w:instrText xml:space="preserve"> PAGEREF _Toc519422434 \h </w:instrText>
            </w:r>
            <w:r w:rsidR="00EA3F1F">
              <w:rPr>
                <w:noProof/>
                <w:webHidden/>
              </w:rPr>
            </w:r>
            <w:r w:rsidR="00EA3F1F">
              <w:rPr>
                <w:noProof/>
                <w:webHidden/>
              </w:rPr>
              <w:fldChar w:fldCharType="separate"/>
            </w:r>
            <w:r w:rsidR="004D39DA">
              <w:rPr>
                <w:noProof/>
                <w:webHidden/>
              </w:rPr>
              <w:t>31</w:t>
            </w:r>
            <w:r w:rsidR="00EA3F1F">
              <w:rPr>
                <w:noProof/>
                <w:webHidden/>
              </w:rPr>
              <w:fldChar w:fldCharType="end"/>
            </w:r>
          </w:hyperlink>
        </w:p>
        <w:p w14:paraId="2AA6CFAB" w14:textId="18C15D6F" w:rsidR="00EA3F1F" w:rsidRDefault="00391B2A">
          <w:pPr>
            <w:pStyle w:val="TOC2"/>
            <w:tabs>
              <w:tab w:val="right" w:leader="dot" w:pos="9240"/>
            </w:tabs>
            <w:rPr>
              <w:rFonts w:asciiTheme="minorHAnsi" w:eastAsiaTheme="minorEastAsia" w:hAnsiTheme="minorHAnsi" w:cstheme="minorBidi"/>
              <w:noProof/>
            </w:rPr>
          </w:pPr>
          <w:hyperlink w:anchor="_Toc519422435" w:history="1">
            <w:r w:rsidR="00EA3F1F" w:rsidRPr="0042357A">
              <w:rPr>
                <w:rStyle w:val="Hyperlink"/>
                <w:noProof/>
              </w:rPr>
              <w:t>SAOM Article 28 - SOGL Article 118 (u)   the roles and responsibilities of the reserve connecting TSO, the reserve receiving TSO and the affected TSO as regards the exchange of FRR and RR defined in accordance with Article 165(1);</w:t>
            </w:r>
            <w:r w:rsidR="00EA3F1F">
              <w:rPr>
                <w:noProof/>
                <w:webHidden/>
              </w:rPr>
              <w:tab/>
            </w:r>
            <w:r w:rsidR="00EA3F1F">
              <w:rPr>
                <w:noProof/>
                <w:webHidden/>
              </w:rPr>
              <w:fldChar w:fldCharType="begin"/>
            </w:r>
            <w:r w:rsidR="00EA3F1F">
              <w:rPr>
                <w:noProof/>
                <w:webHidden/>
              </w:rPr>
              <w:instrText xml:space="preserve"> PAGEREF _Toc519422435 \h </w:instrText>
            </w:r>
            <w:r w:rsidR="00EA3F1F">
              <w:rPr>
                <w:noProof/>
                <w:webHidden/>
              </w:rPr>
            </w:r>
            <w:r w:rsidR="00EA3F1F">
              <w:rPr>
                <w:noProof/>
                <w:webHidden/>
              </w:rPr>
              <w:fldChar w:fldCharType="separate"/>
            </w:r>
            <w:r w:rsidR="004D39DA">
              <w:rPr>
                <w:noProof/>
                <w:webHidden/>
              </w:rPr>
              <w:t>32</w:t>
            </w:r>
            <w:r w:rsidR="00EA3F1F">
              <w:rPr>
                <w:noProof/>
                <w:webHidden/>
              </w:rPr>
              <w:fldChar w:fldCharType="end"/>
            </w:r>
          </w:hyperlink>
        </w:p>
        <w:p w14:paraId="5C79A4CB" w14:textId="6633F5E4" w:rsidR="00EA3F1F" w:rsidRDefault="00391B2A">
          <w:pPr>
            <w:pStyle w:val="TOC2"/>
            <w:tabs>
              <w:tab w:val="right" w:leader="dot" w:pos="9240"/>
            </w:tabs>
            <w:rPr>
              <w:rFonts w:asciiTheme="minorHAnsi" w:eastAsiaTheme="minorEastAsia" w:hAnsiTheme="minorHAnsi" w:cstheme="minorBidi"/>
              <w:noProof/>
            </w:rPr>
          </w:pPr>
          <w:hyperlink w:anchor="_Toc519422436" w:history="1">
            <w:r w:rsidR="00EA3F1F" w:rsidRPr="0042357A">
              <w:rPr>
                <w:rStyle w:val="Hyperlink"/>
                <w:noProof/>
              </w:rPr>
              <w:t>SAOM Article 29 - SOGL Article 118 (v)   the roles and responsibilities of the control capability providing TSO, the control capability receiving TSO and the affected TSO for the sharing of FRR and RR defined in accordance with Article 166(1);</w:t>
            </w:r>
            <w:r w:rsidR="00EA3F1F">
              <w:rPr>
                <w:noProof/>
                <w:webHidden/>
              </w:rPr>
              <w:tab/>
            </w:r>
            <w:r w:rsidR="00EA3F1F">
              <w:rPr>
                <w:noProof/>
                <w:webHidden/>
              </w:rPr>
              <w:fldChar w:fldCharType="begin"/>
            </w:r>
            <w:r w:rsidR="00EA3F1F">
              <w:rPr>
                <w:noProof/>
                <w:webHidden/>
              </w:rPr>
              <w:instrText xml:space="preserve"> PAGEREF _Toc519422436 \h </w:instrText>
            </w:r>
            <w:r w:rsidR="00EA3F1F">
              <w:rPr>
                <w:noProof/>
                <w:webHidden/>
              </w:rPr>
            </w:r>
            <w:r w:rsidR="00EA3F1F">
              <w:rPr>
                <w:noProof/>
                <w:webHidden/>
              </w:rPr>
              <w:fldChar w:fldCharType="separate"/>
            </w:r>
            <w:r w:rsidR="004D39DA">
              <w:rPr>
                <w:noProof/>
                <w:webHidden/>
              </w:rPr>
              <w:t>32</w:t>
            </w:r>
            <w:r w:rsidR="00EA3F1F">
              <w:rPr>
                <w:noProof/>
                <w:webHidden/>
              </w:rPr>
              <w:fldChar w:fldCharType="end"/>
            </w:r>
          </w:hyperlink>
        </w:p>
        <w:p w14:paraId="41B3D923" w14:textId="5C8A96C4" w:rsidR="00EA3F1F" w:rsidRDefault="00391B2A">
          <w:pPr>
            <w:pStyle w:val="TOC2"/>
            <w:tabs>
              <w:tab w:val="right" w:leader="dot" w:pos="9240"/>
            </w:tabs>
            <w:rPr>
              <w:rFonts w:asciiTheme="minorHAnsi" w:eastAsiaTheme="minorEastAsia" w:hAnsiTheme="minorHAnsi" w:cstheme="minorBidi"/>
              <w:noProof/>
            </w:rPr>
          </w:pPr>
          <w:hyperlink w:anchor="_Toc519422437" w:history="1">
            <w:r w:rsidR="00EA3F1F" w:rsidRPr="0042357A">
              <w:rPr>
                <w:rStyle w:val="Hyperlink"/>
                <w:noProof/>
              </w:rPr>
              <w:t>SAOM Article 30 - SOGL Article 118 (w)   the roles and responsibilities of the reserve connecting TSO, the reserve receiving TSO and the affected TSO for the exchange of reserves between synchronous areas, and of the control capability providing TSO, the control capability receiving TSO and the affected TSO for the sharing of reserves between synchronous areas defined in accordance with Article 171(2);</w:t>
            </w:r>
            <w:r w:rsidR="00EA3F1F">
              <w:rPr>
                <w:noProof/>
                <w:webHidden/>
              </w:rPr>
              <w:tab/>
            </w:r>
            <w:r w:rsidR="00EA3F1F">
              <w:rPr>
                <w:noProof/>
                <w:webHidden/>
              </w:rPr>
              <w:fldChar w:fldCharType="begin"/>
            </w:r>
            <w:r w:rsidR="00EA3F1F">
              <w:rPr>
                <w:noProof/>
                <w:webHidden/>
              </w:rPr>
              <w:instrText xml:space="preserve"> PAGEREF _Toc519422437 \h </w:instrText>
            </w:r>
            <w:r w:rsidR="00EA3F1F">
              <w:rPr>
                <w:noProof/>
                <w:webHidden/>
              </w:rPr>
            </w:r>
            <w:r w:rsidR="00EA3F1F">
              <w:rPr>
                <w:noProof/>
                <w:webHidden/>
              </w:rPr>
              <w:fldChar w:fldCharType="separate"/>
            </w:r>
            <w:r w:rsidR="004D39DA">
              <w:rPr>
                <w:noProof/>
                <w:webHidden/>
              </w:rPr>
              <w:t>32</w:t>
            </w:r>
            <w:r w:rsidR="00EA3F1F">
              <w:rPr>
                <w:noProof/>
                <w:webHidden/>
              </w:rPr>
              <w:fldChar w:fldCharType="end"/>
            </w:r>
          </w:hyperlink>
        </w:p>
        <w:p w14:paraId="2B9DE1F1" w14:textId="2168F2AC" w:rsidR="00EA3F1F" w:rsidRDefault="00391B2A">
          <w:pPr>
            <w:pStyle w:val="TOC2"/>
            <w:tabs>
              <w:tab w:val="right" w:leader="dot" w:pos="9240"/>
            </w:tabs>
            <w:rPr>
              <w:rFonts w:asciiTheme="minorHAnsi" w:eastAsiaTheme="minorEastAsia" w:hAnsiTheme="minorHAnsi" w:cstheme="minorBidi"/>
              <w:noProof/>
            </w:rPr>
          </w:pPr>
          <w:hyperlink w:anchor="_Toc519422438" w:history="1">
            <w:r w:rsidR="00EA3F1F" w:rsidRPr="0042357A">
              <w:rPr>
                <w:rStyle w:val="Hyperlink"/>
                <w:noProof/>
              </w:rPr>
              <w:t>SAOM Article 31 - SOGL Article 118(x) - “the methodology to determine limits on the amount of sharing of FCR between synchronous areas defined in accordance with Article 174(2);”</w:t>
            </w:r>
            <w:r w:rsidR="00EA3F1F">
              <w:rPr>
                <w:noProof/>
                <w:webHidden/>
              </w:rPr>
              <w:tab/>
            </w:r>
            <w:r w:rsidR="00EA3F1F">
              <w:rPr>
                <w:noProof/>
                <w:webHidden/>
              </w:rPr>
              <w:fldChar w:fldCharType="begin"/>
            </w:r>
            <w:r w:rsidR="00EA3F1F">
              <w:rPr>
                <w:noProof/>
                <w:webHidden/>
              </w:rPr>
              <w:instrText xml:space="preserve"> PAGEREF _Toc519422438 \h </w:instrText>
            </w:r>
            <w:r w:rsidR="00EA3F1F">
              <w:rPr>
                <w:noProof/>
                <w:webHidden/>
              </w:rPr>
            </w:r>
            <w:r w:rsidR="00EA3F1F">
              <w:rPr>
                <w:noProof/>
                <w:webHidden/>
              </w:rPr>
              <w:fldChar w:fldCharType="separate"/>
            </w:r>
            <w:r w:rsidR="004D39DA">
              <w:rPr>
                <w:noProof/>
                <w:webHidden/>
              </w:rPr>
              <w:t>34</w:t>
            </w:r>
            <w:r w:rsidR="00EA3F1F">
              <w:rPr>
                <w:noProof/>
                <w:webHidden/>
              </w:rPr>
              <w:fldChar w:fldCharType="end"/>
            </w:r>
          </w:hyperlink>
        </w:p>
        <w:p w14:paraId="62F1A64D" w14:textId="722066D0" w:rsidR="00EA3F1F" w:rsidRDefault="00391B2A">
          <w:pPr>
            <w:pStyle w:val="TOC2"/>
            <w:tabs>
              <w:tab w:val="right" w:leader="dot" w:pos="9240"/>
            </w:tabs>
            <w:rPr>
              <w:rFonts w:asciiTheme="minorHAnsi" w:eastAsiaTheme="minorEastAsia" w:hAnsiTheme="minorHAnsi" w:cstheme="minorBidi"/>
              <w:noProof/>
            </w:rPr>
          </w:pPr>
          <w:hyperlink w:anchor="_Toc519422439" w:history="1">
            <w:r w:rsidR="00EA3F1F" w:rsidRPr="0042357A">
              <w:rPr>
                <w:rStyle w:val="Hyperlink"/>
                <w:noProof/>
              </w:rPr>
              <w:t>SAOM Article 32 – Timescales for implementation</w:t>
            </w:r>
            <w:r w:rsidR="00EA3F1F">
              <w:rPr>
                <w:noProof/>
                <w:webHidden/>
              </w:rPr>
              <w:tab/>
            </w:r>
            <w:r w:rsidR="00EA3F1F">
              <w:rPr>
                <w:noProof/>
                <w:webHidden/>
              </w:rPr>
              <w:fldChar w:fldCharType="begin"/>
            </w:r>
            <w:r w:rsidR="00EA3F1F">
              <w:rPr>
                <w:noProof/>
                <w:webHidden/>
              </w:rPr>
              <w:instrText xml:space="preserve"> PAGEREF _Toc519422439 \h </w:instrText>
            </w:r>
            <w:r w:rsidR="00EA3F1F">
              <w:rPr>
                <w:noProof/>
                <w:webHidden/>
              </w:rPr>
            </w:r>
            <w:r w:rsidR="00EA3F1F">
              <w:rPr>
                <w:noProof/>
                <w:webHidden/>
              </w:rPr>
              <w:fldChar w:fldCharType="separate"/>
            </w:r>
            <w:r w:rsidR="004D39DA">
              <w:rPr>
                <w:noProof/>
                <w:webHidden/>
              </w:rPr>
              <w:t>34</w:t>
            </w:r>
            <w:r w:rsidR="00EA3F1F">
              <w:rPr>
                <w:noProof/>
                <w:webHidden/>
              </w:rPr>
              <w:fldChar w:fldCharType="end"/>
            </w:r>
          </w:hyperlink>
        </w:p>
        <w:p w14:paraId="6C72E712" w14:textId="09AEE073" w:rsidR="00EE517B" w:rsidRPr="00D00ABD" w:rsidRDefault="00EE517B">
          <w:r w:rsidRPr="00946F21">
            <w:rPr>
              <w:rFonts w:ascii="Arial" w:hAnsi="Arial" w:cs="Arial"/>
              <w:b/>
              <w:bCs/>
              <w:noProof/>
            </w:rPr>
            <w:fldChar w:fldCharType="end"/>
          </w:r>
        </w:p>
      </w:sdtContent>
    </w:sdt>
    <w:p w14:paraId="6C72E713" w14:textId="77777777" w:rsidR="00824C10" w:rsidRPr="00D00ABD" w:rsidRDefault="00824C10" w:rsidP="00EE517B">
      <w:pPr>
        <w:widowControl w:val="0"/>
        <w:autoSpaceDE w:val="0"/>
        <w:autoSpaceDN w:val="0"/>
        <w:adjustRightInd w:val="0"/>
        <w:spacing w:after="0" w:line="200" w:lineRule="exact"/>
        <w:ind w:right="1249"/>
        <w:rPr>
          <w:rFonts w:ascii="Arial" w:hAnsi="Arial" w:cs="Arial"/>
          <w:color w:val="000000"/>
          <w:sz w:val="20"/>
          <w:szCs w:val="20"/>
        </w:rPr>
      </w:pPr>
    </w:p>
    <w:p w14:paraId="6C72E714" w14:textId="77777777" w:rsidR="00824C10" w:rsidRPr="00D00ABD" w:rsidRDefault="00824C10">
      <w:pPr>
        <w:widowControl w:val="0"/>
        <w:autoSpaceDE w:val="0"/>
        <w:autoSpaceDN w:val="0"/>
        <w:adjustRightInd w:val="0"/>
        <w:spacing w:after="0" w:line="200" w:lineRule="exact"/>
        <w:rPr>
          <w:rFonts w:ascii="Arial" w:hAnsi="Arial" w:cs="Arial"/>
          <w:color w:val="000000"/>
          <w:sz w:val="20"/>
          <w:szCs w:val="20"/>
        </w:rPr>
      </w:pPr>
    </w:p>
    <w:p w14:paraId="6C72E715" w14:textId="77777777" w:rsidR="00824C10" w:rsidRPr="00D00ABD" w:rsidRDefault="00824C10">
      <w:pPr>
        <w:widowControl w:val="0"/>
        <w:autoSpaceDE w:val="0"/>
        <w:autoSpaceDN w:val="0"/>
        <w:adjustRightInd w:val="0"/>
        <w:spacing w:after="0" w:line="200" w:lineRule="exact"/>
        <w:rPr>
          <w:rFonts w:ascii="Arial" w:hAnsi="Arial" w:cs="Arial"/>
          <w:color w:val="000000"/>
          <w:sz w:val="20"/>
          <w:szCs w:val="20"/>
        </w:rPr>
      </w:pPr>
    </w:p>
    <w:p w14:paraId="6C72E716" w14:textId="77777777" w:rsidR="00824C10" w:rsidRPr="00D00ABD" w:rsidRDefault="00824C10">
      <w:pPr>
        <w:widowControl w:val="0"/>
        <w:autoSpaceDE w:val="0"/>
        <w:autoSpaceDN w:val="0"/>
        <w:adjustRightInd w:val="0"/>
        <w:spacing w:before="98" w:after="0" w:line="240" w:lineRule="auto"/>
        <w:ind w:left="121"/>
        <w:rPr>
          <w:rFonts w:ascii="Arial" w:hAnsi="Arial" w:cs="Arial"/>
          <w:color w:val="000000"/>
        </w:rPr>
        <w:sectPr w:rsidR="00824C10" w:rsidRPr="00D00ABD" w:rsidSect="00AB22AA">
          <w:headerReference w:type="default" r:id="rId14"/>
          <w:footerReference w:type="default" r:id="rId15"/>
          <w:pgSz w:w="11920" w:h="16840"/>
          <w:pgMar w:top="1460" w:right="1430" w:bottom="280" w:left="1240" w:header="567" w:footer="492" w:gutter="0"/>
          <w:cols w:space="720"/>
          <w:noEndnote/>
          <w:titlePg/>
          <w:docGrid w:linePitch="299"/>
        </w:sectPr>
      </w:pPr>
    </w:p>
    <w:p w14:paraId="6C72E717" w14:textId="77777777" w:rsidR="00824C10" w:rsidRPr="00D00ABD" w:rsidRDefault="00824C10" w:rsidP="00EE517B">
      <w:pPr>
        <w:rPr>
          <w:sz w:val="20"/>
          <w:szCs w:val="20"/>
        </w:rPr>
      </w:pPr>
    </w:p>
    <w:p w14:paraId="6C72E718" w14:textId="77777777" w:rsidR="00824C10" w:rsidRPr="00D00ABD" w:rsidRDefault="00824C10" w:rsidP="00651599">
      <w:pPr>
        <w:pStyle w:val="Heading1"/>
      </w:pPr>
      <w:bookmarkStart w:id="1" w:name="_Toc519422400"/>
      <w:r w:rsidRPr="00D00ABD">
        <w:rPr>
          <w:spacing w:val="1"/>
        </w:rPr>
        <w:t>I</w:t>
      </w:r>
      <w:r w:rsidRPr="00D00ABD">
        <w:rPr>
          <w:spacing w:val="-1"/>
        </w:rPr>
        <w:t>n</w:t>
      </w:r>
      <w:r w:rsidRPr="00D00ABD">
        <w:t>t</w:t>
      </w:r>
      <w:r w:rsidRPr="00D00ABD">
        <w:rPr>
          <w:spacing w:val="1"/>
        </w:rPr>
        <w:t>r</w:t>
      </w:r>
      <w:r w:rsidRPr="00D00ABD">
        <w:rPr>
          <w:spacing w:val="-1"/>
        </w:rPr>
        <w:t>odu</w:t>
      </w:r>
      <w:r w:rsidRPr="00D00ABD">
        <w:t>ct</w:t>
      </w:r>
      <w:r w:rsidRPr="00D00ABD">
        <w:rPr>
          <w:spacing w:val="1"/>
        </w:rPr>
        <w:t>i</w:t>
      </w:r>
      <w:r w:rsidRPr="00D00ABD">
        <w:rPr>
          <w:spacing w:val="-1"/>
        </w:rPr>
        <w:t>o</w:t>
      </w:r>
      <w:r w:rsidRPr="00D00ABD">
        <w:t>n</w:t>
      </w:r>
      <w:bookmarkEnd w:id="1"/>
    </w:p>
    <w:p w14:paraId="6C72E719" w14:textId="77777777" w:rsidR="00FB2509" w:rsidRPr="00D00ABD" w:rsidRDefault="00FB2509" w:rsidP="00FB2509"/>
    <w:p w14:paraId="6C72E71A" w14:textId="05CCA5ED" w:rsidR="00651599" w:rsidRPr="00D00ABD" w:rsidRDefault="00824C10" w:rsidP="00FB2509">
      <w:pPr>
        <w:pStyle w:val="Paragrapgh-numbered"/>
        <w:rPr>
          <w:lang w:val="en-GB"/>
        </w:rPr>
      </w:pPr>
      <w:r w:rsidRPr="00D00ABD">
        <w:rPr>
          <w:lang w:val="en-GB"/>
        </w:rPr>
        <w:t>The Com</w:t>
      </w:r>
      <w:r w:rsidRPr="00D00ABD">
        <w:rPr>
          <w:spacing w:val="1"/>
          <w:lang w:val="en-GB"/>
        </w:rPr>
        <w:t>m</w:t>
      </w:r>
      <w:r w:rsidRPr="00D00ABD">
        <w:rPr>
          <w:lang w:val="en-GB"/>
        </w:rPr>
        <w:t>is</w:t>
      </w:r>
      <w:r w:rsidRPr="00D00ABD">
        <w:rPr>
          <w:spacing w:val="1"/>
          <w:lang w:val="en-GB"/>
        </w:rPr>
        <w:t>s</w:t>
      </w:r>
      <w:r w:rsidRPr="00D00ABD">
        <w:rPr>
          <w:lang w:val="en-GB"/>
        </w:rPr>
        <w:t>ion</w:t>
      </w:r>
      <w:r w:rsidRPr="00D00ABD">
        <w:rPr>
          <w:spacing w:val="2"/>
          <w:lang w:val="en-GB"/>
        </w:rPr>
        <w:t xml:space="preserve"> </w:t>
      </w:r>
      <w:r w:rsidRPr="00D00ABD">
        <w:rPr>
          <w:lang w:val="en-GB"/>
        </w:rPr>
        <w:t>R</w:t>
      </w:r>
      <w:r w:rsidRPr="00D00ABD">
        <w:rPr>
          <w:spacing w:val="-1"/>
          <w:lang w:val="en-GB"/>
        </w:rPr>
        <w:t>e</w:t>
      </w:r>
      <w:r w:rsidRPr="00D00ABD">
        <w:rPr>
          <w:spacing w:val="-2"/>
          <w:lang w:val="en-GB"/>
        </w:rPr>
        <w:t>g</w:t>
      </w:r>
      <w:r w:rsidRPr="00D00ABD">
        <w:rPr>
          <w:lang w:val="en-GB"/>
        </w:rPr>
        <w:t>ulation</w:t>
      </w:r>
      <w:r w:rsidRPr="00D00ABD">
        <w:rPr>
          <w:spacing w:val="2"/>
          <w:lang w:val="en-GB"/>
        </w:rPr>
        <w:t xml:space="preserve"> </w:t>
      </w:r>
      <w:r w:rsidRPr="00D00ABD">
        <w:rPr>
          <w:lang w:val="en-GB"/>
        </w:rPr>
        <w:t>(</w:t>
      </w:r>
      <w:r w:rsidRPr="00D00ABD">
        <w:rPr>
          <w:spacing w:val="-1"/>
          <w:lang w:val="en-GB"/>
        </w:rPr>
        <w:t>E</w:t>
      </w:r>
      <w:r w:rsidRPr="00D00ABD">
        <w:rPr>
          <w:lang w:val="en-GB"/>
        </w:rPr>
        <w:t>U) 2017/1485</w:t>
      </w:r>
      <w:r w:rsidRPr="00D00ABD">
        <w:rPr>
          <w:spacing w:val="4"/>
          <w:lang w:val="en-GB"/>
        </w:rPr>
        <w:t xml:space="preserve"> </w:t>
      </w:r>
      <w:r w:rsidRPr="00D00ABD">
        <w:rPr>
          <w:lang w:val="en-GB"/>
        </w:rPr>
        <w:t>of</w:t>
      </w:r>
      <w:r w:rsidRPr="00D00ABD">
        <w:rPr>
          <w:spacing w:val="1"/>
          <w:lang w:val="en-GB"/>
        </w:rPr>
        <w:t xml:space="preserve"> </w:t>
      </w:r>
      <w:r w:rsidRPr="00D00ABD">
        <w:rPr>
          <w:lang w:val="en-GB"/>
        </w:rPr>
        <w:t>2</w:t>
      </w:r>
      <w:r w:rsidRPr="00D00ABD">
        <w:rPr>
          <w:spacing w:val="2"/>
          <w:lang w:val="en-GB"/>
        </w:rPr>
        <w:t xml:space="preserve"> </w:t>
      </w:r>
      <w:r w:rsidRPr="00D00ABD">
        <w:rPr>
          <w:lang w:val="en-GB"/>
        </w:rPr>
        <w:t>A</w:t>
      </w:r>
      <w:r w:rsidRPr="00D00ABD">
        <w:rPr>
          <w:spacing w:val="2"/>
          <w:lang w:val="en-GB"/>
        </w:rPr>
        <w:t>u</w:t>
      </w:r>
      <w:r w:rsidRPr="00D00ABD">
        <w:rPr>
          <w:spacing w:val="-2"/>
          <w:lang w:val="en-GB"/>
        </w:rPr>
        <w:t>g</w:t>
      </w:r>
      <w:r w:rsidRPr="00D00ABD">
        <w:rPr>
          <w:lang w:val="en-GB"/>
        </w:rPr>
        <w:t>ust</w:t>
      </w:r>
      <w:r w:rsidRPr="00D00ABD">
        <w:rPr>
          <w:spacing w:val="2"/>
          <w:lang w:val="en-GB"/>
        </w:rPr>
        <w:t xml:space="preserve"> </w:t>
      </w:r>
      <w:r w:rsidRPr="00D00ABD">
        <w:rPr>
          <w:lang w:val="en-GB"/>
        </w:rPr>
        <w:t>2017</w:t>
      </w:r>
      <w:r w:rsidRPr="00D00ABD">
        <w:rPr>
          <w:spacing w:val="2"/>
          <w:lang w:val="en-GB"/>
        </w:rPr>
        <w:t xml:space="preserve"> </w:t>
      </w:r>
      <w:r w:rsidRPr="00D00ABD">
        <w:rPr>
          <w:spacing w:val="-1"/>
          <w:lang w:val="en-GB"/>
        </w:rPr>
        <w:t>e</w:t>
      </w:r>
      <w:r w:rsidRPr="00D00ABD">
        <w:rPr>
          <w:lang w:val="en-GB"/>
        </w:rPr>
        <w:t>st</w:t>
      </w:r>
      <w:r w:rsidRPr="00D00ABD">
        <w:rPr>
          <w:spacing w:val="2"/>
          <w:lang w:val="en-GB"/>
        </w:rPr>
        <w:t>a</w:t>
      </w:r>
      <w:r w:rsidRPr="00D00ABD">
        <w:rPr>
          <w:lang w:val="en-GB"/>
        </w:rPr>
        <w:t>bl</w:t>
      </w:r>
      <w:r w:rsidRPr="00D00ABD">
        <w:rPr>
          <w:spacing w:val="1"/>
          <w:lang w:val="en-GB"/>
        </w:rPr>
        <w:t>i</w:t>
      </w:r>
      <w:r w:rsidRPr="00D00ABD">
        <w:rPr>
          <w:lang w:val="en-GB"/>
        </w:rPr>
        <w:t>shing a</w:t>
      </w:r>
      <w:r w:rsidRPr="00D00ABD">
        <w:rPr>
          <w:spacing w:val="9"/>
          <w:lang w:val="en-GB"/>
        </w:rPr>
        <w:t xml:space="preserve"> </w:t>
      </w:r>
      <w:r w:rsidRPr="00D00ABD">
        <w:rPr>
          <w:spacing w:val="-2"/>
          <w:lang w:val="en-GB"/>
        </w:rPr>
        <w:t>g</w:t>
      </w:r>
      <w:r w:rsidRPr="00D00ABD">
        <w:rPr>
          <w:lang w:val="en-GB"/>
        </w:rPr>
        <w:t>uideline</w:t>
      </w:r>
      <w:r w:rsidRPr="00D00ABD">
        <w:rPr>
          <w:spacing w:val="1"/>
          <w:lang w:val="en-GB"/>
        </w:rPr>
        <w:t xml:space="preserve"> </w:t>
      </w:r>
      <w:r w:rsidRPr="00D00ABD">
        <w:rPr>
          <w:lang w:val="en-GB"/>
        </w:rPr>
        <w:t xml:space="preserve">on </w:t>
      </w:r>
      <w:r w:rsidRPr="00D00ABD">
        <w:rPr>
          <w:spacing w:val="-1"/>
          <w:lang w:val="en-GB"/>
        </w:rPr>
        <w:t>e</w:t>
      </w:r>
      <w:r w:rsidRPr="00D00ABD">
        <w:rPr>
          <w:lang w:val="en-GB"/>
        </w:rPr>
        <w:t>le</w:t>
      </w:r>
      <w:r w:rsidRPr="00D00ABD">
        <w:rPr>
          <w:spacing w:val="-1"/>
          <w:lang w:val="en-GB"/>
        </w:rPr>
        <w:t>c</w:t>
      </w:r>
      <w:r w:rsidRPr="00D00ABD">
        <w:rPr>
          <w:lang w:val="en-GB"/>
        </w:rPr>
        <w:t>tri</w:t>
      </w:r>
      <w:r w:rsidRPr="00D00ABD">
        <w:rPr>
          <w:spacing w:val="-1"/>
          <w:lang w:val="en-GB"/>
        </w:rPr>
        <w:t>c</w:t>
      </w:r>
      <w:r w:rsidRPr="00D00ABD">
        <w:rPr>
          <w:lang w:val="en-GB"/>
        </w:rPr>
        <w:t>i</w:t>
      </w:r>
      <w:r w:rsidRPr="00D00ABD">
        <w:rPr>
          <w:spacing w:val="6"/>
          <w:lang w:val="en-GB"/>
        </w:rPr>
        <w:t>t</w:t>
      </w:r>
      <w:r w:rsidRPr="00D00ABD">
        <w:rPr>
          <w:lang w:val="en-GB"/>
        </w:rPr>
        <w:t>y tr</w:t>
      </w:r>
      <w:r w:rsidRPr="00D00ABD">
        <w:rPr>
          <w:spacing w:val="-1"/>
          <w:lang w:val="en-GB"/>
        </w:rPr>
        <w:t>a</w:t>
      </w:r>
      <w:r w:rsidRPr="00D00ABD">
        <w:rPr>
          <w:lang w:val="en-GB"/>
        </w:rPr>
        <w:t>nsm</w:t>
      </w:r>
      <w:r w:rsidRPr="00D00ABD">
        <w:rPr>
          <w:spacing w:val="1"/>
          <w:lang w:val="en-GB"/>
        </w:rPr>
        <w:t>i</w:t>
      </w:r>
      <w:r w:rsidRPr="00D00ABD">
        <w:rPr>
          <w:lang w:val="en-GB"/>
        </w:rPr>
        <w:t>ss</w:t>
      </w:r>
      <w:r w:rsidRPr="00D00ABD">
        <w:rPr>
          <w:spacing w:val="1"/>
          <w:lang w:val="en-GB"/>
        </w:rPr>
        <w:t>i</w:t>
      </w:r>
      <w:r w:rsidRPr="00D00ABD">
        <w:rPr>
          <w:lang w:val="en-GB"/>
        </w:rPr>
        <w:t>on</w:t>
      </w:r>
      <w:r w:rsidRPr="00D00ABD">
        <w:rPr>
          <w:spacing w:val="8"/>
          <w:lang w:val="en-GB"/>
        </w:rPr>
        <w:t xml:space="preserve"> </w:t>
      </w:r>
      <w:r w:rsidRPr="00D00ABD">
        <w:rPr>
          <w:spacing w:val="2"/>
          <w:lang w:val="en-GB"/>
        </w:rPr>
        <w:t>s</w:t>
      </w:r>
      <w:r w:rsidRPr="00D00ABD">
        <w:rPr>
          <w:spacing w:val="-5"/>
          <w:lang w:val="en-GB"/>
        </w:rPr>
        <w:t>y</w:t>
      </w:r>
      <w:r w:rsidRPr="00D00ABD">
        <w:rPr>
          <w:lang w:val="en-GB"/>
        </w:rPr>
        <w:t>stem</w:t>
      </w:r>
      <w:r w:rsidRPr="00D00ABD">
        <w:rPr>
          <w:spacing w:val="5"/>
          <w:lang w:val="en-GB"/>
        </w:rPr>
        <w:t xml:space="preserve"> </w:t>
      </w:r>
      <w:r w:rsidRPr="00D00ABD">
        <w:rPr>
          <w:lang w:val="en-GB"/>
        </w:rPr>
        <w:t>op</w:t>
      </w:r>
      <w:r w:rsidRPr="00D00ABD">
        <w:rPr>
          <w:spacing w:val="1"/>
          <w:lang w:val="en-GB"/>
        </w:rPr>
        <w:t>e</w:t>
      </w:r>
      <w:r w:rsidRPr="00D00ABD">
        <w:rPr>
          <w:lang w:val="en-GB"/>
        </w:rPr>
        <w:t>r</w:t>
      </w:r>
      <w:r w:rsidRPr="00D00ABD">
        <w:rPr>
          <w:spacing w:val="-2"/>
          <w:lang w:val="en-GB"/>
        </w:rPr>
        <w:t>a</w:t>
      </w:r>
      <w:r w:rsidRPr="00D00ABD">
        <w:rPr>
          <w:lang w:val="en-GB"/>
        </w:rPr>
        <w:t>t</w:t>
      </w:r>
      <w:r w:rsidRPr="00D00ABD">
        <w:rPr>
          <w:spacing w:val="1"/>
          <w:lang w:val="en-GB"/>
        </w:rPr>
        <w:t>i</w:t>
      </w:r>
      <w:r w:rsidRPr="00D00ABD">
        <w:rPr>
          <w:lang w:val="en-GB"/>
        </w:rPr>
        <w:t>on</w:t>
      </w:r>
      <w:r w:rsidRPr="00D00ABD">
        <w:rPr>
          <w:spacing w:val="5"/>
          <w:lang w:val="en-GB"/>
        </w:rPr>
        <w:t xml:space="preserve"> </w:t>
      </w:r>
      <w:r w:rsidRPr="00D00ABD">
        <w:rPr>
          <w:lang w:val="en-GB"/>
        </w:rPr>
        <w:t>(</w:t>
      </w:r>
      <w:r w:rsidR="00AA34F5" w:rsidRPr="00D00ABD">
        <w:rPr>
          <w:spacing w:val="1"/>
          <w:lang w:val="en-GB"/>
        </w:rPr>
        <w:t>hereafter</w:t>
      </w:r>
      <w:r w:rsidRPr="00D00ABD">
        <w:rPr>
          <w:spacing w:val="7"/>
          <w:lang w:val="en-GB"/>
        </w:rPr>
        <w:t xml:space="preserve"> </w:t>
      </w:r>
      <w:r w:rsidRPr="00D00ABD">
        <w:rPr>
          <w:spacing w:val="3"/>
          <w:lang w:val="en-GB"/>
        </w:rPr>
        <w:t>"</w:t>
      </w:r>
      <w:r w:rsidR="005824B2" w:rsidRPr="00D00ABD">
        <w:rPr>
          <w:b/>
          <w:bCs/>
          <w:spacing w:val="1"/>
          <w:lang w:val="en-GB"/>
        </w:rPr>
        <w:t>SOGL</w:t>
      </w:r>
      <w:r w:rsidRPr="00D00ABD">
        <w:rPr>
          <w:spacing w:val="1"/>
          <w:lang w:val="en-GB"/>
        </w:rPr>
        <w:t>"</w:t>
      </w:r>
      <w:r w:rsidRPr="00D00ABD">
        <w:rPr>
          <w:lang w:val="en-GB"/>
        </w:rPr>
        <w:t>)</w:t>
      </w:r>
      <w:r w:rsidRPr="00D00ABD">
        <w:rPr>
          <w:spacing w:val="12"/>
          <w:lang w:val="en-GB"/>
        </w:rPr>
        <w:t xml:space="preserve"> </w:t>
      </w:r>
      <w:r w:rsidRPr="00D00ABD">
        <w:rPr>
          <w:lang w:val="en-GB"/>
        </w:rPr>
        <w:t>w</w:t>
      </w:r>
      <w:r w:rsidRPr="00D00ABD">
        <w:rPr>
          <w:spacing w:val="-1"/>
          <w:lang w:val="en-GB"/>
        </w:rPr>
        <w:t>a</w:t>
      </w:r>
      <w:r w:rsidRPr="00D00ABD">
        <w:rPr>
          <w:lang w:val="en-GB"/>
        </w:rPr>
        <w:t>s</w:t>
      </w:r>
      <w:r w:rsidRPr="00D00ABD">
        <w:rPr>
          <w:spacing w:val="10"/>
          <w:lang w:val="en-GB"/>
        </w:rPr>
        <w:t xml:space="preserve"> </w:t>
      </w:r>
      <w:r w:rsidRPr="00D00ABD">
        <w:rPr>
          <w:lang w:val="en-GB"/>
        </w:rPr>
        <w:t>publ</w:t>
      </w:r>
      <w:r w:rsidRPr="00D00ABD">
        <w:rPr>
          <w:spacing w:val="1"/>
          <w:lang w:val="en-GB"/>
        </w:rPr>
        <w:t>i</w:t>
      </w:r>
      <w:r w:rsidRPr="00D00ABD">
        <w:rPr>
          <w:lang w:val="en-GB"/>
        </w:rPr>
        <w:t>sh</w:t>
      </w:r>
      <w:r w:rsidRPr="00D00ABD">
        <w:rPr>
          <w:spacing w:val="-1"/>
          <w:lang w:val="en-GB"/>
        </w:rPr>
        <w:t>e</w:t>
      </w:r>
      <w:r w:rsidRPr="00D00ABD">
        <w:rPr>
          <w:lang w:val="en-GB"/>
        </w:rPr>
        <w:t>d</w:t>
      </w:r>
      <w:r w:rsidRPr="00D00ABD">
        <w:rPr>
          <w:spacing w:val="5"/>
          <w:lang w:val="en-GB"/>
        </w:rPr>
        <w:t xml:space="preserve"> </w:t>
      </w:r>
      <w:r w:rsidRPr="00D00ABD">
        <w:rPr>
          <w:lang w:val="en-GB"/>
        </w:rPr>
        <w:t>in</w:t>
      </w:r>
      <w:r w:rsidRPr="00D00ABD">
        <w:rPr>
          <w:spacing w:val="6"/>
          <w:lang w:val="en-GB"/>
        </w:rPr>
        <w:t xml:space="preserve"> </w:t>
      </w:r>
      <w:r w:rsidRPr="00D00ABD">
        <w:rPr>
          <w:lang w:val="en-GB"/>
        </w:rPr>
        <w:t>the</w:t>
      </w:r>
      <w:r w:rsidRPr="00D00ABD">
        <w:rPr>
          <w:spacing w:val="5"/>
          <w:lang w:val="en-GB"/>
        </w:rPr>
        <w:t xml:space="preserve"> </w:t>
      </w:r>
      <w:r w:rsidRPr="00D00ABD">
        <w:rPr>
          <w:lang w:val="en-GB"/>
        </w:rPr>
        <w:t>of</w:t>
      </w:r>
      <w:r w:rsidRPr="00D00ABD">
        <w:rPr>
          <w:spacing w:val="-1"/>
          <w:lang w:val="en-GB"/>
        </w:rPr>
        <w:t>f</w:t>
      </w:r>
      <w:r w:rsidRPr="00D00ABD">
        <w:rPr>
          <w:lang w:val="en-GB"/>
        </w:rPr>
        <w:t>ici</w:t>
      </w:r>
      <w:r w:rsidRPr="00D00ABD">
        <w:rPr>
          <w:spacing w:val="-1"/>
          <w:lang w:val="en-GB"/>
        </w:rPr>
        <w:t>a</w:t>
      </w:r>
      <w:r w:rsidRPr="00D00ABD">
        <w:rPr>
          <w:lang w:val="en-GB"/>
        </w:rPr>
        <w:t xml:space="preserve">l </w:t>
      </w:r>
      <w:r w:rsidRPr="00D00ABD">
        <w:rPr>
          <w:spacing w:val="2"/>
          <w:lang w:val="en-GB"/>
        </w:rPr>
        <w:t>J</w:t>
      </w:r>
      <w:r w:rsidRPr="00D00ABD">
        <w:rPr>
          <w:lang w:val="en-GB"/>
        </w:rPr>
        <w:t>ourn</w:t>
      </w:r>
      <w:r w:rsidRPr="00D00ABD">
        <w:rPr>
          <w:spacing w:val="-2"/>
          <w:lang w:val="en-GB"/>
        </w:rPr>
        <w:t>a</w:t>
      </w:r>
      <w:r w:rsidRPr="00D00ABD">
        <w:rPr>
          <w:lang w:val="en-GB"/>
        </w:rPr>
        <w:t>l</w:t>
      </w:r>
      <w:r w:rsidRPr="00D00ABD">
        <w:rPr>
          <w:spacing w:val="2"/>
          <w:lang w:val="en-GB"/>
        </w:rPr>
        <w:t xml:space="preserve"> </w:t>
      </w:r>
      <w:r w:rsidRPr="00D00ABD">
        <w:rPr>
          <w:lang w:val="en-GB"/>
        </w:rPr>
        <w:t>of the</w:t>
      </w:r>
      <w:r w:rsidRPr="00D00ABD">
        <w:rPr>
          <w:spacing w:val="1"/>
          <w:lang w:val="en-GB"/>
        </w:rPr>
        <w:t xml:space="preserve"> </w:t>
      </w:r>
      <w:r w:rsidRPr="00D00ABD">
        <w:rPr>
          <w:lang w:val="en-GB"/>
        </w:rPr>
        <w:t>Eu</w:t>
      </w:r>
      <w:r w:rsidRPr="00D00ABD">
        <w:rPr>
          <w:spacing w:val="-1"/>
          <w:lang w:val="en-GB"/>
        </w:rPr>
        <w:t>r</w:t>
      </w:r>
      <w:r w:rsidRPr="00D00ABD">
        <w:rPr>
          <w:lang w:val="en-GB"/>
        </w:rPr>
        <w:t>op</w:t>
      </w:r>
      <w:r w:rsidRPr="00D00ABD">
        <w:rPr>
          <w:spacing w:val="-1"/>
          <w:lang w:val="en-GB"/>
        </w:rPr>
        <w:t>ea</w:t>
      </w:r>
      <w:r w:rsidRPr="00D00ABD">
        <w:rPr>
          <w:lang w:val="en-GB"/>
        </w:rPr>
        <w:t>n</w:t>
      </w:r>
      <w:r w:rsidRPr="00D00ABD">
        <w:rPr>
          <w:spacing w:val="4"/>
          <w:lang w:val="en-GB"/>
        </w:rPr>
        <w:t xml:space="preserve"> </w:t>
      </w:r>
      <w:r w:rsidRPr="00D00ABD">
        <w:rPr>
          <w:lang w:val="en-GB"/>
        </w:rPr>
        <w:t>Union</w:t>
      </w:r>
      <w:r w:rsidRPr="00D00ABD">
        <w:rPr>
          <w:spacing w:val="1"/>
          <w:lang w:val="en-GB"/>
        </w:rPr>
        <w:t xml:space="preserve"> </w:t>
      </w:r>
      <w:r w:rsidRPr="00D00ABD">
        <w:rPr>
          <w:lang w:val="en-GB"/>
        </w:rPr>
        <w:t>on</w:t>
      </w:r>
      <w:r w:rsidRPr="00D00ABD">
        <w:rPr>
          <w:spacing w:val="1"/>
          <w:lang w:val="en-GB"/>
        </w:rPr>
        <w:t xml:space="preserve"> </w:t>
      </w:r>
      <w:r w:rsidRPr="00D00ABD">
        <w:rPr>
          <w:lang w:val="en-GB"/>
        </w:rPr>
        <w:t>25</w:t>
      </w:r>
      <w:r w:rsidRPr="00D00ABD">
        <w:rPr>
          <w:spacing w:val="1"/>
          <w:lang w:val="en-GB"/>
        </w:rPr>
        <w:t xml:space="preserve"> </w:t>
      </w:r>
      <w:r w:rsidRPr="00D00ABD">
        <w:rPr>
          <w:lang w:val="en-GB"/>
        </w:rPr>
        <w:t>Au</w:t>
      </w:r>
      <w:r w:rsidRPr="00D00ABD">
        <w:rPr>
          <w:spacing w:val="-3"/>
          <w:lang w:val="en-GB"/>
        </w:rPr>
        <w:t>g</w:t>
      </w:r>
      <w:r w:rsidRPr="00D00ABD">
        <w:rPr>
          <w:lang w:val="en-GB"/>
        </w:rPr>
        <w:t>ust</w:t>
      </w:r>
      <w:r w:rsidRPr="00D00ABD">
        <w:rPr>
          <w:spacing w:val="2"/>
          <w:lang w:val="en-GB"/>
        </w:rPr>
        <w:t xml:space="preserve"> </w:t>
      </w:r>
      <w:r w:rsidRPr="00D00ABD">
        <w:rPr>
          <w:lang w:val="en-GB"/>
        </w:rPr>
        <w:t>20</w:t>
      </w:r>
      <w:r w:rsidRPr="00D00ABD">
        <w:rPr>
          <w:spacing w:val="2"/>
          <w:lang w:val="en-GB"/>
        </w:rPr>
        <w:t>1</w:t>
      </w:r>
      <w:r w:rsidRPr="00D00ABD">
        <w:rPr>
          <w:lang w:val="en-GB"/>
        </w:rPr>
        <w:t>7</w:t>
      </w:r>
      <w:r w:rsidRPr="00D00ABD">
        <w:rPr>
          <w:spacing w:val="1"/>
          <w:lang w:val="en-GB"/>
        </w:rPr>
        <w:t xml:space="preserve"> </w:t>
      </w:r>
      <w:r w:rsidRPr="00D00ABD">
        <w:rPr>
          <w:spacing w:val="-1"/>
          <w:lang w:val="en-GB"/>
        </w:rPr>
        <w:t>a</w:t>
      </w:r>
      <w:r w:rsidRPr="00D00ABD">
        <w:rPr>
          <w:lang w:val="en-GB"/>
        </w:rPr>
        <w:t>nd</w:t>
      </w:r>
      <w:r w:rsidRPr="00D00ABD">
        <w:rPr>
          <w:spacing w:val="1"/>
          <w:lang w:val="en-GB"/>
        </w:rPr>
        <w:t xml:space="preserve"> </w:t>
      </w:r>
      <w:r w:rsidRPr="00D00ABD">
        <w:rPr>
          <w:spacing w:val="-1"/>
          <w:lang w:val="en-GB"/>
        </w:rPr>
        <w:t>e</w:t>
      </w:r>
      <w:r w:rsidRPr="00D00ABD">
        <w:rPr>
          <w:lang w:val="en-GB"/>
        </w:rPr>
        <w:t>nte</w:t>
      </w:r>
      <w:r w:rsidRPr="00D00ABD">
        <w:rPr>
          <w:spacing w:val="-1"/>
          <w:lang w:val="en-GB"/>
        </w:rPr>
        <w:t>re</w:t>
      </w:r>
      <w:r w:rsidRPr="00D00ABD">
        <w:rPr>
          <w:lang w:val="en-GB"/>
        </w:rPr>
        <w:t>d</w:t>
      </w:r>
      <w:r w:rsidRPr="00D00ABD">
        <w:rPr>
          <w:spacing w:val="1"/>
          <w:lang w:val="en-GB"/>
        </w:rPr>
        <w:t xml:space="preserve"> </w:t>
      </w:r>
      <w:r w:rsidRPr="00D00ABD">
        <w:rPr>
          <w:lang w:val="en-GB"/>
        </w:rPr>
        <w:t>in</w:t>
      </w:r>
      <w:r w:rsidRPr="00D00ABD">
        <w:rPr>
          <w:spacing w:val="1"/>
          <w:lang w:val="en-GB"/>
        </w:rPr>
        <w:t>t</w:t>
      </w:r>
      <w:r w:rsidRPr="00D00ABD">
        <w:rPr>
          <w:lang w:val="en-GB"/>
        </w:rPr>
        <w:t>o</w:t>
      </w:r>
      <w:r w:rsidRPr="00D00ABD">
        <w:rPr>
          <w:spacing w:val="1"/>
          <w:lang w:val="en-GB"/>
        </w:rPr>
        <w:t xml:space="preserve"> </w:t>
      </w:r>
      <w:r w:rsidRPr="00D00ABD">
        <w:rPr>
          <w:lang w:val="en-GB"/>
        </w:rPr>
        <w:t>fo</w:t>
      </w:r>
      <w:r w:rsidRPr="00D00ABD">
        <w:rPr>
          <w:spacing w:val="1"/>
          <w:lang w:val="en-GB"/>
        </w:rPr>
        <w:t>r</w:t>
      </w:r>
      <w:r w:rsidRPr="00D00ABD">
        <w:rPr>
          <w:spacing w:val="-1"/>
          <w:lang w:val="en-GB"/>
        </w:rPr>
        <w:t>c</w:t>
      </w:r>
      <w:r w:rsidRPr="00D00ABD">
        <w:rPr>
          <w:lang w:val="en-GB"/>
        </w:rPr>
        <w:t>e</w:t>
      </w:r>
      <w:r w:rsidRPr="00D00ABD">
        <w:rPr>
          <w:spacing w:val="3"/>
          <w:lang w:val="en-GB"/>
        </w:rPr>
        <w:t xml:space="preserve"> </w:t>
      </w:r>
      <w:r w:rsidRPr="00D00ABD">
        <w:rPr>
          <w:lang w:val="en-GB"/>
        </w:rPr>
        <w:t>on</w:t>
      </w:r>
      <w:r w:rsidRPr="00D00ABD">
        <w:rPr>
          <w:spacing w:val="1"/>
          <w:lang w:val="en-GB"/>
        </w:rPr>
        <w:t xml:space="preserve"> </w:t>
      </w:r>
      <w:r w:rsidRPr="00D00ABD">
        <w:rPr>
          <w:lang w:val="en-GB"/>
        </w:rPr>
        <w:t>14</w:t>
      </w:r>
      <w:r w:rsidRPr="00D00ABD">
        <w:rPr>
          <w:spacing w:val="1"/>
          <w:lang w:val="en-GB"/>
        </w:rPr>
        <w:t xml:space="preserve"> S</w:t>
      </w:r>
      <w:r w:rsidRPr="00D00ABD">
        <w:rPr>
          <w:spacing w:val="-1"/>
          <w:lang w:val="en-GB"/>
        </w:rPr>
        <w:t>e</w:t>
      </w:r>
      <w:r w:rsidRPr="00D00ABD">
        <w:rPr>
          <w:lang w:val="en-GB"/>
        </w:rPr>
        <w:t>ptemb</w:t>
      </w:r>
      <w:r w:rsidRPr="00D00ABD">
        <w:rPr>
          <w:spacing w:val="-1"/>
          <w:lang w:val="en-GB"/>
        </w:rPr>
        <w:t>e</w:t>
      </w:r>
      <w:r w:rsidRPr="00D00ABD">
        <w:rPr>
          <w:lang w:val="en-GB"/>
        </w:rPr>
        <w:t>r 2017. The</w:t>
      </w:r>
      <w:r w:rsidRPr="00D00ABD">
        <w:rPr>
          <w:spacing w:val="4"/>
          <w:lang w:val="en-GB"/>
        </w:rPr>
        <w:t xml:space="preserve"> </w:t>
      </w:r>
      <w:r w:rsidR="005824B2" w:rsidRPr="00D00ABD">
        <w:rPr>
          <w:spacing w:val="1"/>
          <w:lang w:val="en-GB"/>
        </w:rPr>
        <w:t>SOGL</w:t>
      </w:r>
      <w:r w:rsidRPr="00D00ABD">
        <w:rPr>
          <w:lang w:val="en-GB"/>
        </w:rPr>
        <w:t xml:space="preserve"> s</w:t>
      </w:r>
      <w:r w:rsidRPr="00D00ABD">
        <w:rPr>
          <w:spacing w:val="-1"/>
          <w:lang w:val="en-GB"/>
        </w:rPr>
        <w:t>e</w:t>
      </w:r>
      <w:r w:rsidRPr="00D00ABD">
        <w:rPr>
          <w:lang w:val="en-GB"/>
        </w:rPr>
        <w:t>ts</w:t>
      </w:r>
      <w:r w:rsidRPr="00D00ABD">
        <w:rPr>
          <w:spacing w:val="6"/>
          <w:lang w:val="en-GB"/>
        </w:rPr>
        <w:t xml:space="preserve"> </w:t>
      </w:r>
      <w:r w:rsidRPr="00D00ABD">
        <w:rPr>
          <w:lang w:val="en-GB"/>
        </w:rPr>
        <w:t>out</w:t>
      </w:r>
      <w:r w:rsidRPr="00D00ABD">
        <w:rPr>
          <w:spacing w:val="5"/>
          <w:lang w:val="en-GB"/>
        </w:rPr>
        <w:t xml:space="preserve"> </w:t>
      </w:r>
      <w:r w:rsidRPr="00D00ABD">
        <w:rPr>
          <w:lang w:val="en-GB"/>
        </w:rPr>
        <w:t>guidelines</w:t>
      </w:r>
      <w:r w:rsidRPr="00D00ABD">
        <w:rPr>
          <w:spacing w:val="5"/>
          <w:lang w:val="en-GB"/>
        </w:rPr>
        <w:t xml:space="preserve"> </w:t>
      </w:r>
      <w:r w:rsidRPr="00D00ABD">
        <w:rPr>
          <w:lang w:val="en-GB"/>
        </w:rPr>
        <w:t>r</w:t>
      </w:r>
      <w:r w:rsidRPr="00D00ABD">
        <w:rPr>
          <w:spacing w:val="-2"/>
          <w:lang w:val="en-GB"/>
        </w:rPr>
        <w:t>e</w:t>
      </w:r>
      <w:r w:rsidRPr="00D00ABD">
        <w:rPr>
          <w:lang w:val="en-GB"/>
        </w:rPr>
        <w:t>g</w:t>
      </w:r>
      <w:r w:rsidRPr="00D00ABD">
        <w:rPr>
          <w:spacing w:val="-1"/>
          <w:lang w:val="en-GB"/>
        </w:rPr>
        <w:t>a</w:t>
      </w:r>
      <w:r w:rsidRPr="00D00ABD">
        <w:rPr>
          <w:lang w:val="en-GB"/>
        </w:rPr>
        <w:t>rdi</w:t>
      </w:r>
      <w:r w:rsidRPr="00D00ABD">
        <w:rPr>
          <w:spacing w:val="2"/>
          <w:lang w:val="en-GB"/>
        </w:rPr>
        <w:t>n</w:t>
      </w:r>
      <w:r w:rsidRPr="00D00ABD">
        <w:rPr>
          <w:lang w:val="en-GB"/>
        </w:rPr>
        <w:t>g</w:t>
      </w:r>
      <w:r w:rsidRPr="00D00ABD">
        <w:rPr>
          <w:spacing w:val="3"/>
          <w:lang w:val="en-GB"/>
        </w:rPr>
        <w:t xml:space="preserve"> </w:t>
      </w:r>
      <w:r w:rsidRPr="00D00ABD">
        <w:rPr>
          <w:lang w:val="en-GB"/>
        </w:rPr>
        <w:t>r</w:t>
      </w:r>
      <w:r w:rsidRPr="00D00ABD">
        <w:rPr>
          <w:spacing w:val="-2"/>
          <w:lang w:val="en-GB"/>
        </w:rPr>
        <w:t>e</w:t>
      </w:r>
      <w:r w:rsidRPr="00D00ABD">
        <w:rPr>
          <w:lang w:val="en-GB"/>
        </w:rPr>
        <w:t>q</w:t>
      </w:r>
      <w:r w:rsidRPr="00D00ABD">
        <w:rPr>
          <w:spacing w:val="2"/>
          <w:lang w:val="en-GB"/>
        </w:rPr>
        <w:t>u</w:t>
      </w:r>
      <w:r w:rsidRPr="00D00ABD">
        <w:rPr>
          <w:lang w:val="en-GB"/>
        </w:rPr>
        <w:t>ir</w:t>
      </w:r>
      <w:r w:rsidRPr="00D00ABD">
        <w:rPr>
          <w:spacing w:val="-1"/>
          <w:lang w:val="en-GB"/>
        </w:rPr>
        <w:t>e</w:t>
      </w:r>
      <w:r w:rsidRPr="00D00ABD">
        <w:rPr>
          <w:lang w:val="en-GB"/>
        </w:rPr>
        <w:t>ments</w:t>
      </w:r>
      <w:r w:rsidRPr="00D00ABD">
        <w:rPr>
          <w:spacing w:val="5"/>
          <w:lang w:val="en-GB"/>
        </w:rPr>
        <w:t xml:space="preserve"> </w:t>
      </w:r>
      <w:r w:rsidRPr="00D00ABD">
        <w:rPr>
          <w:spacing w:val="-1"/>
          <w:lang w:val="en-GB"/>
        </w:rPr>
        <w:t>a</w:t>
      </w:r>
      <w:r w:rsidRPr="00D00ABD">
        <w:rPr>
          <w:lang w:val="en-GB"/>
        </w:rPr>
        <w:t>nd</w:t>
      </w:r>
      <w:r w:rsidRPr="00D00ABD">
        <w:rPr>
          <w:spacing w:val="9"/>
          <w:lang w:val="en-GB"/>
        </w:rPr>
        <w:t xml:space="preserve"> </w:t>
      </w:r>
      <w:r w:rsidRPr="00D00ABD">
        <w:rPr>
          <w:lang w:val="en-GB"/>
        </w:rPr>
        <w:t>prin</w:t>
      </w:r>
      <w:r w:rsidRPr="00D00ABD">
        <w:rPr>
          <w:spacing w:val="-1"/>
          <w:lang w:val="en-GB"/>
        </w:rPr>
        <w:t>c</w:t>
      </w:r>
      <w:r w:rsidRPr="00D00ABD">
        <w:rPr>
          <w:lang w:val="en-GB"/>
        </w:rPr>
        <w:t>ip</w:t>
      </w:r>
      <w:r w:rsidRPr="00D00ABD">
        <w:rPr>
          <w:spacing w:val="1"/>
          <w:lang w:val="en-GB"/>
        </w:rPr>
        <w:t>l</w:t>
      </w:r>
      <w:r w:rsidRPr="00D00ABD">
        <w:rPr>
          <w:spacing w:val="-1"/>
          <w:lang w:val="en-GB"/>
        </w:rPr>
        <w:t>e</w:t>
      </w:r>
      <w:r w:rsidRPr="00D00ABD">
        <w:rPr>
          <w:lang w:val="en-GB"/>
        </w:rPr>
        <w:t>s</w:t>
      </w:r>
      <w:r w:rsidRPr="00D00ABD">
        <w:rPr>
          <w:spacing w:val="7"/>
          <w:lang w:val="en-GB"/>
        </w:rPr>
        <w:t xml:space="preserve"> </w:t>
      </w:r>
      <w:r w:rsidRPr="00D00ABD">
        <w:rPr>
          <w:spacing w:val="-1"/>
          <w:lang w:val="en-GB"/>
        </w:rPr>
        <w:t>c</w:t>
      </w:r>
      <w:r w:rsidRPr="00D00ABD">
        <w:rPr>
          <w:lang w:val="en-GB"/>
        </w:rPr>
        <w:t>on</w:t>
      </w:r>
      <w:r w:rsidRPr="00D00ABD">
        <w:rPr>
          <w:spacing w:val="-1"/>
          <w:lang w:val="en-GB"/>
        </w:rPr>
        <w:t>ce</w:t>
      </w:r>
      <w:r w:rsidRPr="00D00ABD">
        <w:rPr>
          <w:lang w:val="en-GB"/>
        </w:rPr>
        <w:t>rni</w:t>
      </w:r>
      <w:r w:rsidRPr="00D00ABD">
        <w:rPr>
          <w:spacing w:val="2"/>
          <w:lang w:val="en-GB"/>
        </w:rPr>
        <w:t>n</w:t>
      </w:r>
      <w:r w:rsidRPr="00D00ABD">
        <w:rPr>
          <w:lang w:val="en-GB"/>
        </w:rPr>
        <w:t>g</w:t>
      </w:r>
      <w:r w:rsidRPr="00D00ABD">
        <w:rPr>
          <w:spacing w:val="3"/>
          <w:lang w:val="en-GB"/>
        </w:rPr>
        <w:t xml:space="preserve"> </w:t>
      </w:r>
      <w:r w:rsidRPr="00D00ABD">
        <w:rPr>
          <w:lang w:val="en-GB"/>
        </w:rPr>
        <w:t>op</w:t>
      </w:r>
      <w:r w:rsidRPr="00D00ABD">
        <w:rPr>
          <w:spacing w:val="-1"/>
          <w:lang w:val="en-GB"/>
        </w:rPr>
        <w:t>e</w:t>
      </w:r>
      <w:r w:rsidRPr="00D00ABD">
        <w:rPr>
          <w:spacing w:val="1"/>
          <w:lang w:val="en-GB"/>
        </w:rPr>
        <w:t>r</w:t>
      </w:r>
      <w:r w:rsidRPr="00D00ABD">
        <w:rPr>
          <w:spacing w:val="-1"/>
          <w:lang w:val="en-GB"/>
        </w:rPr>
        <w:t>a</w:t>
      </w:r>
      <w:r w:rsidRPr="00D00ABD">
        <w:rPr>
          <w:lang w:val="en-GB"/>
        </w:rPr>
        <w:t>t</w:t>
      </w:r>
      <w:r w:rsidRPr="00D00ABD">
        <w:rPr>
          <w:spacing w:val="1"/>
          <w:lang w:val="en-GB"/>
        </w:rPr>
        <w:t>i</w:t>
      </w:r>
      <w:r w:rsidRPr="00D00ABD">
        <w:rPr>
          <w:lang w:val="en-GB"/>
        </w:rPr>
        <w:t>on</w:t>
      </w:r>
      <w:r w:rsidRPr="00D00ABD">
        <w:rPr>
          <w:spacing w:val="-1"/>
          <w:lang w:val="en-GB"/>
        </w:rPr>
        <w:t>a</w:t>
      </w:r>
      <w:r w:rsidRPr="00D00ABD">
        <w:rPr>
          <w:lang w:val="en-GB"/>
        </w:rPr>
        <w:t>l s</w:t>
      </w:r>
      <w:r w:rsidRPr="00D00ABD">
        <w:rPr>
          <w:spacing w:val="-1"/>
          <w:lang w:val="en-GB"/>
        </w:rPr>
        <w:t>ec</w:t>
      </w:r>
      <w:r w:rsidRPr="00D00ABD">
        <w:rPr>
          <w:lang w:val="en-GB"/>
        </w:rPr>
        <w:t>uri</w:t>
      </w:r>
      <w:r w:rsidRPr="00D00ABD">
        <w:rPr>
          <w:spacing w:val="5"/>
          <w:lang w:val="en-GB"/>
        </w:rPr>
        <w:t>t</w:t>
      </w:r>
      <w:r w:rsidRPr="00D00ABD">
        <w:rPr>
          <w:spacing w:val="-5"/>
          <w:lang w:val="en-GB"/>
        </w:rPr>
        <w:t>y</w:t>
      </w:r>
      <w:r w:rsidRPr="00D00ABD">
        <w:rPr>
          <w:lang w:val="en-GB"/>
        </w:rPr>
        <w:t>,</w:t>
      </w:r>
      <w:r w:rsidRPr="00D00ABD">
        <w:rPr>
          <w:spacing w:val="3"/>
          <w:lang w:val="en-GB"/>
        </w:rPr>
        <w:t xml:space="preserve"> </w:t>
      </w:r>
      <w:r w:rsidRPr="00D00ABD">
        <w:rPr>
          <w:spacing w:val="-1"/>
          <w:lang w:val="en-GB"/>
        </w:rPr>
        <w:t>a</w:t>
      </w:r>
      <w:r w:rsidRPr="00D00ABD">
        <w:rPr>
          <w:lang w:val="en-GB"/>
        </w:rPr>
        <w:t>s</w:t>
      </w:r>
      <w:r w:rsidRPr="00D00ABD">
        <w:rPr>
          <w:spacing w:val="3"/>
          <w:lang w:val="en-GB"/>
        </w:rPr>
        <w:t xml:space="preserve"> </w:t>
      </w:r>
      <w:r w:rsidRPr="00D00ABD">
        <w:rPr>
          <w:lang w:val="en-GB"/>
        </w:rPr>
        <w:t>w</w:t>
      </w:r>
      <w:r w:rsidRPr="00D00ABD">
        <w:rPr>
          <w:spacing w:val="-1"/>
          <w:lang w:val="en-GB"/>
        </w:rPr>
        <w:t>e</w:t>
      </w:r>
      <w:r w:rsidRPr="00D00ABD">
        <w:rPr>
          <w:lang w:val="en-GB"/>
        </w:rPr>
        <w:t>ll</w:t>
      </w:r>
      <w:r w:rsidRPr="00D00ABD">
        <w:rPr>
          <w:spacing w:val="4"/>
          <w:lang w:val="en-GB"/>
        </w:rPr>
        <w:t xml:space="preserve"> </w:t>
      </w:r>
      <w:r w:rsidRPr="00D00ABD">
        <w:rPr>
          <w:spacing w:val="-1"/>
          <w:lang w:val="en-GB"/>
        </w:rPr>
        <w:t>a</w:t>
      </w:r>
      <w:r w:rsidRPr="00D00ABD">
        <w:rPr>
          <w:lang w:val="en-GB"/>
        </w:rPr>
        <w:t>s</w:t>
      </w:r>
      <w:r w:rsidRPr="00D00ABD">
        <w:rPr>
          <w:spacing w:val="3"/>
          <w:lang w:val="en-GB"/>
        </w:rPr>
        <w:t xml:space="preserve"> </w:t>
      </w:r>
      <w:r w:rsidRPr="00D00ABD">
        <w:rPr>
          <w:lang w:val="en-GB"/>
        </w:rPr>
        <w:t>the</w:t>
      </w:r>
      <w:r w:rsidRPr="00D00ABD">
        <w:rPr>
          <w:spacing w:val="2"/>
          <w:lang w:val="en-GB"/>
        </w:rPr>
        <w:t xml:space="preserve"> </w:t>
      </w:r>
      <w:r w:rsidRPr="00D00ABD">
        <w:rPr>
          <w:spacing w:val="1"/>
          <w:lang w:val="en-GB"/>
        </w:rPr>
        <w:t>r</w:t>
      </w:r>
      <w:r w:rsidRPr="00D00ABD">
        <w:rPr>
          <w:lang w:val="en-GB"/>
        </w:rPr>
        <w:t>ules</w:t>
      </w:r>
      <w:r w:rsidRPr="00D00ABD">
        <w:rPr>
          <w:spacing w:val="3"/>
          <w:lang w:val="en-GB"/>
        </w:rPr>
        <w:t xml:space="preserve"> </w:t>
      </w:r>
      <w:r w:rsidR="00651599" w:rsidRPr="00D00ABD">
        <w:rPr>
          <w:spacing w:val="-1"/>
          <w:lang w:val="en-GB"/>
        </w:rPr>
        <w:t xml:space="preserve">for </w:t>
      </w:r>
      <w:r w:rsidR="00651599" w:rsidRPr="00D00ABD">
        <w:rPr>
          <w:lang w:val="en-GB"/>
        </w:rPr>
        <w:t>determining common load-frequency control processes and control structures and to maintaining a frequency quality level of the synchronous area</w:t>
      </w:r>
      <w:r w:rsidR="005824B2" w:rsidRPr="00D00ABD">
        <w:rPr>
          <w:lang w:val="en-GB"/>
        </w:rPr>
        <w:t>.</w:t>
      </w:r>
    </w:p>
    <w:p w14:paraId="6C72E71B" w14:textId="762C233D" w:rsidR="00824C10" w:rsidRPr="00D00ABD" w:rsidRDefault="005824B2" w:rsidP="00FB2509">
      <w:pPr>
        <w:pStyle w:val="Paragrapgh-numbered"/>
        <w:rPr>
          <w:lang w:val="en-GB"/>
        </w:rPr>
      </w:pPr>
      <w:r w:rsidRPr="00D00ABD">
        <w:rPr>
          <w:lang w:val="en-GB"/>
        </w:rPr>
        <w:t>Article 118 of SOGL</w:t>
      </w:r>
      <w:r w:rsidR="00824C10" w:rsidRPr="00D00ABD">
        <w:rPr>
          <w:spacing w:val="3"/>
          <w:lang w:val="en-GB"/>
        </w:rPr>
        <w:t xml:space="preserve"> </w:t>
      </w:r>
      <w:r w:rsidRPr="00D00ABD">
        <w:rPr>
          <w:spacing w:val="3"/>
          <w:lang w:val="en-GB"/>
        </w:rPr>
        <w:t xml:space="preserve">requires </w:t>
      </w:r>
      <w:r w:rsidR="00824C10" w:rsidRPr="00D00ABD">
        <w:rPr>
          <w:lang w:val="en-GB"/>
        </w:rPr>
        <w:t>t</w:t>
      </w:r>
      <w:r w:rsidR="00824C10" w:rsidRPr="00D00ABD">
        <w:rPr>
          <w:spacing w:val="3"/>
          <w:lang w:val="en-GB"/>
        </w:rPr>
        <w:t>h</w:t>
      </w:r>
      <w:r w:rsidR="00824C10" w:rsidRPr="00D00ABD">
        <w:rPr>
          <w:lang w:val="en-GB"/>
        </w:rPr>
        <w:t>e</w:t>
      </w:r>
      <w:r w:rsidR="00824C10" w:rsidRPr="00D00ABD">
        <w:rPr>
          <w:spacing w:val="2"/>
          <w:lang w:val="en-GB"/>
        </w:rPr>
        <w:t xml:space="preserve"> </w:t>
      </w:r>
      <w:r w:rsidR="00824C10" w:rsidRPr="00D00ABD">
        <w:rPr>
          <w:lang w:val="en-GB"/>
        </w:rPr>
        <w:t>d</w:t>
      </w:r>
      <w:r w:rsidR="00824C10" w:rsidRPr="00D00ABD">
        <w:rPr>
          <w:spacing w:val="-1"/>
          <w:lang w:val="en-GB"/>
        </w:rPr>
        <w:t>e</w:t>
      </w:r>
      <w:r w:rsidR="00824C10" w:rsidRPr="00D00ABD">
        <w:rPr>
          <w:spacing w:val="2"/>
          <w:lang w:val="en-GB"/>
        </w:rPr>
        <w:t>v</w:t>
      </w:r>
      <w:r w:rsidR="00824C10" w:rsidRPr="00D00ABD">
        <w:rPr>
          <w:spacing w:val="-1"/>
          <w:lang w:val="en-GB"/>
        </w:rPr>
        <w:t>e</w:t>
      </w:r>
      <w:r w:rsidR="00824C10" w:rsidRPr="00D00ABD">
        <w:rPr>
          <w:lang w:val="en-GB"/>
        </w:rPr>
        <w:t>lop</w:t>
      </w:r>
      <w:r w:rsidR="00824C10" w:rsidRPr="00D00ABD">
        <w:rPr>
          <w:spacing w:val="1"/>
          <w:lang w:val="en-GB"/>
        </w:rPr>
        <w:t>m</w:t>
      </w:r>
      <w:r w:rsidR="00824C10" w:rsidRPr="00D00ABD">
        <w:rPr>
          <w:spacing w:val="-1"/>
          <w:lang w:val="en-GB"/>
        </w:rPr>
        <w:t>e</w:t>
      </w:r>
      <w:r w:rsidR="00824C10" w:rsidRPr="00D00ABD">
        <w:rPr>
          <w:lang w:val="en-GB"/>
        </w:rPr>
        <w:t>nt</w:t>
      </w:r>
      <w:r w:rsidR="00824C10" w:rsidRPr="00D00ABD">
        <w:rPr>
          <w:spacing w:val="3"/>
          <w:lang w:val="en-GB"/>
        </w:rPr>
        <w:t xml:space="preserve"> </w:t>
      </w:r>
      <w:r w:rsidR="00824C10" w:rsidRPr="00D00ABD">
        <w:rPr>
          <w:lang w:val="en-GB"/>
        </w:rPr>
        <w:t>of</w:t>
      </w:r>
      <w:r w:rsidR="00824C10" w:rsidRPr="00D00ABD">
        <w:rPr>
          <w:spacing w:val="2"/>
          <w:lang w:val="en-GB"/>
        </w:rPr>
        <w:t xml:space="preserve"> </w:t>
      </w:r>
      <w:r w:rsidRPr="00D00ABD">
        <w:rPr>
          <w:spacing w:val="3"/>
          <w:lang w:val="en-GB"/>
        </w:rPr>
        <w:t>Synchronous Area Operational</w:t>
      </w:r>
      <w:r w:rsidR="00651599" w:rsidRPr="00D00ABD">
        <w:rPr>
          <w:spacing w:val="3"/>
          <w:lang w:val="en-GB"/>
        </w:rPr>
        <w:t xml:space="preserve"> </w:t>
      </w:r>
      <w:r w:rsidR="0051359E" w:rsidRPr="00D00ABD">
        <w:rPr>
          <w:spacing w:val="3"/>
          <w:lang w:val="en-GB"/>
        </w:rPr>
        <w:t xml:space="preserve">Methodologies </w:t>
      </w:r>
      <w:r w:rsidRPr="00D00ABD">
        <w:rPr>
          <w:lang w:val="en-GB"/>
        </w:rPr>
        <w:t>(</w:t>
      </w:r>
      <w:r w:rsidR="00AA34F5" w:rsidRPr="00D00ABD">
        <w:rPr>
          <w:lang w:val="en-GB"/>
        </w:rPr>
        <w:t>hereafter</w:t>
      </w:r>
      <w:r w:rsidRPr="00D00ABD">
        <w:rPr>
          <w:lang w:val="en-GB"/>
        </w:rPr>
        <w:t xml:space="preserve"> </w:t>
      </w:r>
      <w:r w:rsidRPr="00D00ABD">
        <w:rPr>
          <w:spacing w:val="3"/>
          <w:lang w:val="en-GB"/>
        </w:rPr>
        <w:t>"</w:t>
      </w:r>
      <w:r w:rsidR="0051359E" w:rsidRPr="00D00ABD">
        <w:rPr>
          <w:b/>
          <w:bCs/>
          <w:lang w:val="en-GB"/>
        </w:rPr>
        <w:t>SAOM</w:t>
      </w:r>
      <w:r w:rsidRPr="00D00ABD">
        <w:rPr>
          <w:spacing w:val="-1"/>
          <w:lang w:val="en-GB"/>
        </w:rPr>
        <w:t>")</w:t>
      </w:r>
      <w:r w:rsidR="00824C10" w:rsidRPr="00D00ABD">
        <w:rPr>
          <w:lang w:val="en-GB"/>
        </w:rPr>
        <w:t xml:space="preserve"> for</w:t>
      </w:r>
      <w:r w:rsidR="00824C10" w:rsidRPr="00D00ABD">
        <w:rPr>
          <w:spacing w:val="4"/>
          <w:lang w:val="en-GB"/>
        </w:rPr>
        <w:t xml:space="preserve"> </w:t>
      </w:r>
      <w:r w:rsidR="00651599" w:rsidRPr="00D00ABD">
        <w:rPr>
          <w:spacing w:val="4"/>
          <w:lang w:val="en-GB"/>
        </w:rPr>
        <w:t xml:space="preserve">Great Britain </w:t>
      </w:r>
      <w:r w:rsidR="00651599" w:rsidRPr="00D00ABD">
        <w:rPr>
          <w:spacing w:val="-1"/>
          <w:lang w:val="en-GB"/>
        </w:rPr>
        <w:t xml:space="preserve">by </w:t>
      </w:r>
      <w:r w:rsidR="00824C10" w:rsidRPr="00D00ABD">
        <w:rPr>
          <w:lang w:val="en-GB"/>
        </w:rPr>
        <w:t>12</w:t>
      </w:r>
      <w:r w:rsidR="00824C10" w:rsidRPr="00D00ABD">
        <w:rPr>
          <w:spacing w:val="-5"/>
          <w:lang w:val="en-GB"/>
        </w:rPr>
        <w:t xml:space="preserve"> </w:t>
      </w:r>
      <w:r w:rsidR="00824C10" w:rsidRPr="00D00ABD">
        <w:rPr>
          <w:spacing w:val="1"/>
          <w:lang w:val="en-GB"/>
        </w:rPr>
        <w:t>m</w:t>
      </w:r>
      <w:r w:rsidR="00824C10" w:rsidRPr="00D00ABD">
        <w:rPr>
          <w:lang w:val="en-GB"/>
        </w:rPr>
        <w:t>onths</w:t>
      </w:r>
      <w:r w:rsidR="00824C10" w:rsidRPr="00D00ABD">
        <w:rPr>
          <w:spacing w:val="-4"/>
          <w:lang w:val="en-GB"/>
        </w:rPr>
        <w:t xml:space="preserve"> </w:t>
      </w:r>
      <w:r w:rsidR="00824C10" w:rsidRPr="00D00ABD">
        <w:rPr>
          <w:spacing w:val="-1"/>
          <w:lang w:val="en-GB"/>
        </w:rPr>
        <w:t>a</w:t>
      </w:r>
      <w:r w:rsidR="00824C10" w:rsidRPr="00D00ABD">
        <w:rPr>
          <w:lang w:val="en-GB"/>
        </w:rPr>
        <w:t>ft</w:t>
      </w:r>
      <w:r w:rsidR="00824C10" w:rsidRPr="00D00ABD">
        <w:rPr>
          <w:spacing w:val="-1"/>
          <w:lang w:val="en-GB"/>
        </w:rPr>
        <w:t>e</w:t>
      </w:r>
      <w:r w:rsidR="00824C10" w:rsidRPr="00D00ABD">
        <w:rPr>
          <w:lang w:val="en-GB"/>
        </w:rPr>
        <w:t>r</w:t>
      </w:r>
      <w:r w:rsidR="00824C10" w:rsidRPr="00D00ABD">
        <w:rPr>
          <w:spacing w:val="-6"/>
          <w:lang w:val="en-GB"/>
        </w:rPr>
        <w:t xml:space="preserve"> </w:t>
      </w:r>
      <w:r w:rsidR="00824C10" w:rsidRPr="00D00ABD">
        <w:rPr>
          <w:spacing w:val="-1"/>
          <w:lang w:val="en-GB"/>
        </w:rPr>
        <w:t>e</w:t>
      </w:r>
      <w:r w:rsidR="00824C10" w:rsidRPr="00D00ABD">
        <w:rPr>
          <w:lang w:val="en-GB"/>
        </w:rPr>
        <w:t>n</w:t>
      </w:r>
      <w:r w:rsidR="00824C10" w:rsidRPr="00D00ABD">
        <w:rPr>
          <w:spacing w:val="3"/>
          <w:lang w:val="en-GB"/>
        </w:rPr>
        <w:t>t</w:t>
      </w:r>
      <w:r w:rsidR="00824C10" w:rsidRPr="00D00ABD">
        <w:rPr>
          <w:spacing w:val="4"/>
          <w:lang w:val="en-GB"/>
        </w:rPr>
        <w:t>r</w:t>
      </w:r>
      <w:r w:rsidR="00824C10" w:rsidRPr="00D00ABD">
        <w:rPr>
          <w:lang w:val="en-GB"/>
        </w:rPr>
        <w:t>y</w:t>
      </w:r>
      <w:r w:rsidR="00824C10" w:rsidRPr="00D00ABD">
        <w:rPr>
          <w:spacing w:val="-10"/>
          <w:lang w:val="en-GB"/>
        </w:rPr>
        <w:t xml:space="preserve"> </w:t>
      </w:r>
      <w:r w:rsidR="00824C10" w:rsidRPr="00D00ABD">
        <w:rPr>
          <w:lang w:val="en-GB"/>
        </w:rPr>
        <w:t>in</w:t>
      </w:r>
      <w:r w:rsidR="00824C10" w:rsidRPr="00D00ABD">
        <w:rPr>
          <w:spacing w:val="1"/>
          <w:lang w:val="en-GB"/>
        </w:rPr>
        <w:t>t</w:t>
      </w:r>
      <w:r w:rsidR="00824C10" w:rsidRPr="00D00ABD">
        <w:rPr>
          <w:lang w:val="en-GB"/>
        </w:rPr>
        <w:t>o</w:t>
      </w:r>
      <w:r w:rsidR="00824C10" w:rsidRPr="00D00ABD">
        <w:rPr>
          <w:spacing w:val="-5"/>
          <w:lang w:val="en-GB"/>
        </w:rPr>
        <w:t xml:space="preserve"> </w:t>
      </w:r>
      <w:r w:rsidR="00824C10" w:rsidRPr="00D00ABD">
        <w:rPr>
          <w:lang w:val="en-GB"/>
        </w:rPr>
        <w:t>fo</w:t>
      </w:r>
      <w:r w:rsidR="00824C10" w:rsidRPr="00D00ABD">
        <w:rPr>
          <w:spacing w:val="-1"/>
          <w:lang w:val="en-GB"/>
        </w:rPr>
        <w:t>rc</w:t>
      </w:r>
      <w:r w:rsidR="00824C10" w:rsidRPr="00D00ABD">
        <w:rPr>
          <w:lang w:val="en-GB"/>
        </w:rPr>
        <w:t>e.</w:t>
      </w:r>
      <w:r w:rsidR="00824C10" w:rsidRPr="00D00ABD">
        <w:rPr>
          <w:spacing w:val="-3"/>
          <w:lang w:val="en-GB"/>
        </w:rPr>
        <w:t xml:space="preserve"> </w:t>
      </w:r>
      <w:r w:rsidR="00651599" w:rsidRPr="00D00ABD">
        <w:rPr>
          <w:spacing w:val="-3"/>
          <w:lang w:val="en-GB"/>
        </w:rPr>
        <w:t xml:space="preserve">Those elements of the </w:t>
      </w:r>
      <w:r w:rsidR="0051359E" w:rsidRPr="00D00ABD">
        <w:rPr>
          <w:spacing w:val="-3"/>
          <w:lang w:val="en-GB"/>
        </w:rPr>
        <w:t>SAOM</w:t>
      </w:r>
      <w:r w:rsidR="00651599" w:rsidRPr="00D00ABD">
        <w:rPr>
          <w:spacing w:val="-3"/>
          <w:lang w:val="en-GB"/>
        </w:rPr>
        <w:t xml:space="preserve"> also referenced in </w:t>
      </w:r>
      <w:r w:rsidR="000222DE" w:rsidRPr="00D00ABD">
        <w:rPr>
          <w:spacing w:val="-3"/>
          <w:lang w:val="en-GB"/>
        </w:rPr>
        <w:t>Article</w:t>
      </w:r>
      <w:r w:rsidR="00651599" w:rsidRPr="00D00ABD">
        <w:rPr>
          <w:spacing w:val="-3"/>
          <w:lang w:val="en-GB"/>
        </w:rPr>
        <w:t xml:space="preserve"> 6(3) of the </w:t>
      </w:r>
      <w:r w:rsidRPr="00D00ABD">
        <w:rPr>
          <w:spacing w:val="-3"/>
          <w:lang w:val="en-GB"/>
        </w:rPr>
        <w:t>SOGL</w:t>
      </w:r>
      <w:r w:rsidR="00651599" w:rsidRPr="00D00ABD">
        <w:rPr>
          <w:spacing w:val="-3"/>
          <w:lang w:val="en-GB"/>
        </w:rPr>
        <w:t xml:space="preserve"> are </w:t>
      </w:r>
      <w:r w:rsidR="00824C10" w:rsidRPr="00D00ABD">
        <w:rPr>
          <w:lang w:val="en-GB"/>
        </w:rPr>
        <w:t>subj</w:t>
      </w:r>
      <w:r w:rsidR="00824C10" w:rsidRPr="00D00ABD">
        <w:rPr>
          <w:spacing w:val="-1"/>
          <w:lang w:val="en-GB"/>
        </w:rPr>
        <w:t>ec</w:t>
      </w:r>
      <w:r w:rsidR="00824C10" w:rsidRPr="00D00ABD">
        <w:rPr>
          <w:lang w:val="en-GB"/>
        </w:rPr>
        <w:t>t</w:t>
      </w:r>
      <w:r w:rsidR="00824C10" w:rsidRPr="00D00ABD">
        <w:rPr>
          <w:spacing w:val="-4"/>
          <w:lang w:val="en-GB"/>
        </w:rPr>
        <w:t xml:space="preserve"> </w:t>
      </w:r>
      <w:r w:rsidR="00651599" w:rsidRPr="00D00ABD">
        <w:rPr>
          <w:lang w:val="en-GB"/>
        </w:rPr>
        <w:t xml:space="preserve">to </w:t>
      </w:r>
      <w:r w:rsidR="00824C10" w:rsidRPr="00D00ABD">
        <w:rPr>
          <w:lang w:val="en-GB"/>
        </w:rPr>
        <w:t>publ</w:t>
      </w:r>
      <w:r w:rsidR="00824C10" w:rsidRPr="00D00ABD">
        <w:rPr>
          <w:spacing w:val="1"/>
          <w:lang w:val="en-GB"/>
        </w:rPr>
        <w:t>i</w:t>
      </w:r>
      <w:r w:rsidR="00824C10" w:rsidRPr="00D00ABD">
        <w:rPr>
          <w:lang w:val="en-GB"/>
        </w:rPr>
        <w:t xml:space="preserve">c </w:t>
      </w:r>
      <w:r w:rsidR="00824C10" w:rsidRPr="00D00ABD">
        <w:rPr>
          <w:spacing w:val="-1"/>
          <w:lang w:val="en-GB"/>
        </w:rPr>
        <w:t>c</w:t>
      </w:r>
      <w:r w:rsidR="00824C10" w:rsidRPr="00D00ABD">
        <w:rPr>
          <w:lang w:val="en-GB"/>
        </w:rPr>
        <w:t xml:space="preserve">onsultation </w:t>
      </w:r>
      <w:r w:rsidR="00824C10" w:rsidRPr="00D00ABD">
        <w:rPr>
          <w:spacing w:val="1"/>
          <w:lang w:val="en-GB"/>
        </w:rPr>
        <w:t>i</w:t>
      </w:r>
      <w:r w:rsidR="00824C10" w:rsidRPr="00D00ABD">
        <w:rPr>
          <w:lang w:val="en-GB"/>
        </w:rPr>
        <w:t xml:space="preserve">n </w:t>
      </w:r>
      <w:r w:rsidR="00824C10" w:rsidRPr="00D00ABD">
        <w:rPr>
          <w:spacing w:val="-1"/>
          <w:lang w:val="en-GB"/>
        </w:rPr>
        <w:t>acc</w:t>
      </w:r>
      <w:r w:rsidR="00824C10" w:rsidRPr="00D00ABD">
        <w:rPr>
          <w:lang w:val="en-GB"/>
        </w:rPr>
        <w:t>or</w:t>
      </w:r>
      <w:r w:rsidR="00824C10" w:rsidRPr="00D00ABD">
        <w:rPr>
          <w:spacing w:val="1"/>
          <w:lang w:val="en-GB"/>
        </w:rPr>
        <w:t>d</w:t>
      </w:r>
      <w:r w:rsidR="00824C10" w:rsidRPr="00D00ABD">
        <w:rPr>
          <w:spacing w:val="-1"/>
          <w:lang w:val="en-GB"/>
        </w:rPr>
        <w:t>a</w:t>
      </w:r>
      <w:r w:rsidR="00824C10" w:rsidRPr="00D00ABD">
        <w:rPr>
          <w:lang w:val="en-GB"/>
        </w:rPr>
        <w:t>n</w:t>
      </w:r>
      <w:r w:rsidR="00824C10" w:rsidRPr="00D00ABD">
        <w:rPr>
          <w:spacing w:val="1"/>
          <w:lang w:val="en-GB"/>
        </w:rPr>
        <w:t>c</w:t>
      </w:r>
      <w:r w:rsidR="00824C10" w:rsidRPr="00D00ABD">
        <w:rPr>
          <w:lang w:val="en-GB"/>
        </w:rPr>
        <w:t>e</w:t>
      </w:r>
      <w:r w:rsidR="00824C10" w:rsidRPr="00D00ABD">
        <w:rPr>
          <w:spacing w:val="-1"/>
          <w:lang w:val="en-GB"/>
        </w:rPr>
        <w:t xml:space="preserve"> </w:t>
      </w:r>
      <w:r w:rsidR="00824C10" w:rsidRPr="00D00ABD">
        <w:rPr>
          <w:lang w:val="en-GB"/>
        </w:rPr>
        <w:t xml:space="preserve">with </w:t>
      </w:r>
      <w:r w:rsidR="000222DE" w:rsidRPr="00D00ABD">
        <w:rPr>
          <w:lang w:val="en-GB"/>
        </w:rPr>
        <w:t>Article</w:t>
      </w:r>
      <w:r w:rsidR="00824C10" w:rsidRPr="00D00ABD">
        <w:rPr>
          <w:lang w:val="en-GB"/>
        </w:rPr>
        <w:t xml:space="preserve"> 11 of</w:t>
      </w:r>
      <w:r w:rsidR="00824C10" w:rsidRPr="00D00ABD">
        <w:rPr>
          <w:spacing w:val="-1"/>
          <w:lang w:val="en-GB"/>
        </w:rPr>
        <w:t xml:space="preserve"> </w:t>
      </w:r>
      <w:r w:rsidR="00824C10" w:rsidRPr="00D00ABD">
        <w:rPr>
          <w:lang w:val="en-GB"/>
        </w:rPr>
        <w:t>t</w:t>
      </w:r>
      <w:r w:rsidR="00824C10" w:rsidRPr="00D00ABD">
        <w:rPr>
          <w:spacing w:val="3"/>
          <w:lang w:val="en-GB"/>
        </w:rPr>
        <w:t>h</w:t>
      </w:r>
      <w:r w:rsidR="00824C10" w:rsidRPr="00D00ABD">
        <w:rPr>
          <w:lang w:val="en-GB"/>
        </w:rPr>
        <w:t>e</w:t>
      </w:r>
      <w:r w:rsidR="00824C10" w:rsidRPr="00D00ABD">
        <w:rPr>
          <w:spacing w:val="-1"/>
          <w:lang w:val="en-GB"/>
        </w:rPr>
        <w:t xml:space="preserve"> </w:t>
      </w:r>
      <w:r w:rsidRPr="00D00ABD">
        <w:rPr>
          <w:spacing w:val="1"/>
          <w:lang w:val="en-GB"/>
        </w:rPr>
        <w:t>SOGL</w:t>
      </w:r>
      <w:r w:rsidR="00651599" w:rsidRPr="00D00ABD">
        <w:rPr>
          <w:spacing w:val="-3"/>
          <w:lang w:val="en-GB"/>
        </w:rPr>
        <w:t>, prior to NRA approval</w:t>
      </w:r>
      <w:r w:rsidR="00824C10" w:rsidRPr="00D00ABD">
        <w:rPr>
          <w:lang w:val="en-GB"/>
        </w:rPr>
        <w:t>.</w:t>
      </w:r>
    </w:p>
    <w:p w14:paraId="6C72E71C" w14:textId="1650DEF6" w:rsidR="00824C10" w:rsidRPr="00D00ABD" w:rsidRDefault="00824C10" w:rsidP="00FB2509">
      <w:pPr>
        <w:pStyle w:val="Paragrapgh-numbered"/>
        <w:rPr>
          <w:lang w:val="en-GB"/>
        </w:rPr>
      </w:pPr>
      <w:r w:rsidRPr="00D00ABD">
        <w:rPr>
          <w:lang w:val="en-GB"/>
        </w:rPr>
        <w:t>The</w:t>
      </w:r>
      <w:r w:rsidRPr="00D00ABD">
        <w:rPr>
          <w:spacing w:val="1"/>
          <w:lang w:val="en-GB"/>
        </w:rPr>
        <w:t xml:space="preserve"> </w:t>
      </w:r>
      <w:r w:rsidRPr="00D00ABD">
        <w:rPr>
          <w:lang w:val="en-GB"/>
        </w:rPr>
        <w:t>supporting d</w:t>
      </w:r>
      <w:r w:rsidRPr="00D00ABD">
        <w:rPr>
          <w:spacing w:val="2"/>
          <w:lang w:val="en-GB"/>
        </w:rPr>
        <w:t>o</w:t>
      </w:r>
      <w:r w:rsidRPr="00D00ABD">
        <w:rPr>
          <w:spacing w:val="-1"/>
          <w:lang w:val="en-GB"/>
        </w:rPr>
        <w:t>c</w:t>
      </w:r>
      <w:r w:rsidRPr="00D00ABD">
        <w:rPr>
          <w:lang w:val="en-GB"/>
        </w:rPr>
        <w:t>ume</w:t>
      </w:r>
      <w:r w:rsidRPr="00D00ABD">
        <w:rPr>
          <w:spacing w:val="2"/>
          <w:lang w:val="en-GB"/>
        </w:rPr>
        <w:t>n</w:t>
      </w:r>
      <w:r w:rsidRPr="00D00ABD">
        <w:rPr>
          <w:lang w:val="en-GB"/>
        </w:rPr>
        <w:t>t</w:t>
      </w:r>
      <w:r w:rsidRPr="00D00ABD">
        <w:rPr>
          <w:spacing w:val="3"/>
          <w:lang w:val="en-GB"/>
        </w:rPr>
        <w:t xml:space="preserve"> </w:t>
      </w:r>
      <w:r w:rsidRPr="00D00ABD">
        <w:rPr>
          <w:lang w:val="en-GB"/>
        </w:rPr>
        <w:t>h</w:t>
      </w:r>
      <w:r w:rsidRPr="00D00ABD">
        <w:rPr>
          <w:spacing w:val="-1"/>
          <w:lang w:val="en-GB"/>
        </w:rPr>
        <w:t>a</w:t>
      </w:r>
      <w:r w:rsidRPr="00D00ABD">
        <w:rPr>
          <w:lang w:val="en-GB"/>
        </w:rPr>
        <w:t>s</w:t>
      </w:r>
      <w:r w:rsidRPr="00D00ABD">
        <w:rPr>
          <w:spacing w:val="2"/>
          <w:lang w:val="en-GB"/>
        </w:rPr>
        <w:t xml:space="preserve"> </w:t>
      </w:r>
      <w:r w:rsidRPr="00D00ABD">
        <w:rPr>
          <w:lang w:val="en-GB"/>
        </w:rPr>
        <w:t>b</w:t>
      </w:r>
      <w:r w:rsidRPr="00D00ABD">
        <w:rPr>
          <w:spacing w:val="-1"/>
          <w:lang w:val="en-GB"/>
        </w:rPr>
        <w:t>ee</w:t>
      </w:r>
      <w:r w:rsidRPr="00D00ABD">
        <w:rPr>
          <w:lang w:val="en-GB"/>
        </w:rPr>
        <w:t>n</w:t>
      </w:r>
      <w:r w:rsidRPr="00D00ABD">
        <w:rPr>
          <w:spacing w:val="2"/>
          <w:lang w:val="en-GB"/>
        </w:rPr>
        <w:t xml:space="preserve"> </w:t>
      </w:r>
      <w:r w:rsidRPr="00D00ABD">
        <w:rPr>
          <w:lang w:val="en-GB"/>
        </w:rPr>
        <w:t>d</w:t>
      </w:r>
      <w:r w:rsidRPr="00D00ABD">
        <w:rPr>
          <w:spacing w:val="-1"/>
          <w:lang w:val="en-GB"/>
        </w:rPr>
        <w:t>e</w:t>
      </w:r>
      <w:r w:rsidRPr="00D00ABD">
        <w:rPr>
          <w:lang w:val="en-GB"/>
        </w:rPr>
        <w:t>v</w:t>
      </w:r>
      <w:r w:rsidRPr="00D00ABD">
        <w:rPr>
          <w:spacing w:val="-1"/>
          <w:lang w:val="en-GB"/>
        </w:rPr>
        <w:t>e</w:t>
      </w:r>
      <w:r w:rsidRPr="00D00ABD">
        <w:rPr>
          <w:lang w:val="en-GB"/>
        </w:rPr>
        <w:t>lo</w:t>
      </w:r>
      <w:r w:rsidRPr="00D00ABD">
        <w:rPr>
          <w:spacing w:val="3"/>
          <w:lang w:val="en-GB"/>
        </w:rPr>
        <w:t>p</w:t>
      </w:r>
      <w:r w:rsidRPr="00D00ABD">
        <w:rPr>
          <w:spacing w:val="-1"/>
          <w:lang w:val="en-GB"/>
        </w:rPr>
        <w:t>e</w:t>
      </w:r>
      <w:r w:rsidRPr="00D00ABD">
        <w:rPr>
          <w:lang w:val="en-GB"/>
        </w:rPr>
        <w:t>d</w:t>
      </w:r>
      <w:r w:rsidRPr="00D00ABD">
        <w:rPr>
          <w:spacing w:val="2"/>
          <w:lang w:val="en-GB"/>
        </w:rPr>
        <w:t xml:space="preserve"> </w:t>
      </w:r>
      <w:r w:rsidRPr="00D00ABD">
        <w:rPr>
          <w:lang w:val="en-GB"/>
        </w:rPr>
        <w:t>to</w:t>
      </w:r>
      <w:r w:rsidRPr="00D00ABD">
        <w:rPr>
          <w:spacing w:val="2"/>
          <w:lang w:val="en-GB"/>
        </w:rPr>
        <w:t xml:space="preserve"> </w:t>
      </w:r>
      <w:r w:rsidRPr="00D00ABD">
        <w:rPr>
          <w:lang w:val="en-GB"/>
        </w:rPr>
        <w:t>provide</w:t>
      </w:r>
      <w:r w:rsidRPr="00D00ABD">
        <w:rPr>
          <w:spacing w:val="1"/>
          <w:lang w:val="en-GB"/>
        </w:rPr>
        <w:t xml:space="preserve"> </w:t>
      </w:r>
      <w:r w:rsidRPr="00D00ABD">
        <w:rPr>
          <w:lang w:val="en-GB"/>
        </w:rPr>
        <w:t>in</w:t>
      </w:r>
      <w:r w:rsidRPr="00D00ABD">
        <w:rPr>
          <w:spacing w:val="1"/>
          <w:lang w:val="en-GB"/>
        </w:rPr>
        <w:t>t</w:t>
      </w:r>
      <w:r w:rsidRPr="00D00ABD">
        <w:rPr>
          <w:spacing w:val="-1"/>
          <w:lang w:val="en-GB"/>
        </w:rPr>
        <w:t>e</w:t>
      </w:r>
      <w:r w:rsidRPr="00D00ABD">
        <w:rPr>
          <w:spacing w:val="1"/>
          <w:lang w:val="en-GB"/>
        </w:rPr>
        <w:t>r</w:t>
      </w:r>
      <w:r w:rsidRPr="00D00ABD">
        <w:rPr>
          <w:spacing w:val="-1"/>
          <w:lang w:val="en-GB"/>
        </w:rPr>
        <w:t>e</w:t>
      </w:r>
      <w:r w:rsidRPr="00D00ABD">
        <w:rPr>
          <w:lang w:val="en-GB"/>
        </w:rPr>
        <w:t>sted p</w:t>
      </w:r>
      <w:r w:rsidRPr="00D00ABD">
        <w:rPr>
          <w:spacing w:val="-1"/>
          <w:lang w:val="en-GB"/>
        </w:rPr>
        <w:t>a</w:t>
      </w:r>
      <w:r w:rsidRPr="00D00ABD">
        <w:rPr>
          <w:lang w:val="en-GB"/>
        </w:rPr>
        <w:t>rti</w:t>
      </w:r>
      <w:r w:rsidRPr="00D00ABD">
        <w:rPr>
          <w:spacing w:val="-1"/>
          <w:lang w:val="en-GB"/>
        </w:rPr>
        <w:t>e</w:t>
      </w:r>
      <w:r w:rsidRPr="00D00ABD">
        <w:rPr>
          <w:lang w:val="en-GB"/>
        </w:rPr>
        <w:t>s</w:t>
      </w:r>
      <w:r w:rsidRPr="00D00ABD">
        <w:rPr>
          <w:spacing w:val="2"/>
          <w:lang w:val="en-GB"/>
        </w:rPr>
        <w:t xml:space="preserve"> </w:t>
      </w:r>
      <w:r w:rsidRPr="00D00ABD">
        <w:rPr>
          <w:lang w:val="en-GB"/>
        </w:rPr>
        <w:t>with</w:t>
      </w:r>
      <w:r w:rsidRPr="00D00ABD">
        <w:rPr>
          <w:spacing w:val="2"/>
          <w:lang w:val="en-GB"/>
        </w:rPr>
        <w:t xml:space="preserve"> </w:t>
      </w:r>
      <w:r w:rsidR="00651599" w:rsidRPr="00D00ABD">
        <w:rPr>
          <w:lang w:val="en-GB"/>
        </w:rPr>
        <w:t xml:space="preserve">greater descriptive </w:t>
      </w:r>
      <w:r w:rsidRPr="00D00ABD">
        <w:rPr>
          <w:lang w:val="en-GB"/>
        </w:rPr>
        <w:t>info</w:t>
      </w:r>
      <w:r w:rsidRPr="00D00ABD">
        <w:rPr>
          <w:spacing w:val="-1"/>
          <w:lang w:val="en-GB"/>
        </w:rPr>
        <w:t>r</w:t>
      </w:r>
      <w:r w:rsidRPr="00D00ABD">
        <w:rPr>
          <w:lang w:val="en-GB"/>
        </w:rPr>
        <w:t>mation</w:t>
      </w:r>
      <w:r w:rsidRPr="00D00ABD">
        <w:rPr>
          <w:spacing w:val="2"/>
          <w:lang w:val="en-GB"/>
        </w:rPr>
        <w:t xml:space="preserve"> </w:t>
      </w:r>
      <w:r w:rsidRPr="00D00ABD">
        <w:rPr>
          <w:spacing w:val="-1"/>
          <w:lang w:val="en-GB"/>
        </w:rPr>
        <w:t>a</w:t>
      </w:r>
      <w:r w:rsidRPr="00D00ABD">
        <w:rPr>
          <w:lang w:val="en-GB"/>
        </w:rPr>
        <w:t>nd</w:t>
      </w:r>
      <w:r w:rsidRPr="00D00ABD">
        <w:rPr>
          <w:spacing w:val="1"/>
          <w:lang w:val="en-GB"/>
        </w:rPr>
        <w:t xml:space="preserve"> </w:t>
      </w:r>
      <w:r w:rsidRPr="00D00ABD">
        <w:rPr>
          <w:spacing w:val="-1"/>
          <w:lang w:val="en-GB"/>
        </w:rPr>
        <w:t>e</w:t>
      </w:r>
      <w:r w:rsidRPr="00D00ABD">
        <w:rPr>
          <w:lang w:val="en-GB"/>
        </w:rPr>
        <w:t>xplan</w:t>
      </w:r>
      <w:r w:rsidRPr="00D00ABD">
        <w:rPr>
          <w:spacing w:val="-1"/>
          <w:lang w:val="en-GB"/>
        </w:rPr>
        <w:t>a</w:t>
      </w:r>
      <w:r w:rsidRPr="00D00ABD">
        <w:rPr>
          <w:lang w:val="en-GB"/>
        </w:rPr>
        <w:t>t</w:t>
      </w:r>
      <w:r w:rsidRPr="00D00ABD">
        <w:rPr>
          <w:spacing w:val="1"/>
          <w:lang w:val="en-GB"/>
        </w:rPr>
        <w:t>i</w:t>
      </w:r>
      <w:r w:rsidRPr="00D00ABD">
        <w:rPr>
          <w:lang w:val="en-GB"/>
        </w:rPr>
        <w:t>on</w:t>
      </w:r>
      <w:r w:rsidRPr="00D00ABD">
        <w:rPr>
          <w:spacing w:val="1"/>
          <w:lang w:val="en-GB"/>
        </w:rPr>
        <w:t xml:space="preserve"> </w:t>
      </w:r>
      <w:r w:rsidR="00651599" w:rsidRPr="00D00ABD">
        <w:rPr>
          <w:lang w:val="en-GB"/>
        </w:rPr>
        <w:t xml:space="preserve">of the methodology text contained in the </w:t>
      </w:r>
      <w:r w:rsidR="0051359E" w:rsidRPr="00D00ABD">
        <w:rPr>
          <w:lang w:val="en-GB"/>
        </w:rPr>
        <w:t>SAOM</w:t>
      </w:r>
      <w:r w:rsidRPr="00D00ABD">
        <w:rPr>
          <w:lang w:val="en-GB"/>
        </w:rPr>
        <w:t>.</w:t>
      </w:r>
    </w:p>
    <w:p w14:paraId="0B0B818E" w14:textId="35DE2C84" w:rsidR="00AB47D8" w:rsidRPr="00D00ABD" w:rsidRDefault="00AB47D8" w:rsidP="00FB2509">
      <w:pPr>
        <w:pStyle w:val="Paragrapgh-numbered"/>
        <w:rPr>
          <w:lang w:val="en-GB"/>
        </w:rPr>
      </w:pPr>
      <w:r w:rsidRPr="00D00ABD">
        <w:rPr>
          <w:lang w:val="en-GB"/>
        </w:rPr>
        <w:t xml:space="preserve">It is recommended that the GB LFC Block Operating </w:t>
      </w:r>
      <w:r w:rsidR="0051359E" w:rsidRPr="00D00ABD">
        <w:rPr>
          <w:lang w:val="en-GB"/>
        </w:rPr>
        <w:t xml:space="preserve">Methodologies </w:t>
      </w:r>
      <w:r w:rsidRPr="00D00ABD">
        <w:rPr>
          <w:lang w:val="en-GB"/>
        </w:rPr>
        <w:t xml:space="preserve">document and its associated Supporting Document be considered alongside the </w:t>
      </w:r>
      <w:r w:rsidR="0051359E" w:rsidRPr="00D00ABD">
        <w:rPr>
          <w:lang w:val="en-GB"/>
        </w:rPr>
        <w:t>SAOM</w:t>
      </w:r>
      <w:r w:rsidRPr="00D00ABD">
        <w:rPr>
          <w:lang w:val="en-GB"/>
        </w:rPr>
        <w:t xml:space="preserve"> text. Additionally, it is useful to consider the “Determination of LFC Blocks, for the Synchronous Area GB”.</w:t>
      </w:r>
    </w:p>
    <w:p w14:paraId="7775A900" w14:textId="742E8289" w:rsidR="00AB47D8" w:rsidRPr="00D00ABD" w:rsidRDefault="00AB47D8" w:rsidP="00FB2509">
      <w:pPr>
        <w:pStyle w:val="Paragrapgh-numbered"/>
        <w:rPr>
          <w:lang w:val="en-GB"/>
        </w:rPr>
      </w:pPr>
      <w:r w:rsidRPr="00D00ABD">
        <w:rPr>
          <w:lang w:val="en-GB"/>
        </w:rPr>
        <w:t xml:space="preserve">When considering how some processes and restrictions might apply cross-border to HVDC interconnectors between GB and other areas, it may be necessary to consider the contents of the neighbouring TSOs LFC Operational </w:t>
      </w:r>
      <w:r w:rsidR="0051359E" w:rsidRPr="00D00ABD">
        <w:rPr>
          <w:lang w:val="en-GB"/>
        </w:rPr>
        <w:t xml:space="preserve">Methodologies </w:t>
      </w:r>
      <w:r w:rsidRPr="00D00ABD">
        <w:rPr>
          <w:lang w:val="en-GB"/>
        </w:rPr>
        <w:t xml:space="preserve">and their Synchronous Area Operational </w:t>
      </w:r>
      <w:r w:rsidR="0051359E" w:rsidRPr="00D00ABD">
        <w:rPr>
          <w:lang w:val="en-GB"/>
        </w:rPr>
        <w:t>Methodologies</w:t>
      </w:r>
      <w:r w:rsidRPr="00D00ABD">
        <w:rPr>
          <w:lang w:val="en-GB"/>
        </w:rPr>
        <w:t>.</w:t>
      </w:r>
    </w:p>
    <w:p w14:paraId="40348100" w14:textId="77777777" w:rsidR="00AB47D8" w:rsidRPr="00D00ABD" w:rsidRDefault="00AB47D8" w:rsidP="00DE04A7">
      <w:pPr>
        <w:pStyle w:val="Paragrapgh-numbered"/>
        <w:numPr>
          <w:ilvl w:val="0"/>
          <w:numId w:val="0"/>
        </w:numPr>
        <w:ind w:left="360"/>
        <w:rPr>
          <w:lang w:val="en-GB"/>
        </w:rPr>
      </w:pPr>
    </w:p>
    <w:p w14:paraId="6C72E71D" w14:textId="77777777" w:rsidR="00824C10" w:rsidRPr="00D00ABD" w:rsidRDefault="00824C10">
      <w:pPr>
        <w:widowControl w:val="0"/>
        <w:autoSpaceDE w:val="0"/>
        <w:autoSpaceDN w:val="0"/>
        <w:adjustRightInd w:val="0"/>
        <w:spacing w:before="6" w:after="0" w:line="110" w:lineRule="exact"/>
        <w:rPr>
          <w:rFonts w:ascii="Times New Roman" w:hAnsi="Times New Roman"/>
          <w:color w:val="000000"/>
          <w:sz w:val="11"/>
          <w:szCs w:val="11"/>
        </w:rPr>
      </w:pPr>
    </w:p>
    <w:p w14:paraId="6C72E71E" w14:textId="77777777" w:rsidR="00824C10" w:rsidRPr="00D00ABD" w:rsidRDefault="00824C10">
      <w:pPr>
        <w:widowControl w:val="0"/>
        <w:autoSpaceDE w:val="0"/>
        <w:autoSpaceDN w:val="0"/>
        <w:adjustRightInd w:val="0"/>
        <w:spacing w:after="0" w:line="240" w:lineRule="auto"/>
        <w:ind w:left="121" w:right="484"/>
        <w:jc w:val="both"/>
        <w:rPr>
          <w:rFonts w:ascii="Times New Roman" w:hAnsi="Times New Roman"/>
          <w:color w:val="000000"/>
          <w:sz w:val="24"/>
          <w:szCs w:val="24"/>
        </w:rPr>
        <w:sectPr w:rsidR="00824C10" w:rsidRPr="00D00ABD" w:rsidSect="00626274">
          <w:pgSz w:w="11920" w:h="16840"/>
          <w:pgMar w:top="1460" w:right="1572" w:bottom="280" w:left="1240" w:header="567" w:footer="1054" w:gutter="0"/>
          <w:cols w:space="720"/>
          <w:noEndnote/>
        </w:sectPr>
      </w:pPr>
    </w:p>
    <w:p w14:paraId="6C72E71F" w14:textId="77777777" w:rsidR="00824C10" w:rsidRPr="00D00ABD" w:rsidRDefault="00824C10" w:rsidP="00EE517B">
      <w:pPr>
        <w:widowControl w:val="0"/>
        <w:autoSpaceDE w:val="0"/>
        <w:autoSpaceDN w:val="0"/>
        <w:adjustRightInd w:val="0"/>
        <w:spacing w:after="0" w:line="200" w:lineRule="exact"/>
      </w:pPr>
    </w:p>
    <w:p w14:paraId="6C72E720" w14:textId="3752B8FB" w:rsidR="00417171" w:rsidRPr="00D00ABD" w:rsidRDefault="00417171" w:rsidP="00F60A8E">
      <w:pPr>
        <w:pStyle w:val="Heading1"/>
      </w:pPr>
      <w:bookmarkStart w:id="2" w:name="_Toc519422401"/>
      <w:bookmarkStart w:id="3" w:name="_Toc509435125"/>
      <w:r w:rsidRPr="00D00ABD">
        <w:t xml:space="preserve">General information about the Synchronous Area Operational </w:t>
      </w:r>
      <w:r w:rsidR="0051359E" w:rsidRPr="00D00ABD">
        <w:t>Methodologies</w:t>
      </w:r>
      <w:r w:rsidRPr="00D00ABD">
        <w:t xml:space="preserve"> and the document for GB</w:t>
      </w:r>
      <w:bookmarkEnd w:id="2"/>
    </w:p>
    <w:p w14:paraId="6C72E721" w14:textId="77777777" w:rsidR="000222DE" w:rsidRPr="00D00ABD" w:rsidRDefault="000222DE" w:rsidP="000222DE"/>
    <w:p w14:paraId="6C72E722" w14:textId="77777777" w:rsidR="0040127F" w:rsidRPr="00D00ABD" w:rsidRDefault="0040127F" w:rsidP="0040127F">
      <w:pPr>
        <w:pStyle w:val="Heading2"/>
      </w:pPr>
      <w:bookmarkStart w:id="4" w:name="_Toc519422402"/>
      <w:r w:rsidRPr="00D00ABD">
        <w:t>Subject matter and scope</w:t>
      </w:r>
      <w:bookmarkEnd w:id="4"/>
    </w:p>
    <w:p w14:paraId="6C72E723" w14:textId="77777777" w:rsidR="0040127F" w:rsidRPr="00D00ABD" w:rsidRDefault="0040127F" w:rsidP="0040127F"/>
    <w:p w14:paraId="6C72E724" w14:textId="7B8F4EB8" w:rsidR="0040127F" w:rsidRPr="00D00ABD" w:rsidRDefault="0040127F" w:rsidP="0040127F">
      <w:pPr>
        <w:pStyle w:val="Paragrapgh-numbered"/>
        <w:numPr>
          <w:ilvl w:val="0"/>
          <w:numId w:val="16"/>
        </w:numPr>
        <w:rPr>
          <w:lang w:val="en-GB" w:eastAsia="en-US"/>
        </w:rPr>
      </w:pPr>
      <w:r w:rsidRPr="00D00ABD">
        <w:rPr>
          <w:lang w:val="en-GB" w:eastAsia="en-US"/>
        </w:rPr>
        <w:t>The Synchronous Area Operational Agreement (</w:t>
      </w:r>
      <w:r w:rsidR="0051359E" w:rsidRPr="00D00ABD">
        <w:rPr>
          <w:lang w:val="en-GB" w:eastAsia="en-US"/>
        </w:rPr>
        <w:t>SAOM</w:t>
      </w:r>
      <w:r w:rsidRPr="00D00ABD">
        <w:rPr>
          <w:lang w:val="en-GB" w:eastAsia="en-US"/>
        </w:rPr>
        <w:t xml:space="preserve">) for Great Britain contains: </w:t>
      </w:r>
    </w:p>
    <w:p w14:paraId="6C72E725" w14:textId="73571CD1" w:rsidR="0040127F" w:rsidRPr="00D00ABD" w:rsidRDefault="0040127F" w:rsidP="0040127F">
      <w:pPr>
        <w:pStyle w:val="Paragrapgh-numbered"/>
        <w:numPr>
          <w:ilvl w:val="1"/>
          <w:numId w:val="2"/>
        </w:numPr>
        <w:rPr>
          <w:lang w:val="en-GB" w:eastAsia="en-US"/>
        </w:rPr>
      </w:pPr>
      <w:r w:rsidRPr="00D00ABD">
        <w:rPr>
          <w:lang w:val="en-GB" w:eastAsia="en-US"/>
        </w:rPr>
        <w:t xml:space="preserve">Title 2: Those Articles referenced </w:t>
      </w:r>
      <w:r w:rsidR="00022E9F" w:rsidRPr="00D00ABD">
        <w:rPr>
          <w:lang w:val="en-GB" w:eastAsia="en-US"/>
        </w:rPr>
        <w:t>in</w:t>
      </w:r>
      <w:r w:rsidRPr="00D00ABD">
        <w:rPr>
          <w:lang w:val="en-GB" w:eastAsia="en-US"/>
        </w:rPr>
        <w:t xml:space="preserve"> both </w:t>
      </w:r>
      <w:r w:rsidR="0076717C" w:rsidRPr="00D00ABD">
        <w:rPr>
          <w:lang w:val="en-GB" w:eastAsia="en-US"/>
        </w:rPr>
        <w:t xml:space="preserve">SOGL articles </w:t>
      </w:r>
      <w:r w:rsidRPr="00D00ABD">
        <w:rPr>
          <w:lang w:val="en-GB" w:eastAsia="en-US"/>
        </w:rPr>
        <w:t>118 and 6(3).</w:t>
      </w:r>
      <w:r w:rsidR="004C519D" w:rsidRPr="00D00ABD">
        <w:rPr>
          <w:lang w:val="en-GB" w:eastAsia="en-US"/>
        </w:rPr>
        <w:t xml:space="preserve"> </w:t>
      </w:r>
      <w:r w:rsidRPr="00D00ABD">
        <w:rPr>
          <w:lang w:val="en-GB" w:eastAsia="en-US"/>
        </w:rPr>
        <w:t xml:space="preserve">These are subject to OFGEM approval and public consultation from </w:t>
      </w:r>
      <w:r w:rsidR="0076717C" w:rsidRPr="00D00ABD">
        <w:rPr>
          <w:lang w:val="en-GB" w:eastAsia="en-US"/>
        </w:rPr>
        <w:t xml:space="preserve">SOGL </w:t>
      </w:r>
      <w:r w:rsidRPr="00D00ABD">
        <w:rPr>
          <w:lang w:val="en-GB" w:eastAsia="en-US"/>
        </w:rPr>
        <w:t>Article 11.</w:t>
      </w:r>
    </w:p>
    <w:p w14:paraId="6C72E726" w14:textId="23037702" w:rsidR="0040127F" w:rsidRPr="00D00ABD" w:rsidRDefault="0040127F" w:rsidP="0040127F">
      <w:pPr>
        <w:pStyle w:val="Paragrapgh-numbered"/>
        <w:numPr>
          <w:ilvl w:val="1"/>
          <w:numId w:val="2"/>
        </w:numPr>
        <w:rPr>
          <w:lang w:val="en-GB" w:eastAsia="en-US"/>
        </w:rPr>
      </w:pPr>
      <w:r w:rsidRPr="00D00ABD">
        <w:rPr>
          <w:lang w:val="en-GB" w:eastAsia="en-US"/>
        </w:rPr>
        <w:t xml:space="preserve">Title 3: Those Articles referenced in </w:t>
      </w:r>
      <w:r w:rsidR="0076717C" w:rsidRPr="00D00ABD">
        <w:rPr>
          <w:lang w:val="en-GB" w:eastAsia="en-US"/>
        </w:rPr>
        <w:t xml:space="preserve">SOGL </w:t>
      </w:r>
      <w:r w:rsidRPr="00D00ABD">
        <w:rPr>
          <w:lang w:val="en-GB" w:eastAsia="en-US"/>
        </w:rPr>
        <w:t xml:space="preserve">Article 118 but not found in </w:t>
      </w:r>
      <w:r w:rsidR="0076717C" w:rsidRPr="00D00ABD">
        <w:rPr>
          <w:lang w:val="en-GB" w:eastAsia="en-US"/>
        </w:rPr>
        <w:t xml:space="preserve">SOGL </w:t>
      </w:r>
      <w:r w:rsidRPr="00D00ABD">
        <w:rPr>
          <w:lang w:val="en-GB" w:eastAsia="en-US"/>
        </w:rPr>
        <w:t xml:space="preserve">Article 6 or 11. These Articles are </w:t>
      </w:r>
      <w:r w:rsidR="0076717C" w:rsidRPr="00D00ABD">
        <w:rPr>
          <w:lang w:val="en-GB" w:eastAsia="en-US"/>
        </w:rPr>
        <w:t>those which require no formal</w:t>
      </w:r>
      <w:r w:rsidRPr="00D00ABD">
        <w:rPr>
          <w:lang w:val="en-GB" w:eastAsia="en-US"/>
        </w:rPr>
        <w:t xml:space="preserve"> </w:t>
      </w:r>
      <w:r w:rsidR="0076717C" w:rsidRPr="00D00ABD">
        <w:rPr>
          <w:lang w:val="en-GB" w:eastAsia="en-US"/>
        </w:rPr>
        <w:t xml:space="preserve">approval from </w:t>
      </w:r>
      <w:r w:rsidRPr="00D00ABD">
        <w:rPr>
          <w:lang w:val="en-GB" w:eastAsia="en-US"/>
        </w:rPr>
        <w:t xml:space="preserve">OFGEM </w:t>
      </w:r>
      <w:r w:rsidR="0076717C" w:rsidRPr="00D00ABD">
        <w:rPr>
          <w:lang w:val="en-GB" w:eastAsia="en-US"/>
        </w:rPr>
        <w:t>and for which there is no legal obligation on the ESO to</w:t>
      </w:r>
      <w:r w:rsidR="004C519D" w:rsidRPr="00D00ABD">
        <w:rPr>
          <w:lang w:val="en-GB" w:eastAsia="en-US"/>
        </w:rPr>
        <w:t xml:space="preserve"> </w:t>
      </w:r>
      <w:r w:rsidR="0076717C" w:rsidRPr="00D00ABD">
        <w:rPr>
          <w:lang w:val="en-GB" w:eastAsia="en-US"/>
        </w:rPr>
        <w:t xml:space="preserve">consult </w:t>
      </w:r>
      <w:r w:rsidRPr="00D00ABD">
        <w:rPr>
          <w:lang w:val="en-GB" w:eastAsia="en-US"/>
        </w:rPr>
        <w:t>public</w:t>
      </w:r>
      <w:r w:rsidR="0076717C" w:rsidRPr="00D00ABD">
        <w:rPr>
          <w:lang w:val="en-GB" w:eastAsia="en-US"/>
        </w:rPr>
        <w:t>ly before the texts enter in force and are published</w:t>
      </w:r>
      <w:r w:rsidRPr="00D00ABD">
        <w:rPr>
          <w:lang w:val="en-GB" w:eastAsia="en-US"/>
        </w:rPr>
        <w:t>.</w:t>
      </w:r>
      <w:r w:rsidR="000B49C4" w:rsidRPr="00D00ABD">
        <w:rPr>
          <w:lang w:val="en-GB" w:eastAsia="en-US"/>
        </w:rPr>
        <w:t xml:space="preserve"> </w:t>
      </w:r>
    </w:p>
    <w:p w14:paraId="6C72E727" w14:textId="01115F2D" w:rsidR="0040127F" w:rsidRPr="00EA3F1F" w:rsidRDefault="00B45BF5" w:rsidP="00DE04A7">
      <w:pPr>
        <w:pStyle w:val="Paragrapgh-numbered"/>
        <w:rPr>
          <w:lang w:val="en-GB"/>
        </w:rPr>
      </w:pPr>
      <w:r w:rsidRPr="00D00ABD">
        <w:rPr>
          <w:lang w:val="en-GB"/>
        </w:rPr>
        <w:t xml:space="preserve">The </w:t>
      </w:r>
      <w:r w:rsidR="0076717C" w:rsidRPr="00D00ABD">
        <w:rPr>
          <w:lang w:val="en-GB"/>
        </w:rPr>
        <w:t>SOGL</w:t>
      </w:r>
      <w:r w:rsidRPr="00D00ABD">
        <w:rPr>
          <w:lang w:val="en-GB"/>
        </w:rPr>
        <w:t xml:space="preserve"> refers to the individual texts as ‘</w:t>
      </w:r>
      <w:r w:rsidR="0051359E" w:rsidRPr="00D00ABD">
        <w:rPr>
          <w:lang w:val="en-GB"/>
        </w:rPr>
        <w:t>Methodologies</w:t>
      </w:r>
      <w:r w:rsidRPr="00D00ABD">
        <w:rPr>
          <w:lang w:val="en-GB"/>
        </w:rPr>
        <w:t xml:space="preserve">’. </w:t>
      </w:r>
      <w:r w:rsidR="0076717C" w:rsidRPr="00D00ABD">
        <w:rPr>
          <w:lang w:val="en-GB"/>
        </w:rPr>
        <w:t>T</w:t>
      </w:r>
      <w:r w:rsidRPr="00D00ABD">
        <w:rPr>
          <w:lang w:val="en-GB"/>
        </w:rPr>
        <w:t>o all intents and purposes there is no practical implementation distinction between an ‘agreement’, a ‘methodology’ or ‘terms and conditions’.</w:t>
      </w:r>
      <w:r w:rsidR="004C519D" w:rsidRPr="00D00ABD">
        <w:rPr>
          <w:lang w:val="en-GB"/>
        </w:rPr>
        <w:t xml:space="preserve"> </w:t>
      </w:r>
      <w:r w:rsidR="0076717C" w:rsidRPr="00D00ABD">
        <w:rPr>
          <w:lang w:val="en-GB"/>
        </w:rPr>
        <w:t>This can be inferred from Article 6 cross-referencing articles 118 and 119, which refer to the texts as ‘</w:t>
      </w:r>
      <w:r w:rsidR="0051359E" w:rsidRPr="00D00ABD">
        <w:rPr>
          <w:lang w:val="en-GB"/>
        </w:rPr>
        <w:t>methodologies’</w:t>
      </w:r>
      <w:r w:rsidR="0076717C" w:rsidRPr="00D00ABD">
        <w:rPr>
          <w:lang w:val="en-GB"/>
        </w:rPr>
        <w:t>, whilst article 6 itself considers them to be methodologies, terms and conditions.</w:t>
      </w:r>
      <w:r w:rsidR="004C519D" w:rsidRPr="00D00ABD">
        <w:rPr>
          <w:lang w:val="en-GB"/>
        </w:rPr>
        <w:t xml:space="preserve"> </w:t>
      </w:r>
      <w:r w:rsidRPr="00D00ABD">
        <w:rPr>
          <w:lang w:val="en-GB"/>
        </w:rPr>
        <w:t>The origins of the name ‘agreement’ comes from the need in those parts of Europe where control areas are operated in a coordinated manner and for which an ‘agreement’ is required between those performing the system operator functi</w:t>
      </w:r>
      <w:r w:rsidR="0048149B" w:rsidRPr="00D00ABD">
        <w:rPr>
          <w:lang w:val="en-GB"/>
        </w:rPr>
        <w:t xml:space="preserve">on(s) there. </w:t>
      </w:r>
    </w:p>
    <w:p w14:paraId="3C8C6347" w14:textId="5EE8B2E7" w:rsidR="007E3570" w:rsidRPr="00EA3F1F" w:rsidRDefault="007E3570" w:rsidP="00DE04A7">
      <w:pPr>
        <w:pStyle w:val="Paragrapgh-numbered"/>
        <w:rPr>
          <w:lang w:val="en-GB"/>
        </w:rPr>
      </w:pPr>
      <w:r w:rsidRPr="00D00ABD">
        <w:rPr>
          <w:lang w:val="en-GB"/>
        </w:rPr>
        <w:t xml:space="preserve">The SOGL regulation considers some texts to apply to certain geographies: the </w:t>
      </w:r>
      <w:r w:rsidR="0051359E" w:rsidRPr="00D00ABD">
        <w:rPr>
          <w:lang w:val="en-GB"/>
        </w:rPr>
        <w:t>SAOM</w:t>
      </w:r>
      <w:r w:rsidRPr="00D00ABD">
        <w:rPr>
          <w:lang w:val="en-GB"/>
        </w:rPr>
        <w:t xml:space="preserve"> is considered a GB specific text.</w:t>
      </w:r>
      <w:r w:rsidR="004C519D" w:rsidRPr="00D00ABD">
        <w:rPr>
          <w:lang w:val="en-GB"/>
        </w:rPr>
        <w:t xml:space="preserve"> </w:t>
      </w:r>
      <w:r w:rsidRPr="00D00ABD">
        <w:rPr>
          <w:lang w:val="en-GB"/>
        </w:rPr>
        <w:t xml:space="preserve">Article 118 specifies that “all [competent] TSOs of each synchronous area shall jointly develop common proposals for…” indicating that it is the relevant electricity system operator(s) of each synchronous area to develop proposals. Some texts however, most especially the ramping-restrictions texts, have cross-border significance and it is easier to seek informal alignment of rules and texts in the neighbouring areas’ operational </w:t>
      </w:r>
      <w:r w:rsidR="0051359E" w:rsidRPr="00D00ABD">
        <w:rPr>
          <w:lang w:val="en-GB"/>
        </w:rPr>
        <w:t>methodologies</w:t>
      </w:r>
      <w:r w:rsidRPr="00D00ABD">
        <w:rPr>
          <w:lang w:val="en-GB"/>
        </w:rPr>
        <w:t xml:space="preserve"> prior to implementation.</w:t>
      </w:r>
    </w:p>
    <w:p w14:paraId="437598EB" w14:textId="50A1FE53" w:rsidR="0048149B" w:rsidRPr="00EA3F1F" w:rsidRDefault="0048149B" w:rsidP="00DE04A7">
      <w:pPr>
        <w:pStyle w:val="Paragrapgh-numbered"/>
        <w:rPr>
          <w:lang w:val="en-GB"/>
        </w:rPr>
      </w:pPr>
      <w:r w:rsidRPr="00D00ABD">
        <w:rPr>
          <w:lang w:val="en-GB"/>
        </w:rPr>
        <w:t>The structure of the SOGL specifies several sub-divisions of system operator function</w:t>
      </w:r>
      <w:r w:rsidR="007E3570" w:rsidRPr="00D00ABD">
        <w:rPr>
          <w:lang w:val="en-GB"/>
        </w:rPr>
        <w:t>, with shared roles and lead roles in each geography and level in the hierarchy</w:t>
      </w:r>
      <w:r w:rsidRPr="00D00ABD">
        <w:rPr>
          <w:lang w:val="en-GB"/>
        </w:rPr>
        <w:t>. This is explained in the separate methodology for the ‘Determination of LFC Blocks, for the Synchronous Area GB’.</w:t>
      </w:r>
      <w:r w:rsidR="004C519D" w:rsidRPr="00D00ABD">
        <w:rPr>
          <w:lang w:val="en-GB"/>
        </w:rPr>
        <w:t xml:space="preserve"> </w:t>
      </w:r>
      <w:r w:rsidRPr="00D00ABD">
        <w:rPr>
          <w:lang w:val="en-GB"/>
        </w:rPr>
        <w:t xml:space="preserve">For GB there </w:t>
      </w:r>
      <w:r w:rsidR="007E3570" w:rsidRPr="00D00ABD">
        <w:rPr>
          <w:lang w:val="en-GB"/>
        </w:rPr>
        <w:t>are</w:t>
      </w:r>
      <w:r w:rsidRPr="00D00ABD">
        <w:rPr>
          <w:lang w:val="en-GB"/>
        </w:rPr>
        <w:t xml:space="preserve"> no subdivision of roles, responsibilities and activities for the system operator function and all of these are assigned to a single </w:t>
      </w:r>
      <w:r w:rsidR="00DE04A7" w:rsidRPr="00D00ABD">
        <w:rPr>
          <w:lang w:val="en-GB"/>
        </w:rPr>
        <w:t xml:space="preserve">ESO </w:t>
      </w:r>
      <w:r w:rsidRPr="00D00ABD">
        <w:rPr>
          <w:lang w:val="en-GB"/>
        </w:rPr>
        <w:t>function.</w:t>
      </w:r>
    </w:p>
    <w:p w14:paraId="38A273D6" w14:textId="25CC8A11" w:rsidR="007E3570" w:rsidRPr="00EA3F1F" w:rsidRDefault="007E3570" w:rsidP="00DE04A7">
      <w:pPr>
        <w:pStyle w:val="Paragrapgh-numbered"/>
        <w:rPr>
          <w:lang w:val="en-GB"/>
        </w:rPr>
      </w:pPr>
      <w:r w:rsidRPr="00D00ABD">
        <w:rPr>
          <w:lang w:val="en-GB"/>
        </w:rPr>
        <w:t xml:space="preserve">Many of the texts in the </w:t>
      </w:r>
      <w:r w:rsidR="0051359E" w:rsidRPr="00D00ABD">
        <w:rPr>
          <w:lang w:val="en-GB"/>
        </w:rPr>
        <w:t>SAOM</w:t>
      </w:r>
      <w:r w:rsidRPr="00D00ABD">
        <w:rPr>
          <w:lang w:val="en-GB"/>
        </w:rPr>
        <w:t xml:space="preserve"> make references to GB electricity codes.</w:t>
      </w:r>
      <w:r w:rsidR="004C519D" w:rsidRPr="00D00ABD">
        <w:rPr>
          <w:lang w:val="en-GB"/>
        </w:rPr>
        <w:t xml:space="preserve"> </w:t>
      </w:r>
      <w:r w:rsidRPr="00D00ABD">
        <w:rPr>
          <w:lang w:val="en-GB"/>
        </w:rPr>
        <w:t>It is necessary to ensure alignment of GB regulation and electricity codes with roles, responsibilities, structures, processes and data management rules of the EU guidelines of which SOGL is one example.</w:t>
      </w:r>
      <w:r w:rsidR="004C519D" w:rsidRPr="00D00ABD">
        <w:rPr>
          <w:lang w:val="en-GB"/>
        </w:rPr>
        <w:t xml:space="preserve"> </w:t>
      </w:r>
      <w:r w:rsidRPr="00D00ABD">
        <w:rPr>
          <w:lang w:val="en-GB"/>
        </w:rPr>
        <w:t xml:space="preserve">The agreements including the </w:t>
      </w:r>
      <w:r w:rsidR="0051359E" w:rsidRPr="00D00ABD">
        <w:rPr>
          <w:lang w:val="en-GB"/>
        </w:rPr>
        <w:t>SAOM</w:t>
      </w:r>
      <w:r w:rsidR="00AB47D8" w:rsidRPr="00D00ABD">
        <w:rPr>
          <w:lang w:val="en-GB"/>
        </w:rPr>
        <w:t xml:space="preserve"> is an extension to the EU guideline but of GB relevance and under the GB regulatory authority, OFGEM.</w:t>
      </w:r>
      <w:r w:rsidR="004C519D" w:rsidRPr="00D00ABD">
        <w:rPr>
          <w:lang w:val="en-GB"/>
        </w:rPr>
        <w:t xml:space="preserve"> </w:t>
      </w:r>
      <w:r w:rsidR="00AB47D8" w:rsidRPr="00D00ABD">
        <w:rPr>
          <w:lang w:val="en-GB"/>
        </w:rPr>
        <w:t xml:space="preserve">Many of the processes, rules and structures that need to be defined in the agreements are already defined within GB electricity codes and to avoid duplication and unnecessarily complex ongoing change management it is felt appropriate to keep the level of detail in the methodologies to a minimum and to refer to the GB regulation where at all possible. It is by referring to </w:t>
      </w:r>
      <w:r w:rsidR="00AB47D8" w:rsidRPr="00D00ABD">
        <w:rPr>
          <w:lang w:val="en-GB"/>
        </w:rPr>
        <w:lastRenderedPageBreak/>
        <w:t>referenced document, read in the context of this supporting document that the specific understanding of how the methodology is to implemented may be determined.</w:t>
      </w:r>
    </w:p>
    <w:p w14:paraId="33E979D2" w14:textId="77777777" w:rsidR="0048149B" w:rsidRPr="00EA3F1F" w:rsidRDefault="0048149B" w:rsidP="00DE04A7">
      <w:pPr>
        <w:pStyle w:val="Paragrapgh-numbered"/>
        <w:numPr>
          <w:ilvl w:val="0"/>
          <w:numId w:val="0"/>
        </w:numPr>
        <w:rPr>
          <w:lang w:val="en-GB"/>
        </w:rPr>
      </w:pPr>
    </w:p>
    <w:p w14:paraId="6C72E728" w14:textId="77777777" w:rsidR="00CD0A62" w:rsidRPr="00D00ABD" w:rsidRDefault="00CD0A62" w:rsidP="00CD0A62">
      <w:pPr>
        <w:pStyle w:val="Heading2"/>
      </w:pPr>
      <w:bookmarkStart w:id="5" w:name="_Toc509435126"/>
      <w:bookmarkStart w:id="6" w:name="_Toc519422403"/>
      <w:bookmarkEnd w:id="3"/>
      <w:r w:rsidRPr="00D00ABD">
        <w:t>Governance and implementation</w:t>
      </w:r>
      <w:bookmarkEnd w:id="5"/>
      <w:r w:rsidRPr="00D00ABD">
        <w:t xml:space="preserve"> </w:t>
      </w:r>
      <w:r w:rsidR="00417171" w:rsidRPr="00D00ABD">
        <w:t>within GB</w:t>
      </w:r>
      <w:bookmarkEnd w:id="6"/>
    </w:p>
    <w:p w14:paraId="6C72E729" w14:textId="77777777" w:rsidR="003D0E5D" w:rsidRPr="00D00ABD" w:rsidRDefault="003D0E5D" w:rsidP="003D0E5D"/>
    <w:p w14:paraId="6C72E72A" w14:textId="25F0C4F4" w:rsidR="00CD0A62" w:rsidRPr="00D00ABD" w:rsidRDefault="00CD0A62" w:rsidP="00FB2509">
      <w:pPr>
        <w:pStyle w:val="Paragrapgh-numbered"/>
        <w:numPr>
          <w:ilvl w:val="0"/>
          <w:numId w:val="3"/>
        </w:numPr>
        <w:rPr>
          <w:lang w:val="en-GB"/>
        </w:rPr>
      </w:pPr>
      <w:r w:rsidRPr="00D00ABD">
        <w:rPr>
          <w:lang w:val="en-GB"/>
        </w:rPr>
        <w:t xml:space="preserve">OFGEM is the sole competent Regulatory Authority for the </w:t>
      </w:r>
      <w:r w:rsidR="0051359E" w:rsidRPr="00D00ABD">
        <w:rPr>
          <w:lang w:val="en-GB"/>
        </w:rPr>
        <w:t>SAOM</w:t>
      </w:r>
      <w:r w:rsidRPr="00D00ABD">
        <w:rPr>
          <w:lang w:val="en-GB"/>
        </w:rPr>
        <w:t xml:space="preserve"> of Great Britain.</w:t>
      </w:r>
      <w:r w:rsidR="004C519D" w:rsidRPr="00D00ABD">
        <w:rPr>
          <w:lang w:val="en-GB"/>
        </w:rPr>
        <w:t xml:space="preserve"> </w:t>
      </w:r>
      <w:r w:rsidR="003E04B6" w:rsidRPr="00D00ABD">
        <w:rPr>
          <w:lang w:val="en-GB"/>
        </w:rPr>
        <w:t xml:space="preserve">Some parts of the SOGL regulation refer to the NRA or National Regulatory Authority. </w:t>
      </w:r>
    </w:p>
    <w:p w14:paraId="73194995" w14:textId="463019AD" w:rsidR="003E04B6" w:rsidRPr="00D00ABD" w:rsidRDefault="003E04B6" w:rsidP="00FB2509">
      <w:pPr>
        <w:pStyle w:val="Paragrapgh-numbered"/>
        <w:rPr>
          <w:lang w:val="en-GB"/>
        </w:rPr>
      </w:pPr>
      <w:r w:rsidRPr="00D00ABD">
        <w:rPr>
          <w:lang w:val="en-GB"/>
        </w:rPr>
        <w:t xml:space="preserve">Between the time of the obligations for drafting these agreements and </w:t>
      </w:r>
      <w:r w:rsidR="00766D1A" w:rsidRPr="00D00ABD">
        <w:rPr>
          <w:lang w:val="en-GB"/>
        </w:rPr>
        <w:t xml:space="preserve">a short period after they become applicable, the license for the electricity system operation role and function within GB will be unbundled from </w:t>
      </w:r>
      <w:r w:rsidR="000623A6" w:rsidRPr="00D00ABD">
        <w:rPr>
          <w:lang w:val="en-GB"/>
        </w:rPr>
        <w:t xml:space="preserve">National Grid Electricity Transmission plc (NGET) and </w:t>
      </w:r>
      <w:r w:rsidR="00766D1A" w:rsidRPr="00D00ABD">
        <w:rPr>
          <w:lang w:val="en-GB"/>
        </w:rPr>
        <w:t>transferred to</w:t>
      </w:r>
      <w:r w:rsidR="000623A6" w:rsidRPr="00D00ABD">
        <w:rPr>
          <w:lang w:val="en-GB"/>
        </w:rPr>
        <w:t xml:space="preserve"> an independent electricity system operator,</w:t>
      </w:r>
      <w:r w:rsidR="00766D1A" w:rsidRPr="00D00ABD">
        <w:rPr>
          <w:lang w:val="en-GB"/>
        </w:rPr>
        <w:t xml:space="preserve"> </w:t>
      </w:r>
      <w:r w:rsidR="000623A6" w:rsidRPr="00D00ABD">
        <w:rPr>
          <w:lang w:val="en-GB"/>
        </w:rPr>
        <w:t>National Grid Electricity System Operator (</w:t>
      </w:r>
      <w:r w:rsidR="00766D1A" w:rsidRPr="00D00ABD">
        <w:rPr>
          <w:lang w:val="en-GB"/>
        </w:rPr>
        <w:t>NGESO</w:t>
      </w:r>
      <w:r w:rsidR="000623A6" w:rsidRPr="00D00ABD">
        <w:rPr>
          <w:lang w:val="en-GB"/>
        </w:rPr>
        <w:t>)</w:t>
      </w:r>
      <w:r w:rsidR="00766D1A" w:rsidRPr="00D00ABD">
        <w:rPr>
          <w:lang w:val="en-GB"/>
        </w:rPr>
        <w:t xml:space="preserve"> </w:t>
      </w:r>
      <w:r w:rsidR="000623A6" w:rsidRPr="00D00ABD">
        <w:rPr>
          <w:lang w:val="en-GB"/>
        </w:rPr>
        <w:t xml:space="preserve">on </w:t>
      </w:r>
      <w:r w:rsidR="00766D1A" w:rsidRPr="00D00ABD">
        <w:rPr>
          <w:lang w:val="en-GB"/>
        </w:rPr>
        <w:t>1</w:t>
      </w:r>
      <w:r w:rsidR="00766D1A" w:rsidRPr="00D00ABD">
        <w:rPr>
          <w:vertAlign w:val="superscript"/>
          <w:lang w:val="en-GB"/>
        </w:rPr>
        <w:t>st</w:t>
      </w:r>
      <w:r w:rsidR="00766D1A" w:rsidRPr="00D00ABD">
        <w:rPr>
          <w:lang w:val="en-GB"/>
        </w:rPr>
        <w:t xml:space="preserve"> April 2019</w:t>
      </w:r>
      <w:r w:rsidR="00E0147C" w:rsidRPr="00D00ABD">
        <w:rPr>
          <w:rStyle w:val="FootnoteReference"/>
          <w:lang w:val="en-GB"/>
        </w:rPr>
        <w:footnoteReference w:id="1"/>
      </w:r>
      <w:r w:rsidR="00766D1A" w:rsidRPr="00D00ABD">
        <w:rPr>
          <w:lang w:val="en-GB"/>
        </w:rPr>
        <w:t>.</w:t>
      </w:r>
      <w:r w:rsidR="004C519D" w:rsidRPr="00D00ABD">
        <w:rPr>
          <w:lang w:val="en-GB"/>
        </w:rPr>
        <w:t xml:space="preserve"> </w:t>
      </w:r>
      <w:r w:rsidR="00766D1A" w:rsidRPr="00D00ABD">
        <w:rPr>
          <w:lang w:val="en-GB"/>
        </w:rPr>
        <w:t xml:space="preserve">To make this document easier to read and for easier ongoing management and regulation of the </w:t>
      </w:r>
      <w:r w:rsidR="0051359E" w:rsidRPr="00D00ABD">
        <w:rPr>
          <w:lang w:val="en-GB"/>
        </w:rPr>
        <w:t>SAOM</w:t>
      </w:r>
      <w:r w:rsidR="00766D1A" w:rsidRPr="00D00ABD">
        <w:rPr>
          <w:lang w:val="en-GB"/>
        </w:rPr>
        <w:t xml:space="preserve"> the term “ESO” is used whenever describing the license holder responsible for operating the National Electricity Transmission System (also referred to as the NETS) and </w:t>
      </w:r>
      <w:r w:rsidR="000623A6" w:rsidRPr="00D00ABD">
        <w:rPr>
          <w:lang w:val="en-GB"/>
        </w:rPr>
        <w:t xml:space="preserve">in relation to the fulfilment of </w:t>
      </w:r>
      <w:r w:rsidR="00766D1A" w:rsidRPr="00D00ABD">
        <w:rPr>
          <w:lang w:val="en-GB"/>
        </w:rPr>
        <w:t>the security and operating standards set forth in the SOGL and complementary obligations set forth in the GB electricity codes.</w:t>
      </w:r>
      <w:r w:rsidR="0048149B" w:rsidRPr="00D00ABD">
        <w:rPr>
          <w:lang w:val="en-GB"/>
        </w:rPr>
        <w:t xml:space="preserve"> </w:t>
      </w:r>
      <w:r w:rsidR="000623A6" w:rsidRPr="00D00ABD">
        <w:rPr>
          <w:lang w:val="en-GB"/>
        </w:rPr>
        <w:t xml:space="preserve">For avoidance of doubt “ESO” in the SAOM refers to NGET at the time of drafting and will refer to National Grid Electricity System Operator Limited </w:t>
      </w:r>
    </w:p>
    <w:p w14:paraId="6C72E72B" w14:textId="28F84A5A" w:rsidR="00CD0A62" w:rsidRPr="00D00ABD" w:rsidRDefault="00417171" w:rsidP="00FB2509">
      <w:pPr>
        <w:pStyle w:val="Paragrapgh-numbered"/>
        <w:rPr>
          <w:lang w:val="en-GB"/>
        </w:rPr>
      </w:pPr>
      <w:r w:rsidRPr="00D00ABD">
        <w:rPr>
          <w:lang w:val="en-GB"/>
        </w:rPr>
        <w:t xml:space="preserve">OFGEM determined in the </w:t>
      </w:r>
      <w:r w:rsidR="000623A6" w:rsidRPr="00D00ABD">
        <w:rPr>
          <w:lang w:val="en-GB"/>
        </w:rPr>
        <w:t>“</w:t>
      </w:r>
      <w:r w:rsidRPr="00D00ABD">
        <w:rPr>
          <w:lang w:val="en-GB"/>
        </w:rPr>
        <w:t>GB</w:t>
      </w:r>
      <w:r w:rsidR="00CD0A62" w:rsidRPr="00D00ABD">
        <w:rPr>
          <w:lang w:val="en-GB"/>
        </w:rPr>
        <w:t xml:space="preserve"> TSO respons</w:t>
      </w:r>
      <w:r w:rsidR="000222DE" w:rsidRPr="00D00ABD">
        <w:rPr>
          <w:lang w:val="en-GB"/>
        </w:rPr>
        <w:t>ibility mapping document</w:t>
      </w:r>
      <w:r w:rsidR="000623A6" w:rsidRPr="00D00ABD">
        <w:rPr>
          <w:lang w:val="en-GB"/>
        </w:rPr>
        <w:t>”</w:t>
      </w:r>
      <w:r w:rsidR="003E04B6" w:rsidRPr="00D00ABD">
        <w:rPr>
          <w:rStyle w:val="FootnoteReference"/>
          <w:lang w:val="en-GB"/>
        </w:rPr>
        <w:footnoteReference w:id="2"/>
      </w:r>
      <w:r w:rsidR="000623A6" w:rsidRPr="00D00ABD">
        <w:rPr>
          <w:lang w:val="en-GB"/>
        </w:rPr>
        <w:t xml:space="preserve"> published on 14</w:t>
      </w:r>
      <w:r w:rsidR="000623A6" w:rsidRPr="00EA3F1F">
        <w:rPr>
          <w:vertAlign w:val="superscript"/>
          <w:lang w:val="en-GB"/>
        </w:rPr>
        <w:t>th</w:t>
      </w:r>
      <w:r w:rsidR="000623A6" w:rsidRPr="00D00ABD">
        <w:rPr>
          <w:lang w:val="en-GB"/>
        </w:rPr>
        <w:t xml:space="preserve"> September 2018</w:t>
      </w:r>
      <w:r w:rsidR="000222DE" w:rsidRPr="00D00ABD">
        <w:rPr>
          <w:lang w:val="en-GB"/>
        </w:rPr>
        <w:t xml:space="preserve">, that </w:t>
      </w:r>
      <w:r w:rsidR="000623A6" w:rsidRPr="00D00ABD">
        <w:rPr>
          <w:lang w:val="en-GB"/>
        </w:rPr>
        <w:t xml:space="preserve">SOGL </w:t>
      </w:r>
      <w:r w:rsidR="000222DE" w:rsidRPr="00D00ABD">
        <w:rPr>
          <w:lang w:val="en-GB"/>
        </w:rPr>
        <w:t>Article</w:t>
      </w:r>
      <w:r w:rsidR="00CD0A62" w:rsidRPr="00D00ABD">
        <w:rPr>
          <w:lang w:val="en-GB"/>
        </w:rPr>
        <w:t xml:space="preserve"> 118 is the sole responsibility of the </w:t>
      </w:r>
      <w:r w:rsidR="00766D1A" w:rsidRPr="00D00ABD">
        <w:rPr>
          <w:lang w:val="en-GB"/>
        </w:rPr>
        <w:t>ESO function</w:t>
      </w:r>
      <w:r w:rsidR="00CD0A62" w:rsidRPr="00D00ABD">
        <w:rPr>
          <w:lang w:val="en-GB"/>
        </w:rPr>
        <w:t xml:space="preserve"> in GB to draft.</w:t>
      </w:r>
      <w:r w:rsidR="0048149B" w:rsidRPr="00D00ABD">
        <w:rPr>
          <w:lang w:val="en-GB"/>
        </w:rPr>
        <w:t xml:space="preserve"> Purely for clarity is may be noted that the sub-division of TSO roles between network asset owner</w:t>
      </w:r>
      <w:r w:rsidR="000623A6" w:rsidRPr="00D00ABD">
        <w:rPr>
          <w:lang w:val="en-GB"/>
        </w:rPr>
        <w:t xml:space="preserve"> functions</w:t>
      </w:r>
      <w:r w:rsidR="0048149B" w:rsidRPr="00D00ABD">
        <w:rPr>
          <w:lang w:val="en-GB"/>
        </w:rPr>
        <w:t xml:space="preserve"> and operator functions is not always present in other parts of the European Union.</w:t>
      </w:r>
    </w:p>
    <w:p w14:paraId="6C72E72C" w14:textId="3E55EE45" w:rsidR="00CD0A62" w:rsidRPr="00D00ABD" w:rsidRDefault="00CD0A62" w:rsidP="00FB2509">
      <w:pPr>
        <w:pStyle w:val="Paragrapgh-numbered"/>
        <w:rPr>
          <w:lang w:val="en-GB"/>
        </w:rPr>
      </w:pPr>
      <w:r w:rsidRPr="00D00ABD">
        <w:rPr>
          <w:lang w:val="en-GB"/>
        </w:rPr>
        <w:t xml:space="preserve">The </w:t>
      </w:r>
      <w:r w:rsidR="005824B2" w:rsidRPr="00D00ABD">
        <w:rPr>
          <w:lang w:val="en-GB"/>
        </w:rPr>
        <w:t>SOGL</w:t>
      </w:r>
      <w:r w:rsidRPr="00D00ABD">
        <w:rPr>
          <w:lang w:val="en-GB"/>
        </w:rPr>
        <w:t xml:space="preserve"> determines that there are two paths for approvals in the </w:t>
      </w:r>
      <w:r w:rsidR="0051359E" w:rsidRPr="00D00ABD">
        <w:rPr>
          <w:lang w:val="en-GB"/>
        </w:rPr>
        <w:t>SAOM</w:t>
      </w:r>
      <w:r w:rsidRPr="00D00ABD">
        <w:rPr>
          <w:lang w:val="en-GB"/>
        </w:rPr>
        <w:t xml:space="preserve"> (</w:t>
      </w:r>
      <w:r w:rsidR="000222DE" w:rsidRPr="00D00ABD">
        <w:rPr>
          <w:lang w:val="en-GB"/>
        </w:rPr>
        <w:t>Article 118):</w:t>
      </w:r>
      <w:r w:rsidR="004C519D" w:rsidRPr="00D00ABD">
        <w:rPr>
          <w:lang w:val="en-GB"/>
        </w:rPr>
        <w:t xml:space="preserve"> </w:t>
      </w:r>
    </w:p>
    <w:p w14:paraId="6C72E72D" w14:textId="01A2A08A" w:rsidR="000222DE" w:rsidRPr="00D00ABD" w:rsidRDefault="00CD0A62" w:rsidP="000222DE">
      <w:pPr>
        <w:pStyle w:val="Paragrapgh-numbered"/>
        <w:numPr>
          <w:ilvl w:val="1"/>
          <w:numId w:val="2"/>
        </w:numPr>
        <w:rPr>
          <w:lang w:val="en-GB"/>
        </w:rPr>
      </w:pPr>
      <w:r w:rsidRPr="00D00ABD">
        <w:rPr>
          <w:lang w:val="en-GB"/>
        </w:rPr>
        <w:t xml:space="preserve">Those agreements from SOGL </w:t>
      </w:r>
      <w:r w:rsidR="000222DE" w:rsidRPr="00D00ABD">
        <w:rPr>
          <w:lang w:val="en-GB"/>
        </w:rPr>
        <w:t>Article</w:t>
      </w:r>
      <w:r w:rsidRPr="00D00ABD">
        <w:rPr>
          <w:lang w:val="en-GB"/>
        </w:rPr>
        <w:t xml:space="preserve"> 118 developed by </w:t>
      </w:r>
      <w:r w:rsidR="00D32DD5" w:rsidRPr="00D00ABD">
        <w:rPr>
          <w:lang w:val="en-GB"/>
        </w:rPr>
        <w:t>the ESO</w:t>
      </w:r>
      <w:r w:rsidRPr="00D00ABD">
        <w:rPr>
          <w:lang w:val="en-GB"/>
        </w:rPr>
        <w:t xml:space="preserve"> </w:t>
      </w:r>
      <w:r w:rsidR="00FB2509" w:rsidRPr="00D00ABD">
        <w:rPr>
          <w:lang w:val="en-GB"/>
        </w:rPr>
        <w:t xml:space="preserve">for GB </w:t>
      </w:r>
      <w:r w:rsidRPr="00D00ABD">
        <w:rPr>
          <w:lang w:val="en-GB"/>
        </w:rPr>
        <w:t xml:space="preserve">which are referenced in SOGL </w:t>
      </w:r>
      <w:r w:rsidR="000222DE" w:rsidRPr="00D00ABD">
        <w:rPr>
          <w:lang w:val="en-GB"/>
        </w:rPr>
        <w:t>Article</w:t>
      </w:r>
      <w:r w:rsidRPr="00D00ABD">
        <w:rPr>
          <w:lang w:val="en-GB"/>
        </w:rPr>
        <w:t xml:space="preserve"> 6(3) concerning NRA approval are subject to a public consultation from SOGL </w:t>
      </w:r>
      <w:r w:rsidR="000222DE" w:rsidRPr="00D00ABD">
        <w:rPr>
          <w:lang w:val="en-GB"/>
        </w:rPr>
        <w:t>Article</w:t>
      </w:r>
      <w:r w:rsidRPr="00D00ABD">
        <w:rPr>
          <w:lang w:val="en-GB"/>
        </w:rPr>
        <w:t xml:space="preserve"> 11 and then NRA (OFGEM) approval. Th</w:t>
      </w:r>
      <w:r w:rsidR="00417171" w:rsidRPr="00D00ABD">
        <w:rPr>
          <w:lang w:val="en-GB"/>
        </w:rPr>
        <w:t>e</w:t>
      </w:r>
      <w:r w:rsidRPr="00D00ABD">
        <w:rPr>
          <w:lang w:val="en-GB"/>
        </w:rPr>
        <w:t>s</w:t>
      </w:r>
      <w:r w:rsidR="00417171" w:rsidRPr="00D00ABD">
        <w:rPr>
          <w:lang w:val="en-GB"/>
        </w:rPr>
        <w:t>e</w:t>
      </w:r>
      <w:r w:rsidRPr="00D00ABD">
        <w:rPr>
          <w:lang w:val="en-GB"/>
        </w:rPr>
        <w:t xml:space="preserve"> </w:t>
      </w:r>
      <w:r w:rsidR="00417171" w:rsidRPr="00D00ABD">
        <w:rPr>
          <w:lang w:val="en-GB"/>
        </w:rPr>
        <w:t>are contained in</w:t>
      </w:r>
      <w:r w:rsidRPr="00D00ABD">
        <w:rPr>
          <w:lang w:val="en-GB"/>
        </w:rPr>
        <w:t xml:space="preserve"> Title 2 of the </w:t>
      </w:r>
      <w:r w:rsidR="0051359E" w:rsidRPr="00D00ABD">
        <w:rPr>
          <w:lang w:val="en-GB"/>
        </w:rPr>
        <w:t>SAOM</w:t>
      </w:r>
      <w:r w:rsidRPr="00D00ABD">
        <w:rPr>
          <w:lang w:val="en-GB"/>
        </w:rPr>
        <w:t xml:space="preserve"> document</w:t>
      </w:r>
      <w:r w:rsidR="00417171" w:rsidRPr="00D00ABD">
        <w:rPr>
          <w:lang w:val="en-GB"/>
        </w:rPr>
        <w:t xml:space="preserve"> (see the next section for a list)</w:t>
      </w:r>
      <w:r w:rsidR="000222DE" w:rsidRPr="00D00ABD">
        <w:rPr>
          <w:lang w:val="en-GB"/>
        </w:rPr>
        <w:t>;</w:t>
      </w:r>
      <w:r w:rsidRPr="00D00ABD">
        <w:rPr>
          <w:lang w:val="en-GB"/>
        </w:rPr>
        <w:t xml:space="preserve"> </w:t>
      </w:r>
    </w:p>
    <w:p w14:paraId="6C72E72E" w14:textId="56F58EF2" w:rsidR="00D22187" w:rsidRPr="00D00ABD" w:rsidRDefault="00D22187" w:rsidP="000222DE">
      <w:pPr>
        <w:pStyle w:val="Paragrapgh-numbered"/>
        <w:numPr>
          <w:ilvl w:val="1"/>
          <w:numId w:val="2"/>
        </w:numPr>
        <w:rPr>
          <w:lang w:val="en-GB"/>
        </w:rPr>
      </w:pPr>
      <w:r w:rsidRPr="00D00ABD">
        <w:rPr>
          <w:lang w:val="en-GB"/>
        </w:rPr>
        <w:t xml:space="preserve">Those agreements from SOGL Article 118 </w:t>
      </w:r>
      <w:r w:rsidR="00CD0A62" w:rsidRPr="00D00ABD">
        <w:rPr>
          <w:lang w:val="en-GB"/>
        </w:rPr>
        <w:t xml:space="preserve">not requiring OFGEM approval or </w:t>
      </w:r>
      <w:r w:rsidR="00417171" w:rsidRPr="00D00ABD">
        <w:rPr>
          <w:lang w:val="en-GB"/>
        </w:rPr>
        <w:t>public c</w:t>
      </w:r>
      <w:r w:rsidR="00CD0A62" w:rsidRPr="00D00ABD">
        <w:rPr>
          <w:lang w:val="en-GB"/>
        </w:rPr>
        <w:t xml:space="preserve">onsultation will be drafted by </w:t>
      </w:r>
      <w:r w:rsidR="00D32DD5" w:rsidRPr="00D00ABD">
        <w:rPr>
          <w:lang w:val="en-GB"/>
        </w:rPr>
        <w:t>the ESO</w:t>
      </w:r>
      <w:r w:rsidRPr="00D00ABD">
        <w:rPr>
          <w:lang w:val="en-GB"/>
        </w:rPr>
        <w:t>.</w:t>
      </w:r>
      <w:r w:rsidR="00CD0A62" w:rsidRPr="00D00ABD">
        <w:rPr>
          <w:lang w:val="en-GB"/>
        </w:rPr>
        <w:t xml:space="preserve"> </w:t>
      </w:r>
      <w:r w:rsidRPr="00D00ABD">
        <w:rPr>
          <w:lang w:val="en-GB"/>
        </w:rPr>
        <w:t xml:space="preserve">These agreements are found in Title 3 of the </w:t>
      </w:r>
      <w:r w:rsidR="0051359E" w:rsidRPr="00D00ABD">
        <w:rPr>
          <w:lang w:val="en-GB"/>
        </w:rPr>
        <w:t>SAOM</w:t>
      </w:r>
      <w:r w:rsidRPr="00D00ABD">
        <w:rPr>
          <w:lang w:val="en-GB"/>
        </w:rPr>
        <w:t xml:space="preserve"> document.</w:t>
      </w:r>
    </w:p>
    <w:p w14:paraId="6C72E72F" w14:textId="2579B854" w:rsidR="00CD0A62" w:rsidRPr="00D00ABD" w:rsidRDefault="00D22187" w:rsidP="000222DE">
      <w:pPr>
        <w:pStyle w:val="Paragrapgh-numbered"/>
        <w:numPr>
          <w:ilvl w:val="1"/>
          <w:numId w:val="2"/>
        </w:numPr>
        <w:rPr>
          <w:lang w:val="en-GB"/>
        </w:rPr>
      </w:pPr>
      <w:r w:rsidRPr="00D00ABD">
        <w:rPr>
          <w:lang w:val="en-GB"/>
        </w:rPr>
        <w:t xml:space="preserve">The </w:t>
      </w:r>
      <w:r w:rsidR="0051359E" w:rsidRPr="00D00ABD">
        <w:rPr>
          <w:lang w:val="en-GB"/>
        </w:rPr>
        <w:t>SAOM</w:t>
      </w:r>
      <w:r w:rsidRPr="00D00ABD">
        <w:rPr>
          <w:lang w:val="en-GB"/>
        </w:rPr>
        <w:t xml:space="preserve"> document will be </w:t>
      </w:r>
      <w:r w:rsidR="00CD0A62" w:rsidRPr="00D00ABD">
        <w:rPr>
          <w:lang w:val="en-GB"/>
        </w:rPr>
        <w:t xml:space="preserve">published at the end of the </w:t>
      </w:r>
      <w:r w:rsidRPr="00D00ABD">
        <w:rPr>
          <w:lang w:val="en-GB"/>
        </w:rPr>
        <w:t xml:space="preserve">drafting and approval </w:t>
      </w:r>
      <w:r w:rsidR="00CD0A62" w:rsidRPr="00D00ABD">
        <w:rPr>
          <w:lang w:val="en-GB"/>
        </w:rPr>
        <w:t xml:space="preserve">process according to </w:t>
      </w:r>
      <w:r w:rsidR="000623A6" w:rsidRPr="00D00ABD">
        <w:rPr>
          <w:lang w:val="en-GB"/>
        </w:rPr>
        <w:t xml:space="preserve">SOGL </w:t>
      </w:r>
      <w:r w:rsidR="000222DE" w:rsidRPr="00D00ABD">
        <w:rPr>
          <w:lang w:val="en-GB"/>
        </w:rPr>
        <w:t>Article</w:t>
      </w:r>
      <w:r w:rsidR="00CD0A62" w:rsidRPr="00D00ABD">
        <w:rPr>
          <w:lang w:val="en-GB"/>
        </w:rPr>
        <w:t xml:space="preserve">s </w:t>
      </w:r>
      <w:r w:rsidR="000623A6" w:rsidRPr="00D00ABD">
        <w:rPr>
          <w:lang w:val="en-GB"/>
        </w:rPr>
        <w:t xml:space="preserve">8, </w:t>
      </w:r>
      <w:r w:rsidR="00CD0A62" w:rsidRPr="00D00ABD">
        <w:rPr>
          <w:lang w:val="en-GB"/>
        </w:rPr>
        <w:t>183, 184 on the ENTSO-E website</w:t>
      </w:r>
      <w:r w:rsidR="000623A6" w:rsidRPr="00D00ABD">
        <w:rPr>
          <w:lang w:val="en-GB"/>
        </w:rPr>
        <w:t xml:space="preserve"> where specified otherwise on the ESO’s website</w:t>
      </w:r>
      <w:r w:rsidR="00CD0A62" w:rsidRPr="00D00ABD">
        <w:rPr>
          <w:lang w:val="en-GB"/>
        </w:rPr>
        <w:t>.</w:t>
      </w:r>
      <w:r w:rsidR="00417171" w:rsidRPr="00D00ABD">
        <w:rPr>
          <w:lang w:val="en-GB"/>
        </w:rPr>
        <w:t xml:space="preserve"> </w:t>
      </w:r>
    </w:p>
    <w:p w14:paraId="6C72E730" w14:textId="469633F4" w:rsidR="000222DE" w:rsidRPr="00D00ABD" w:rsidRDefault="00DA4014" w:rsidP="00DA4014">
      <w:pPr>
        <w:pStyle w:val="Paragrapgh-numbered"/>
        <w:rPr>
          <w:lang w:val="en-GB"/>
        </w:rPr>
      </w:pPr>
      <w:r w:rsidRPr="00D00ABD">
        <w:rPr>
          <w:lang w:val="en-GB"/>
        </w:rPr>
        <w:t xml:space="preserve">Whilst the </w:t>
      </w:r>
      <w:r w:rsidR="0051359E" w:rsidRPr="00D00ABD">
        <w:rPr>
          <w:lang w:val="en-GB"/>
        </w:rPr>
        <w:t>SAOM</w:t>
      </w:r>
      <w:r w:rsidRPr="00D00ABD">
        <w:rPr>
          <w:lang w:val="en-GB"/>
        </w:rPr>
        <w:t xml:space="preserve"> includes agreements specific to the security considerations of exchanged and shared services via HVDC interconnectors with other synchronous areas, these agreements only consider the GB implications on security and effective operation of the </w:t>
      </w:r>
      <w:r w:rsidRPr="00D00ABD">
        <w:rPr>
          <w:lang w:val="en-GB"/>
        </w:rPr>
        <w:lastRenderedPageBreak/>
        <w:t>Load Frequency Control Structure and not the needs of other synchronous areas.</w:t>
      </w:r>
      <w:r w:rsidR="00D22187" w:rsidRPr="00D00ABD">
        <w:rPr>
          <w:lang w:val="en-GB"/>
        </w:rPr>
        <w:t xml:space="preserve"> </w:t>
      </w:r>
      <w:r w:rsidR="0076717C" w:rsidRPr="00D00ABD">
        <w:rPr>
          <w:lang w:val="en-GB"/>
        </w:rPr>
        <w:t xml:space="preserve">This having been said, the interconnector operation and active power interchange across the HVDC interconnectors must take account of restrictions placed on them by GB operational agreements and those from other connecting areas and even wider areas in the case where those areas LFC processes interact with the </w:t>
      </w:r>
      <w:r w:rsidR="000623A6" w:rsidRPr="00D00ABD">
        <w:rPr>
          <w:lang w:val="en-GB"/>
        </w:rPr>
        <w:t>cross-border</w:t>
      </w:r>
      <w:r w:rsidR="0076717C" w:rsidRPr="00D00ABD">
        <w:rPr>
          <w:lang w:val="en-GB"/>
        </w:rPr>
        <w:t xml:space="preserve"> power exchange and service exchange. </w:t>
      </w:r>
    </w:p>
    <w:p w14:paraId="6BC05B05" w14:textId="0B53EC03" w:rsidR="00AB47D8" w:rsidRPr="00D00ABD" w:rsidRDefault="00AB47D8" w:rsidP="00DE04A7">
      <w:pPr>
        <w:pStyle w:val="Paragrapgh-numbered"/>
        <w:numPr>
          <w:ilvl w:val="1"/>
          <w:numId w:val="2"/>
        </w:numPr>
        <w:rPr>
          <w:lang w:val="en-GB"/>
        </w:rPr>
      </w:pPr>
      <w:r w:rsidRPr="00D00ABD">
        <w:rPr>
          <w:lang w:val="en-GB"/>
        </w:rPr>
        <w:t xml:space="preserve">Example: Ramping Restrictions may be specified in the GB </w:t>
      </w:r>
      <w:r w:rsidR="0051359E" w:rsidRPr="00D00ABD">
        <w:rPr>
          <w:lang w:val="en-GB"/>
        </w:rPr>
        <w:t>SAOM</w:t>
      </w:r>
      <w:r w:rsidRPr="00D00ABD">
        <w:rPr>
          <w:lang w:val="en-GB"/>
        </w:rPr>
        <w:t xml:space="preserve"> and GB LFCBOA; whilst additional restrictions may be specified within the analogous operational agreements of the connecting areas.</w:t>
      </w:r>
    </w:p>
    <w:p w14:paraId="486329CE" w14:textId="2D91F6CC" w:rsidR="0045752A" w:rsidRPr="00D00ABD" w:rsidRDefault="0045752A" w:rsidP="00DE04A7">
      <w:pPr>
        <w:pStyle w:val="Paragrapgh-numbered"/>
        <w:numPr>
          <w:ilvl w:val="1"/>
          <w:numId w:val="2"/>
        </w:numPr>
        <w:rPr>
          <w:lang w:val="en-GB"/>
        </w:rPr>
      </w:pPr>
      <w:r w:rsidRPr="00D00ABD">
        <w:rPr>
          <w:lang w:val="en-GB"/>
        </w:rPr>
        <w:t>Example: Cross Border Exchange service for Replacement Reserves may have design features determined by the specific needs or restrictions placed on the service by one or more of the participating areas. These may impact the interaction of the individual area or the general architecture of the exchange platform.</w:t>
      </w:r>
      <w:r w:rsidR="004C519D" w:rsidRPr="00D00ABD">
        <w:rPr>
          <w:lang w:val="en-GB"/>
        </w:rPr>
        <w:t xml:space="preserve"> </w:t>
      </w:r>
      <w:r w:rsidRPr="00D00ABD">
        <w:rPr>
          <w:lang w:val="en-GB"/>
        </w:rPr>
        <w:t xml:space="preserve">For example each participating Synchronous Area may in the </w:t>
      </w:r>
      <w:r w:rsidR="0051359E" w:rsidRPr="00D00ABD">
        <w:rPr>
          <w:lang w:val="en-GB"/>
        </w:rPr>
        <w:t>SAOM</w:t>
      </w:r>
      <w:r w:rsidRPr="00D00ABD">
        <w:rPr>
          <w:lang w:val="en-GB"/>
        </w:rPr>
        <w:t xml:space="preserve"> specify limits for the sharing or exchange of RR with other areas.</w:t>
      </w:r>
    </w:p>
    <w:p w14:paraId="0680805A" w14:textId="497080F4" w:rsidR="003145E7" w:rsidRPr="00D00ABD" w:rsidRDefault="00385EF4">
      <w:pPr>
        <w:pStyle w:val="Paragrapgh-numbered"/>
        <w:rPr>
          <w:lang w:val="en-GB"/>
        </w:rPr>
      </w:pPr>
      <w:r w:rsidRPr="00D00ABD">
        <w:rPr>
          <w:lang w:val="en-GB"/>
        </w:rPr>
        <w:t xml:space="preserve">GB </w:t>
      </w:r>
      <w:r w:rsidR="00067CCD" w:rsidRPr="00D00ABD">
        <w:rPr>
          <w:lang w:val="en-GB"/>
        </w:rPr>
        <w:t>shall (subject to discussions in Grid Code working-group GC-0114</w:t>
      </w:r>
      <w:r w:rsidR="00097B0F">
        <w:rPr>
          <w:lang w:val="en-GB"/>
        </w:rPr>
        <w:t>, which are ongoing at the time of writing</w:t>
      </w:r>
      <w:r w:rsidR="00067CCD" w:rsidRPr="00D00ABD">
        <w:rPr>
          <w:lang w:val="en-GB"/>
        </w:rPr>
        <w:t xml:space="preserve">) </w:t>
      </w:r>
      <w:r w:rsidRPr="00D00ABD">
        <w:rPr>
          <w:lang w:val="en-GB"/>
        </w:rPr>
        <w:t xml:space="preserve">continue to have multiple reserve </w:t>
      </w:r>
      <w:r w:rsidR="007C6C0F" w:rsidRPr="00D00ABD">
        <w:rPr>
          <w:lang w:val="en-GB"/>
        </w:rPr>
        <w:t xml:space="preserve">and response </w:t>
      </w:r>
      <w:r w:rsidRPr="00D00ABD">
        <w:rPr>
          <w:lang w:val="en-GB"/>
        </w:rPr>
        <w:t>services operated using multiple control processes</w:t>
      </w:r>
      <w:r w:rsidR="00067CCD" w:rsidRPr="00D00ABD">
        <w:rPr>
          <w:lang w:val="en-GB"/>
        </w:rPr>
        <w:t>; a design which allows for greater optimization of needs and technical capabilities of providers and an architecture expressly permitted by the EBGL</w:t>
      </w:r>
      <w:r w:rsidRPr="00D00ABD">
        <w:rPr>
          <w:lang w:val="en-GB"/>
        </w:rPr>
        <w:t>.</w:t>
      </w:r>
      <w:r w:rsidR="004C519D" w:rsidRPr="00D00ABD">
        <w:rPr>
          <w:lang w:val="en-GB"/>
        </w:rPr>
        <w:t xml:space="preserve"> </w:t>
      </w:r>
    </w:p>
    <w:p w14:paraId="22043385" w14:textId="7AE78CF2" w:rsidR="00385EF4" w:rsidRPr="00D00ABD" w:rsidRDefault="00385EF4" w:rsidP="00DE04A7">
      <w:pPr>
        <w:pStyle w:val="Paragrapgh-numbered"/>
        <w:numPr>
          <w:ilvl w:val="1"/>
          <w:numId w:val="2"/>
        </w:numPr>
        <w:rPr>
          <w:lang w:val="en-GB"/>
        </w:rPr>
      </w:pPr>
      <w:r w:rsidRPr="00D00ABD">
        <w:rPr>
          <w:lang w:val="en-GB"/>
        </w:rPr>
        <w:t>The E</w:t>
      </w:r>
      <w:r w:rsidR="00873FED" w:rsidRPr="00D00ABD">
        <w:rPr>
          <w:lang w:val="en-GB"/>
        </w:rPr>
        <w:t xml:space="preserve">uropean </w:t>
      </w:r>
      <w:r w:rsidRPr="00D00ABD">
        <w:rPr>
          <w:lang w:val="en-GB"/>
        </w:rPr>
        <w:t>B</w:t>
      </w:r>
      <w:r w:rsidR="00873FED" w:rsidRPr="00D00ABD">
        <w:rPr>
          <w:lang w:val="en-GB"/>
        </w:rPr>
        <w:t xml:space="preserve">alancing </w:t>
      </w:r>
      <w:r w:rsidRPr="00D00ABD">
        <w:rPr>
          <w:lang w:val="en-GB"/>
        </w:rPr>
        <w:t>G</w:t>
      </w:r>
      <w:r w:rsidR="00873FED" w:rsidRPr="00D00ABD">
        <w:rPr>
          <w:lang w:val="en-GB"/>
        </w:rPr>
        <w:t>uideline (EBG</w:t>
      </w:r>
      <w:r w:rsidRPr="00D00ABD">
        <w:rPr>
          <w:lang w:val="en-GB"/>
        </w:rPr>
        <w:t>L</w:t>
      </w:r>
      <w:r w:rsidR="00873FED" w:rsidRPr="00D00ABD">
        <w:rPr>
          <w:lang w:val="en-GB"/>
        </w:rPr>
        <w:t>)</w:t>
      </w:r>
      <w:r w:rsidR="00873FED" w:rsidRPr="00D00ABD">
        <w:rPr>
          <w:rStyle w:val="FootnoteReference"/>
          <w:lang w:val="en-GB"/>
        </w:rPr>
        <w:footnoteReference w:id="3"/>
      </w:r>
      <w:r w:rsidRPr="00D00ABD">
        <w:rPr>
          <w:lang w:val="en-GB"/>
        </w:rPr>
        <w:t xml:space="preserve"> partner regulation to SOGL recognizes there to be multiple specific and standard products.</w:t>
      </w:r>
      <w:r w:rsidR="004C519D" w:rsidRPr="00D00ABD">
        <w:rPr>
          <w:lang w:val="en-GB"/>
        </w:rPr>
        <w:t xml:space="preserve"> </w:t>
      </w:r>
      <w:r w:rsidR="00067CCD" w:rsidRPr="00D00ABD">
        <w:rPr>
          <w:lang w:val="en-GB"/>
        </w:rPr>
        <w:t xml:space="preserve">A reserve product </w:t>
      </w:r>
      <w:r w:rsidR="003145E7" w:rsidRPr="00D00ABD">
        <w:rPr>
          <w:lang w:val="en-GB"/>
        </w:rPr>
        <w:t xml:space="preserve">from EBGL </w:t>
      </w:r>
      <w:r w:rsidR="00067CCD" w:rsidRPr="00D00ABD">
        <w:rPr>
          <w:lang w:val="en-GB"/>
        </w:rPr>
        <w:t xml:space="preserve">is </w:t>
      </w:r>
      <w:r w:rsidR="003145E7" w:rsidRPr="00D00ABD">
        <w:rPr>
          <w:lang w:val="en-GB"/>
        </w:rPr>
        <w:t xml:space="preserve">the commercial and market embodiment that extends the technical reserve service requirements of SOGL. </w:t>
      </w:r>
      <w:r w:rsidRPr="00D00ABD">
        <w:rPr>
          <w:lang w:val="en-GB"/>
        </w:rPr>
        <w:t xml:space="preserve">SOGL only considers the technical characteristics of a service and its relationship to control processes designed to meet frequency quality standards. </w:t>
      </w:r>
    </w:p>
    <w:p w14:paraId="7A07F213" w14:textId="77777777" w:rsidR="00385EF4" w:rsidRPr="00D00ABD" w:rsidRDefault="00385EF4" w:rsidP="00DE04A7">
      <w:pPr>
        <w:pStyle w:val="Paragrapgh-numbered"/>
        <w:numPr>
          <w:ilvl w:val="1"/>
          <w:numId w:val="2"/>
        </w:numPr>
        <w:rPr>
          <w:lang w:val="en-GB"/>
        </w:rPr>
      </w:pPr>
      <w:r w:rsidRPr="00D00ABD">
        <w:rPr>
          <w:lang w:val="en-GB"/>
        </w:rPr>
        <w:t xml:space="preserve">To explain that multiple control processes map into three types of SOGL defined control structures (FCP, FRP and RRP) and that these control structures create the need for </w:t>
      </w:r>
      <w:r w:rsidR="00422836" w:rsidRPr="00D00ABD">
        <w:rPr>
          <w:lang w:val="en-GB"/>
        </w:rPr>
        <w:t>SOGL</w:t>
      </w:r>
      <w:r w:rsidRPr="00D00ABD">
        <w:rPr>
          <w:lang w:val="en-GB"/>
        </w:rPr>
        <w:t xml:space="preserve"> defined reserve categories with common purpose but into which specific services with their distinct technical and service criteria fit. </w:t>
      </w:r>
    </w:p>
    <w:p w14:paraId="6D175A96" w14:textId="7F172C32" w:rsidR="00422836" w:rsidRPr="00D00ABD" w:rsidRDefault="00385EF4" w:rsidP="00DE04A7">
      <w:pPr>
        <w:pStyle w:val="Paragrapgh-numbered"/>
        <w:numPr>
          <w:ilvl w:val="1"/>
          <w:numId w:val="2"/>
        </w:numPr>
        <w:rPr>
          <w:lang w:val="en-GB"/>
        </w:rPr>
      </w:pPr>
      <w:r w:rsidRPr="00D00ABD">
        <w:rPr>
          <w:lang w:val="en-GB"/>
        </w:rPr>
        <w:t>T</w:t>
      </w:r>
      <w:r w:rsidR="00422836" w:rsidRPr="00D00ABD">
        <w:rPr>
          <w:lang w:val="en-GB"/>
        </w:rPr>
        <w:t xml:space="preserve">he title of the ‘agreements’ within the </w:t>
      </w:r>
      <w:r w:rsidR="0051359E" w:rsidRPr="00D00ABD">
        <w:rPr>
          <w:lang w:val="en-GB"/>
        </w:rPr>
        <w:t>SAOM</w:t>
      </w:r>
      <w:r w:rsidR="00422836" w:rsidRPr="00D00ABD">
        <w:rPr>
          <w:lang w:val="en-GB"/>
        </w:rPr>
        <w:t xml:space="preserve"> consider the principles that each Synchronous Area has its own frequency quality standards (SOGL articles 127 and 128); that the ESOs of each Synchronous Area according to the Load Frequency Control structure (SOGL articles 139 to 141) must according to their Process Responsibility Structure (in GB the single ESO is responsible for all aspects where relevant)</w:t>
      </w:r>
      <w:r w:rsidR="002A577A" w:rsidRPr="00D00ABD">
        <w:rPr>
          <w:lang w:val="en-GB"/>
        </w:rPr>
        <w:t xml:space="preserve"> design an appropriate Process Activation Structure. </w:t>
      </w:r>
      <w:r w:rsidRPr="00D00ABD">
        <w:rPr>
          <w:lang w:val="en-GB"/>
        </w:rPr>
        <w:t>(</w:t>
      </w:r>
      <w:r w:rsidR="002A577A" w:rsidRPr="00D00ABD">
        <w:rPr>
          <w:lang w:val="en-GB"/>
        </w:rPr>
        <w:t xml:space="preserve">This is developed later in this document in the </w:t>
      </w:r>
      <w:r w:rsidR="0051359E" w:rsidRPr="00D00ABD">
        <w:rPr>
          <w:lang w:val="en-GB"/>
        </w:rPr>
        <w:t>SAOM</w:t>
      </w:r>
      <w:r w:rsidR="002A577A" w:rsidRPr="00D00ABD">
        <w:rPr>
          <w:lang w:val="en-GB"/>
        </w:rPr>
        <w:t xml:space="preserve"> article 18</w:t>
      </w:r>
      <w:r w:rsidRPr="00D00ABD">
        <w:rPr>
          <w:lang w:val="en-GB"/>
        </w:rPr>
        <w:t>)</w:t>
      </w:r>
      <w:r w:rsidR="002A577A" w:rsidRPr="00D00ABD">
        <w:rPr>
          <w:lang w:val="en-GB"/>
        </w:rPr>
        <w:t>. It is these national and cross-border control process types which then direct the needs of specific reserve categories.</w:t>
      </w:r>
    </w:p>
    <w:p w14:paraId="784344DB" w14:textId="3707872E" w:rsidR="00385EF4" w:rsidRPr="00D00ABD" w:rsidRDefault="00067CCD" w:rsidP="00DE04A7">
      <w:pPr>
        <w:pStyle w:val="Paragrapgh-numbered"/>
        <w:numPr>
          <w:ilvl w:val="1"/>
          <w:numId w:val="2"/>
        </w:numPr>
        <w:rPr>
          <w:lang w:val="en-GB"/>
        </w:rPr>
      </w:pPr>
      <w:r w:rsidRPr="00D00ABD">
        <w:rPr>
          <w:lang w:val="en-GB"/>
        </w:rPr>
        <w:t>Each reserve type must have a size requirement or ‘Capacity’ defined and used in control planning and operations across different time horizons.</w:t>
      </w:r>
      <w:r w:rsidR="004C519D" w:rsidRPr="00D00ABD">
        <w:rPr>
          <w:lang w:val="en-GB"/>
        </w:rPr>
        <w:t xml:space="preserve"> </w:t>
      </w:r>
      <w:r w:rsidRPr="00D00ABD">
        <w:rPr>
          <w:lang w:val="en-GB"/>
        </w:rPr>
        <w:t>In reserve contracting timescales this ‘Capacity’ is the same as the value used to determine the TSO need for contracted reserve</w:t>
      </w:r>
      <w:r w:rsidR="00873FED" w:rsidRPr="00D00ABD">
        <w:rPr>
          <w:lang w:val="en-GB"/>
        </w:rPr>
        <w:t xml:space="preserve"> &amp; response services</w:t>
      </w:r>
      <w:r w:rsidRPr="00D00ABD">
        <w:rPr>
          <w:lang w:val="en-GB"/>
        </w:rPr>
        <w:t xml:space="preserve"> in each reserve category. </w:t>
      </w:r>
      <w:r w:rsidRPr="00D00ABD">
        <w:rPr>
          <w:lang w:val="en-GB"/>
        </w:rPr>
        <w:lastRenderedPageBreak/>
        <w:t xml:space="preserve">This ‘need’ in terms of capacity and flexibility may in-turn be sub-divided into several control process and related reserve </w:t>
      </w:r>
      <w:r w:rsidR="00873FED" w:rsidRPr="00D00ABD">
        <w:rPr>
          <w:lang w:val="en-GB"/>
        </w:rPr>
        <w:t xml:space="preserve">&amp; response </w:t>
      </w:r>
      <w:r w:rsidRPr="00D00ABD">
        <w:rPr>
          <w:lang w:val="en-GB"/>
        </w:rPr>
        <w:t xml:space="preserve">services according to their role in the </w:t>
      </w:r>
      <w:r w:rsidR="00873FED" w:rsidRPr="00D00ABD">
        <w:rPr>
          <w:lang w:val="en-GB"/>
        </w:rPr>
        <w:t>SOGL (Article 140) ‘</w:t>
      </w:r>
      <w:r w:rsidRPr="00D00ABD">
        <w:rPr>
          <w:lang w:val="en-GB"/>
        </w:rPr>
        <w:t>Process Activation Structure</w:t>
      </w:r>
      <w:r w:rsidR="00873FED" w:rsidRPr="00D00ABD">
        <w:rPr>
          <w:lang w:val="en-GB"/>
        </w:rPr>
        <w:t>’</w:t>
      </w:r>
      <w:r w:rsidRPr="00D00ABD">
        <w:rPr>
          <w:lang w:val="en-GB"/>
        </w:rPr>
        <w:t xml:space="preserve"> </w:t>
      </w:r>
      <w:r w:rsidR="00873FED" w:rsidRPr="00D00ABD">
        <w:rPr>
          <w:lang w:val="en-GB"/>
        </w:rPr>
        <w:t xml:space="preserve">(SAOM Article 18) </w:t>
      </w:r>
      <w:r w:rsidRPr="00D00ABD">
        <w:rPr>
          <w:lang w:val="en-GB"/>
        </w:rPr>
        <w:t>and the capabilities of providers and technologies that service them.</w:t>
      </w:r>
    </w:p>
    <w:p w14:paraId="16CDE222" w14:textId="131DB2AA" w:rsidR="003145E7" w:rsidRPr="00D00ABD" w:rsidRDefault="003145E7" w:rsidP="00DE04A7">
      <w:pPr>
        <w:pStyle w:val="Paragrapgh-numbered"/>
        <w:numPr>
          <w:ilvl w:val="1"/>
          <w:numId w:val="2"/>
        </w:numPr>
        <w:rPr>
          <w:lang w:val="en-GB"/>
        </w:rPr>
      </w:pPr>
      <w:r w:rsidRPr="00D00ABD">
        <w:rPr>
          <w:lang w:val="en-GB"/>
        </w:rPr>
        <w:t>Since the needs of the system and combined capacity and flexibility offering will change with time within the control areas; SOGL determined to give the ESOs of each area the flexibility to determine their own control process structures and to set their own technical rules and limits concerning service structure, data provision, aggregation, minimum technical requirements and control capabilities of these services. Rules requiring the security needs and limits to cross border active power transfers (whether market flows or cross border reserve services) are also a prerequisite to setting-up and operating such arrangements.</w:t>
      </w:r>
    </w:p>
    <w:p w14:paraId="755BE039" w14:textId="5B3B81B9" w:rsidR="007A58E9" w:rsidRPr="00D00ABD" w:rsidRDefault="007A58E9" w:rsidP="00DE04A7">
      <w:pPr>
        <w:pStyle w:val="Paragrapgh-numbered"/>
        <w:numPr>
          <w:ilvl w:val="1"/>
          <w:numId w:val="2"/>
        </w:numPr>
        <w:rPr>
          <w:lang w:val="en-GB"/>
        </w:rPr>
      </w:pPr>
      <w:r w:rsidRPr="00D00ABD">
        <w:rPr>
          <w:lang w:val="en-GB"/>
        </w:rPr>
        <w:t xml:space="preserve">Going forwards it is therefore </w:t>
      </w:r>
      <w:r w:rsidR="00873FED" w:rsidRPr="00D00ABD">
        <w:rPr>
          <w:lang w:val="en-GB"/>
        </w:rPr>
        <w:t xml:space="preserve">necessary </w:t>
      </w:r>
      <w:r w:rsidRPr="00D00ABD">
        <w:rPr>
          <w:lang w:val="en-GB"/>
        </w:rPr>
        <w:t xml:space="preserve">for the ESO to maintain a published mapping of GB </w:t>
      </w:r>
      <w:r w:rsidR="00873FED" w:rsidRPr="00D00ABD">
        <w:rPr>
          <w:lang w:val="en-GB"/>
        </w:rPr>
        <w:t xml:space="preserve">reserve and response </w:t>
      </w:r>
      <w:r w:rsidRPr="00D00ABD">
        <w:rPr>
          <w:lang w:val="en-GB"/>
        </w:rPr>
        <w:t xml:space="preserve">services to SOGL reserve categories and for prospective providers to prequalify against SOGL reserve category </w:t>
      </w:r>
      <w:r w:rsidR="00873FED" w:rsidRPr="00D00ABD">
        <w:rPr>
          <w:lang w:val="en-GB"/>
        </w:rPr>
        <w:t xml:space="preserve">as well as </w:t>
      </w:r>
      <w:r w:rsidRPr="00D00ABD">
        <w:rPr>
          <w:lang w:val="en-GB"/>
        </w:rPr>
        <w:t>specific service requirements.</w:t>
      </w:r>
    </w:p>
    <w:p w14:paraId="3E630627" w14:textId="07B8DB19" w:rsidR="00067CCD" w:rsidRPr="00D00ABD" w:rsidRDefault="003145E7" w:rsidP="00DE04A7">
      <w:pPr>
        <w:pStyle w:val="Paragrapgh-numbered"/>
        <w:numPr>
          <w:ilvl w:val="1"/>
          <w:numId w:val="2"/>
        </w:numPr>
        <w:rPr>
          <w:lang w:val="en-GB"/>
        </w:rPr>
      </w:pPr>
      <w:r w:rsidRPr="00D00ABD">
        <w:rPr>
          <w:lang w:val="en-GB"/>
        </w:rPr>
        <w:t xml:space="preserve">The flexibility to setup and operate a variety of services in each SOGL defined LFCR active power reserve category and use of technical capabilities and ‘other’ non-LFCR services (e.g. voltage regulation) allow </w:t>
      </w:r>
      <w:r w:rsidR="007A58E9" w:rsidRPr="00D00ABD">
        <w:rPr>
          <w:lang w:val="en-GB"/>
        </w:rPr>
        <w:t xml:space="preserve">the ESO to meet security requirements set out in the SOGL, NETS SQSS and Grid Code and to provide </w:t>
      </w:r>
      <w:r w:rsidRPr="00D00ABD">
        <w:rPr>
          <w:lang w:val="en-GB"/>
        </w:rPr>
        <w:t xml:space="preserve">a more efficient and effective use of resources </w:t>
      </w:r>
      <w:r w:rsidR="007A58E9" w:rsidRPr="00D00ABD">
        <w:rPr>
          <w:lang w:val="en-GB"/>
        </w:rPr>
        <w:t>thereby</w:t>
      </w:r>
      <w:r w:rsidRPr="00D00ABD">
        <w:rPr>
          <w:lang w:val="en-GB"/>
        </w:rPr>
        <w:t xml:space="preserve"> </w:t>
      </w:r>
      <w:r w:rsidR="007A58E9" w:rsidRPr="00D00ABD">
        <w:rPr>
          <w:lang w:val="en-GB"/>
        </w:rPr>
        <w:t xml:space="preserve">better controlling electricity delivery </w:t>
      </w:r>
      <w:r w:rsidRPr="00D00ABD">
        <w:rPr>
          <w:lang w:val="en-GB"/>
        </w:rPr>
        <w:t>costs to consumers.</w:t>
      </w:r>
    </w:p>
    <w:p w14:paraId="6C72E731" w14:textId="77777777" w:rsidR="000222DE" w:rsidRPr="00D00ABD" w:rsidRDefault="000222DE">
      <w:pPr>
        <w:spacing w:after="0" w:line="240" w:lineRule="auto"/>
        <w:rPr>
          <w:rFonts w:ascii="Arial" w:hAnsi="Arial" w:cstheme="minorHAnsi"/>
          <w:lang w:eastAsia="de-DE"/>
        </w:rPr>
      </w:pPr>
      <w:r w:rsidRPr="00D00ABD">
        <w:br w:type="page"/>
      </w:r>
    </w:p>
    <w:p w14:paraId="6C72E732" w14:textId="77777777" w:rsidR="000222DE" w:rsidRPr="00D00ABD" w:rsidRDefault="000222DE" w:rsidP="000222DE">
      <w:pPr>
        <w:pStyle w:val="Paragrapgh-numbered"/>
        <w:numPr>
          <w:ilvl w:val="0"/>
          <w:numId w:val="0"/>
        </w:numPr>
        <w:rPr>
          <w:lang w:val="en-GB"/>
        </w:rPr>
      </w:pPr>
    </w:p>
    <w:p w14:paraId="6C72E733" w14:textId="77777777" w:rsidR="000222DE" w:rsidRPr="00D00ABD" w:rsidRDefault="000222DE" w:rsidP="000222DE">
      <w:pPr>
        <w:pStyle w:val="Heading2"/>
      </w:pPr>
      <w:bookmarkStart w:id="7" w:name="_Toc519422404"/>
      <w:r w:rsidRPr="00D00ABD">
        <w:t>Methodologies from Article 118 that are subject to National Regulatory Authority (OFGEM) approval.</w:t>
      </w:r>
      <w:bookmarkEnd w:id="7"/>
    </w:p>
    <w:p w14:paraId="6C72E734" w14:textId="77777777" w:rsidR="0040127F" w:rsidRPr="00D00ABD" w:rsidRDefault="0040127F" w:rsidP="0040127F"/>
    <w:tbl>
      <w:tblPr>
        <w:tblW w:w="4665" w:type="pct"/>
        <w:tblCellSpacing w:w="0" w:type="dxa"/>
        <w:tblInd w:w="284" w:type="dxa"/>
        <w:tblCellMar>
          <w:left w:w="0" w:type="dxa"/>
          <w:right w:w="0" w:type="dxa"/>
        </w:tblCellMar>
        <w:tblLook w:val="04A0" w:firstRow="1" w:lastRow="0" w:firstColumn="1" w:lastColumn="0" w:noHBand="0" w:noVBand="1"/>
      </w:tblPr>
      <w:tblGrid>
        <w:gridCol w:w="6"/>
        <w:gridCol w:w="8818"/>
      </w:tblGrid>
      <w:tr w:rsidR="000222DE" w:rsidRPr="00D00ABD" w14:paraId="6C72E753" w14:textId="77777777" w:rsidTr="00D40177">
        <w:trPr>
          <w:tblCellSpacing w:w="0" w:type="dxa"/>
        </w:trPr>
        <w:tc>
          <w:tcPr>
            <w:tcW w:w="3" w:type="pct"/>
            <w:hideMark/>
          </w:tcPr>
          <w:p w14:paraId="6C72E735" w14:textId="77777777" w:rsidR="000222DE" w:rsidRPr="00D00ABD" w:rsidRDefault="000222DE" w:rsidP="00D40177">
            <w:pPr>
              <w:spacing w:before="120" w:after="0" w:line="240" w:lineRule="auto"/>
              <w:rPr>
                <w:rFonts w:cstheme="minorHAnsi"/>
                <w:sz w:val="20"/>
                <w:szCs w:val="20"/>
                <w:lang w:eastAsia="zh-CN"/>
              </w:rPr>
            </w:pPr>
          </w:p>
        </w:tc>
        <w:tc>
          <w:tcPr>
            <w:tcW w:w="4997" w:type="pct"/>
            <w:hideMark/>
          </w:tcPr>
          <w:p w14:paraId="6C72E736" w14:textId="14EC75E5" w:rsidR="000222DE" w:rsidRPr="00D00ABD" w:rsidRDefault="000222DE" w:rsidP="00D40177">
            <w:r w:rsidRPr="00D00ABD">
              <w:rPr>
                <w:rFonts w:ascii="Arial" w:hAnsi="Arial" w:cs="Arial"/>
              </w:rPr>
              <w:t xml:space="preserve">Methodologies, conditions and values included in the </w:t>
            </w:r>
            <w:r w:rsidR="0051359E" w:rsidRPr="00D00ABD">
              <w:rPr>
                <w:rFonts w:ascii="Arial" w:hAnsi="Arial" w:cs="Arial"/>
              </w:rPr>
              <w:t>SAOM</w:t>
            </w:r>
            <w:r w:rsidRPr="00D00ABD">
              <w:rPr>
                <w:rFonts w:ascii="Arial" w:hAnsi="Arial" w:cs="Arial"/>
              </w:rPr>
              <w:t xml:space="preserve"> in SOGL Article 118 referenced in Article 6(3) thus requiring OFGEM approval</w:t>
            </w:r>
            <w:r w:rsidRPr="00D00ABD">
              <w:t>:</w:t>
            </w:r>
          </w:p>
          <w:tbl>
            <w:tblPr>
              <w:tblStyle w:val="LightList-Accent1"/>
              <w:tblW w:w="9056" w:type="dxa"/>
              <w:tblLook w:val="04A0" w:firstRow="1" w:lastRow="0" w:firstColumn="1" w:lastColumn="0" w:noHBand="0" w:noVBand="1"/>
            </w:tblPr>
            <w:tblGrid>
              <w:gridCol w:w="2108"/>
              <w:gridCol w:w="6948"/>
            </w:tblGrid>
            <w:tr w:rsidR="000222DE" w:rsidRPr="00D00ABD" w14:paraId="6C72E739" w14:textId="77777777" w:rsidTr="00D40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tcPr>
                <w:p w14:paraId="6C72E737" w14:textId="77777777" w:rsidR="000222DE" w:rsidRPr="00D00ABD" w:rsidRDefault="000222DE" w:rsidP="00D40177">
                  <w:pPr>
                    <w:spacing w:before="120"/>
                    <w:rPr>
                      <w:rFonts w:ascii="Times New Roman" w:hAnsi="Times New Roman"/>
                      <w:sz w:val="24"/>
                      <w:szCs w:val="24"/>
                      <w:lang w:eastAsia="zh-CN"/>
                    </w:rPr>
                  </w:pPr>
                  <w:r w:rsidRPr="00D00ABD">
                    <w:rPr>
                      <w:rFonts w:ascii="Times New Roman" w:hAnsi="Times New Roman"/>
                      <w:sz w:val="24"/>
                      <w:szCs w:val="24"/>
                      <w:lang w:eastAsia="zh-CN"/>
                    </w:rPr>
                    <w:t>SOGL Article ref</w:t>
                  </w:r>
                </w:p>
              </w:tc>
              <w:tc>
                <w:tcPr>
                  <w:tcW w:w="3836" w:type="pct"/>
                </w:tcPr>
                <w:p w14:paraId="6C72E738" w14:textId="77777777" w:rsidR="000222DE" w:rsidRPr="00D00ABD" w:rsidRDefault="000222DE" w:rsidP="00D40177">
                  <w:pPr>
                    <w:spacing w:before="120"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D00ABD">
                    <w:rPr>
                      <w:rFonts w:ascii="Times New Roman" w:hAnsi="Times New Roman"/>
                      <w:sz w:val="24"/>
                      <w:szCs w:val="24"/>
                      <w:lang w:eastAsia="zh-CN"/>
                    </w:rPr>
                    <w:t>SOGL Article 118 text</w:t>
                  </w:r>
                </w:p>
              </w:tc>
            </w:tr>
            <w:tr w:rsidR="000222DE" w:rsidRPr="00D00ABD" w14:paraId="6C72E73C" w14:textId="77777777" w:rsidTr="00D40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tcPr>
                <w:p w14:paraId="6C72E73A" w14:textId="77777777" w:rsidR="000222DE" w:rsidRPr="00D00ABD" w:rsidRDefault="000222DE" w:rsidP="00D40177">
                  <w:pPr>
                    <w:spacing w:before="120"/>
                    <w:rPr>
                      <w:rFonts w:ascii="Arial" w:hAnsi="Arial" w:cs="Arial"/>
                      <w:lang w:eastAsia="zh-CN"/>
                    </w:rPr>
                  </w:pPr>
                  <w:r w:rsidRPr="00D00ABD">
                    <w:rPr>
                      <w:rFonts w:ascii="Arial" w:hAnsi="Arial" w:cs="Arial"/>
                      <w:lang w:eastAsia="zh-CN"/>
                    </w:rPr>
                    <w:t>118(a); 6(d)(ii)</w:t>
                  </w:r>
                </w:p>
              </w:tc>
              <w:tc>
                <w:tcPr>
                  <w:tcW w:w="3836" w:type="pct"/>
                </w:tcPr>
                <w:p w14:paraId="6C72E73B" w14:textId="5C5FDD95" w:rsidR="000222DE" w:rsidRPr="00D00ABD" w:rsidRDefault="000222DE" w:rsidP="00D40177">
                  <w:pPr>
                    <w:spacing w:before="120" w:after="0" w:line="240" w:lineRule="auto"/>
                    <w:ind w:right="317"/>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the dimensioning rules for FCR in accordance with </w:t>
                  </w:r>
                  <w:r w:rsidR="006467B0" w:rsidRPr="00D00ABD">
                    <w:rPr>
                      <w:rFonts w:ascii="Arial" w:hAnsi="Arial" w:cs="Arial"/>
                      <w:lang w:eastAsia="zh-CN"/>
                    </w:rPr>
                    <w:t xml:space="preserve">SOGL </w:t>
                  </w:r>
                  <w:r w:rsidRPr="00D00ABD">
                    <w:rPr>
                      <w:rFonts w:ascii="Arial" w:hAnsi="Arial" w:cs="Arial"/>
                      <w:lang w:eastAsia="zh-CN"/>
                    </w:rPr>
                    <w:t>Article 153</w:t>
                  </w:r>
                  <w:r w:rsidR="00873FED" w:rsidRPr="00D00ABD">
                    <w:rPr>
                      <w:rFonts w:ascii="Arial" w:hAnsi="Arial" w:cs="Arial"/>
                      <w:lang w:eastAsia="zh-CN"/>
                    </w:rPr>
                    <w:t>;</w:t>
                  </w:r>
                </w:p>
              </w:tc>
            </w:tr>
            <w:tr w:rsidR="000222DE" w:rsidRPr="00D00ABD" w14:paraId="6C72E73F" w14:textId="77777777" w:rsidTr="00D40177">
              <w:tc>
                <w:tcPr>
                  <w:cnfStyle w:val="001000000000" w:firstRow="0" w:lastRow="0" w:firstColumn="1" w:lastColumn="0" w:oddVBand="0" w:evenVBand="0" w:oddHBand="0" w:evenHBand="0" w:firstRowFirstColumn="0" w:firstRowLastColumn="0" w:lastRowFirstColumn="0" w:lastRowLastColumn="0"/>
                  <w:tcW w:w="1164" w:type="pct"/>
                  <w:hideMark/>
                </w:tcPr>
                <w:p w14:paraId="6C72E73D" w14:textId="77777777" w:rsidR="000222DE" w:rsidRPr="00D00ABD" w:rsidRDefault="000222DE" w:rsidP="00D40177">
                  <w:pPr>
                    <w:spacing w:before="120"/>
                    <w:rPr>
                      <w:rFonts w:ascii="Arial" w:hAnsi="Arial" w:cs="Arial"/>
                      <w:lang w:eastAsia="zh-CN"/>
                    </w:rPr>
                  </w:pPr>
                  <w:r w:rsidRPr="00D00ABD">
                    <w:rPr>
                      <w:rFonts w:ascii="Arial" w:hAnsi="Arial" w:cs="Arial"/>
                      <w:lang w:eastAsia="zh-CN"/>
                    </w:rPr>
                    <w:t>118(b); 6(d)(iii)</w:t>
                  </w:r>
                </w:p>
              </w:tc>
              <w:tc>
                <w:tcPr>
                  <w:tcW w:w="3836" w:type="pct"/>
                  <w:hideMark/>
                </w:tcPr>
                <w:p w14:paraId="6C72E73E" w14:textId="218FCA7F" w:rsidR="000222DE" w:rsidRPr="00D00ABD" w:rsidRDefault="000222DE" w:rsidP="00D40177">
                  <w:pPr>
                    <w:spacing w:before="120" w:after="0" w:line="240" w:lineRule="auto"/>
                    <w:ind w:right="317"/>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the additional properties of the FCR in accordance with </w:t>
                  </w:r>
                  <w:r w:rsidR="006467B0" w:rsidRPr="00D00ABD">
                    <w:rPr>
                      <w:rFonts w:ascii="Arial" w:hAnsi="Arial" w:cs="Arial"/>
                      <w:lang w:eastAsia="zh-CN"/>
                    </w:rPr>
                    <w:t xml:space="preserve">SOGL </w:t>
                  </w:r>
                  <w:r w:rsidRPr="00D00ABD">
                    <w:rPr>
                      <w:rFonts w:ascii="Arial" w:hAnsi="Arial" w:cs="Arial"/>
                      <w:lang w:eastAsia="zh-CN"/>
                    </w:rPr>
                    <w:t>Article 154(2);</w:t>
                  </w:r>
                </w:p>
              </w:tc>
            </w:tr>
            <w:tr w:rsidR="000222DE" w:rsidRPr="00D00ABD" w14:paraId="6C72E742" w14:textId="77777777" w:rsidTr="00D40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hideMark/>
                </w:tcPr>
                <w:p w14:paraId="6C72E740" w14:textId="77777777" w:rsidR="000222DE" w:rsidRPr="00D00ABD" w:rsidRDefault="000222DE" w:rsidP="00D40177">
                  <w:pPr>
                    <w:spacing w:before="120" w:after="0" w:line="240" w:lineRule="auto"/>
                    <w:rPr>
                      <w:rFonts w:ascii="Arial" w:hAnsi="Arial" w:cs="Arial"/>
                      <w:lang w:eastAsia="zh-CN"/>
                    </w:rPr>
                  </w:pPr>
                  <w:r w:rsidRPr="00D00ABD">
                    <w:rPr>
                      <w:rFonts w:ascii="Arial" w:hAnsi="Arial" w:cs="Arial"/>
                      <w:lang w:eastAsia="zh-CN"/>
                    </w:rPr>
                    <w:t>118(c); 6(d)(i)</w:t>
                  </w:r>
                </w:p>
              </w:tc>
              <w:tc>
                <w:tcPr>
                  <w:tcW w:w="3836" w:type="pct"/>
                  <w:hideMark/>
                </w:tcPr>
                <w:p w14:paraId="6C72E741" w14:textId="68D5C6EF" w:rsidR="000222DE" w:rsidRPr="00D00ABD" w:rsidRDefault="000222DE" w:rsidP="00D40177">
                  <w:pPr>
                    <w:spacing w:before="120" w:after="0" w:line="240" w:lineRule="auto"/>
                    <w:ind w:right="317"/>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the frequency quality defining parameters and the frequency quality target parameter in accordance with </w:t>
                  </w:r>
                  <w:r w:rsidR="006467B0" w:rsidRPr="00D00ABD">
                    <w:rPr>
                      <w:rFonts w:ascii="Arial" w:hAnsi="Arial" w:cs="Arial"/>
                      <w:lang w:eastAsia="zh-CN"/>
                    </w:rPr>
                    <w:t xml:space="preserve">SOGL </w:t>
                  </w:r>
                  <w:r w:rsidRPr="00D00ABD">
                    <w:rPr>
                      <w:rFonts w:ascii="Arial" w:hAnsi="Arial" w:cs="Arial"/>
                      <w:lang w:eastAsia="zh-CN"/>
                    </w:rPr>
                    <w:t>Article 127;</w:t>
                  </w:r>
                </w:p>
              </w:tc>
            </w:tr>
            <w:tr w:rsidR="000222DE" w:rsidRPr="00D00ABD" w14:paraId="6C72E745" w14:textId="77777777" w:rsidTr="00D40177">
              <w:tc>
                <w:tcPr>
                  <w:cnfStyle w:val="001000000000" w:firstRow="0" w:lastRow="0" w:firstColumn="1" w:lastColumn="0" w:oddVBand="0" w:evenVBand="0" w:oddHBand="0" w:evenHBand="0" w:firstRowFirstColumn="0" w:firstRowLastColumn="0" w:lastRowFirstColumn="0" w:lastRowLastColumn="0"/>
                  <w:tcW w:w="1164" w:type="pct"/>
                  <w:hideMark/>
                </w:tcPr>
                <w:p w14:paraId="6C72E743" w14:textId="77777777" w:rsidR="000222DE" w:rsidRPr="00D00ABD" w:rsidRDefault="000222DE" w:rsidP="00D40177">
                  <w:pPr>
                    <w:spacing w:before="120" w:after="0" w:line="240" w:lineRule="auto"/>
                    <w:rPr>
                      <w:rFonts w:ascii="Arial" w:hAnsi="Arial" w:cs="Arial"/>
                      <w:lang w:eastAsia="zh-CN"/>
                    </w:rPr>
                  </w:pPr>
                  <w:r w:rsidRPr="00D00ABD">
                    <w:rPr>
                      <w:rFonts w:ascii="Arial" w:hAnsi="Arial" w:cs="Arial"/>
                      <w:lang w:eastAsia="zh-CN"/>
                    </w:rPr>
                    <w:t>118(m); 6(d)(iv)</w:t>
                  </w:r>
                </w:p>
              </w:tc>
              <w:tc>
                <w:tcPr>
                  <w:tcW w:w="3836" w:type="pct"/>
                  <w:hideMark/>
                </w:tcPr>
                <w:p w14:paraId="6C72E744" w14:textId="50C8B0A5" w:rsidR="000222DE" w:rsidRPr="00D00ABD" w:rsidRDefault="000222DE" w:rsidP="00D40177">
                  <w:pPr>
                    <w:spacing w:before="120" w:after="0" w:line="240" w:lineRule="auto"/>
                    <w:ind w:right="317"/>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for the GB synchronous areas, the measures to ensure the recovery of energy reservoirs in accordance with Article </w:t>
                  </w:r>
                  <w:r w:rsidR="006467B0" w:rsidRPr="00D00ABD">
                    <w:rPr>
                      <w:rFonts w:ascii="Arial" w:hAnsi="Arial" w:cs="Arial"/>
                      <w:lang w:eastAsia="zh-CN"/>
                    </w:rPr>
                    <w:t xml:space="preserve">SOGL </w:t>
                  </w:r>
                  <w:r w:rsidRPr="00D00ABD">
                    <w:rPr>
                      <w:rFonts w:ascii="Arial" w:hAnsi="Arial" w:cs="Arial"/>
                      <w:lang w:eastAsia="zh-CN"/>
                    </w:rPr>
                    <w:t>156(6)(b);</w:t>
                  </w:r>
                </w:p>
              </w:tc>
            </w:tr>
            <w:tr w:rsidR="000222DE" w:rsidRPr="00D00ABD" w14:paraId="6C72E748" w14:textId="77777777" w:rsidTr="00D40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tcPr>
                <w:p w14:paraId="6C72E746" w14:textId="77777777" w:rsidR="000222DE" w:rsidRPr="00D00ABD" w:rsidRDefault="000222DE" w:rsidP="00D40177">
                  <w:pPr>
                    <w:spacing w:before="120" w:after="0" w:line="240" w:lineRule="auto"/>
                    <w:rPr>
                      <w:rFonts w:ascii="Arial" w:hAnsi="Arial" w:cs="Arial"/>
                      <w:lang w:eastAsia="zh-CN"/>
                    </w:rPr>
                  </w:pPr>
                  <w:r w:rsidRPr="00D00ABD">
                    <w:rPr>
                      <w:rFonts w:ascii="Arial" w:hAnsi="Arial" w:cs="Arial"/>
                      <w:lang w:eastAsia="zh-CN"/>
                    </w:rPr>
                    <w:t>118(t); 6(d)(vii)</w:t>
                  </w:r>
                </w:p>
              </w:tc>
              <w:tc>
                <w:tcPr>
                  <w:tcW w:w="3836" w:type="pct"/>
                </w:tcPr>
                <w:p w14:paraId="6C72E747" w14:textId="17D40A2B" w:rsidR="000222DE" w:rsidRPr="00D00ABD" w:rsidRDefault="000222DE" w:rsidP="00D40177">
                  <w:pPr>
                    <w:spacing w:before="120" w:after="0" w:line="240" w:lineRule="auto"/>
                    <w:ind w:right="317"/>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for synchronous areas other than CE and if applicable, the limits for the exchange of FCR between TSOs in accordance with </w:t>
                  </w:r>
                  <w:r w:rsidR="006467B0" w:rsidRPr="00D00ABD">
                    <w:rPr>
                      <w:rFonts w:ascii="Arial" w:hAnsi="Arial" w:cs="Arial"/>
                      <w:lang w:eastAsia="zh-CN"/>
                    </w:rPr>
                    <w:t xml:space="preserve">SOGL </w:t>
                  </w:r>
                  <w:r w:rsidRPr="00D00ABD">
                    <w:rPr>
                      <w:rFonts w:ascii="Arial" w:hAnsi="Arial" w:cs="Arial"/>
                      <w:lang w:eastAsia="zh-CN"/>
                    </w:rPr>
                    <w:t>Article 163(2);</w:t>
                  </w:r>
                </w:p>
              </w:tc>
            </w:tr>
            <w:tr w:rsidR="000222DE" w:rsidRPr="00D00ABD" w14:paraId="6C72E74B" w14:textId="77777777" w:rsidTr="00D40177">
              <w:tc>
                <w:tcPr>
                  <w:cnfStyle w:val="001000000000" w:firstRow="0" w:lastRow="0" w:firstColumn="1" w:lastColumn="0" w:oddVBand="0" w:evenVBand="0" w:oddHBand="0" w:evenHBand="0" w:firstRowFirstColumn="0" w:firstRowLastColumn="0" w:lastRowFirstColumn="0" w:lastRowLastColumn="0"/>
                  <w:tcW w:w="1164" w:type="pct"/>
                  <w:hideMark/>
                </w:tcPr>
                <w:p w14:paraId="6C72E749" w14:textId="77777777" w:rsidR="000222DE" w:rsidRPr="00D00ABD" w:rsidRDefault="000222DE" w:rsidP="00D40177">
                  <w:pPr>
                    <w:spacing w:before="120" w:after="0" w:line="240" w:lineRule="auto"/>
                    <w:rPr>
                      <w:rFonts w:ascii="Arial" w:hAnsi="Arial" w:cs="Arial"/>
                      <w:lang w:eastAsia="zh-CN"/>
                    </w:rPr>
                  </w:pPr>
                  <w:r w:rsidRPr="00D00ABD">
                    <w:rPr>
                      <w:rFonts w:ascii="Arial" w:hAnsi="Arial" w:cs="Arial"/>
                      <w:lang w:eastAsia="zh-CN"/>
                    </w:rPr>
                    <w:t>118(x); 6(d)(viii)</w:t>
                  </w:r>
                </w:p>
              </w:tc>
              <w:tc>
                <w:tcPr>
                  <w:tcW w:w="3836" w:type="pct"/>
                  <w:hideMark/>
                </w:tcPr>
                <w:p w14:paraId="6C72E74A" w14:textId="3E2D8235" w:rsidR="000222DE" w:rsidRPr="00D00ABD" w:rsidRDefault="000222DE" w:rsidP="00D40177">
                  <w:pPr>
                    <w:spacing w:before="120" w:after="0" w:line="240" w:lineRule="auto"/>
                    <w:ind w:right="317"/>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for the GB synchronous areas, the methodology to determine the minimum provision of reserve capacity on FCR between synchronous areas, defined in accordance with Article </w:t>
                  </w:r>
                  <w:r w:rsidR="006467B0" w:rsidRPr="00D00ABD">
                    <w:rPr>
                      <w:rFonts w:ascii="Arial" w:hAnsi="Arial" w:cs="Arial"/>
                      <w:lang w:eastAsia="zh-CN"/>
                    </w:rPr>
                    <w:t xml:space="preserve">SOGL </w:t>
                  </w:r>
                  <w:r w:rsidRPr="00D00ABD">
                    <w:rPr>
                      <w:rFonts w:ascii="Arial" w:hAnsi="Arial" w:cs="Arial"/>
                      <w:lang w:eastAsia="zh-CN"/>
                    </w:rPr>
                    <w:t>174(2)(b);</w:t>
                  </w:r>
                </w:p>
              </w:tc>
            </w:tr>
            <w:tr w:rsidR="000222DE" w:rsidRPr="00D00ABD" w14:paraId="6C72E74E" w14:textId="77777777" w:rsidTr="00D40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hideMark/>
                </w:tcPr>
                <w:p w14:paraId="6C72E74C" w14:textId="77777777" w:rsidR="000222DE" w:rsidRPr="00D00ABD" w:rsidRDefault="000222DE" w:rsidP="00D40177">
                  <w:pPr>
                    <w:spacing w:before="120" w:after="0" w:line="240" w:lineRule="auto"/>
                    <w:rPr>
                      <w:rFonts w:ascii="Arial" w:hAnsi="Arial" w:cs="Arial"/>
                      <w:lang w:eastAsia="zh-CN"/>
                    </w:rPr>
                  </w:pPr>
                  <w:r w:rsidRPr="00D00ABD">
                    <w:rPr>
                      <w:rFonts w:ascii="Arial" w:hAnsi="Arial" w:cs="Arial"/>
                      <w:lang w:eastAsia="zh-CN"/>
                    </w:rPr>
                    <w:t>118(z); 6(d)(ix)</w:t>
                  </w:r>
                </w:p>
              </w:tc>
              <w:tc>
                <w:tcPr>
                  <w:tcW w:w="3836" w:type="pct"/>
                  <w:hideMark/>
                </w:tcPr>
                <w:p w14:paraId="6C72E74D" w14:textId="4D68B852" w:rsidR="000222DE" w:rsidRPr="00D00ABD" w:rsidRDefault="000222DE" w:rsidP="00D40177">
                  <w:pPr>
                    <w:spacing w:before="120" w:after="0" w:line="240" w:lineRule="auto"/>
                    <w:ind w:right="317"/>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limits on the amount of exchange of FRR between synchronous areas defined in accordance with </w:t>
                  </w:r>
                  <w:r w:rsidR="006467B0" w:rsidRPr="00D00ABD">
                    <w:rPr>
                      <w:rFonts w:ascii="Arial" w:hAnsi="Arial" w:cs="Arial"/>
                      <w:lang w:eastAsia="zh-CN"/>
                    </w:rPr>
                    <w:t xml:space="preserve">SOGL </w:t>
                  </w:r>
                  <w:r w:rsidRPr="00D00ABD">
                    <w:rPr>
                      <w:rFonts w:ascii="Arial" w:hAnsi="Arial" w:cs="Arial"/>
                      <w:lang w:eastAsia="zh-CN"/>
                    </w:rPr>
                    <w:t xml:space="preserve">Article 176(1) and limits on the amount of sharing of FRR between synchronous areas defined in accordance with </w:t>
                  </w:r>
                  <w:r w:rsidR="006467B0" w:rsidRPr="00D00ABD">
                    <w:rPr>
                      <w:rFonts w:ascii="Arial" w:hAnsi="Arial" w:cs="Arial"/>
                      <w:lang w:eastAsia="zh-CN"/>
                    </w:rPr>
                    <w:t xml:space="preserve">SOGL </w:t>
                  </w:r>
                  <w:r w:rsidRPr="00D00ABD">
                    <w:rPr>
                      <w:rFonts w:ascii="Arial" w:hAnsi="Arial" w:cs="Arial"/>
                      <w:lang w:eastAsia="zh-CN"/>
                    </w:rPr>
                    <w:t>Article 177(1);</w:t>
                  </w:r>
                </w:p>
              </w:tc>
            </w:tr>
            <w:tr w:rsidR="000222DE" w:rsidRPr="00D00ABD" w14:paraId="6C72E751" w14:textId="77777777" w:rsidTr="00D40177">
              <w:tc>
                <w:tcPr>
                  <w:cnfStyle w:val="001000000000" w:firstRow="0" w:lastRow="0" w:firstColumn="1" w:lastColumn="0" w:oddVBand="0" w:evenVBand="0" w:oddHBand="0" w:evenHBand="0" w:firstRowFirstColumn="0" w:firstRowLastColumn="0" w:lastRowFirstColumn="0" w:lastRowLastColumn="0"/>
                  <w:tcW w:w="1164" w:type="pct"/>
                  <w:hideMark/>
                </w:tcPr>
                <w:p w14:paraId="6C72E74F" w14:textId="77777777" w:rsidR="000222DE" w:rsidRPr="00D00ABD" w:rsidRDefault="000222DE" w:rsidP="00D40177">
                  <w:pPr>
                    <w:spacing w:before="120" w:after="0" w:line="240" w:lineRule="auto"/>
                    <w:rPr>
                      <w:rFonts w:ascii="Arial" w:hAnsi="Arial" w:cs="Arial"/>
                      <w:lang w:eastAsia="zh-CN"/>
                    </w:rPr>
                  </w:pPr>
                  <w:r w:rsidRPr="00D00ABD">
                    <w:rPr>
                      <w:rFonts w:ascii="Arial" w:hAnsi="Arial" w:cs="Arial"/>
                      <w:lang w:eastAsia="zh-CN"/>
                    </w:rPr>
                    <w:t>118(aa); 6(d)(x)</w:t>
                  </w:r>
                </w:p>
              </w:tc>
              <w:tc>
                <w:tcPr>
                  <w:tcW w:w="3836" w:type="pct"/>
                  <w:hideMark/>
                </w:tcPr>
                <w:p w14:paraId="6C72E750" w14:textId="435E1349" w:rsidR="000222DE" w:rsidRPr="00D00ABD" w:rsidRDefault="000222DE" w:rsidP="00D40177">
                  <w:pPr>
                    <w:spacing w:before="120" w:after="0" w:line="240" w:lineRule="auto"/>
                    <w:ind w:right="317"/>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limits on the amount of exchange of RR between synchronous areas defined in accordance with </w:t>
                  </w:r>
                  <w:r w:rsidR="006467B0" w:rsidRPr="00D00ABD">
                    <w:rPr>
                      <w:rFonts w:ascii="Arial" w:hAnsi="Arial" w:cs="Arial"/>
                      <w:lang w:eastAsia="zh-CN"/>
                    </w:rPr>
                    <w:t xml:space="preserve">SOGL </w:t>
                  </w:r>
                  <w:r w:rsidRPr="00D00ABD">
                    <w:rPr>
                      <w:rFonts w:ascii="Arial" w:hAnsi="Arial" w:cs="Arial"/>
                      <w:lang w:eastAsia="zh-CN"/>
                    </w:rPr>
                    <w:t xml:space="preserve">Article 178(1) and limits on the amount of sharing of RR between synchronous areas defined in accordance with </w:t>
                  </w:r>
                  <w:r w:rsidR="006467B0" w:rsidRPr="00D00ABD">
                    <w:rPr>
                      <w:rFonts w:ascii="Arial" w:hAnsi="Arial" w:cs="Arial"/>
                      <w:lang w:eastAsia="zh-CN"/>
                    </w:rPr>
                    <w:t xml:space="preserve">SOGL </w:t>
                  </w:r>
                  <w:r w:rsidRPr="00D00ABD">
                    <w:rPr>
                      <w:rFonts w:ascii="Arial" w:hAnsi="Arial" w:cs="Arial"/>
                      <w:lang w:eastAsia="zh-CN"/>
                    </w:rPr>
                    <w:t>Article 179(1);</w:t>
                  </w:r>
                </w:p>
              </w:tc>
            </w:tr>
          </w:tbl>
          <w:p w14:paraId="6C72E752" w14:textId="77777777" w:rsidR="000222DE" w:rsidRPr="00D00ABD" w:rsidRDefault="000222DE" w:rsidP="00D40177">
            <w:pPr>
              <w:spacing w:after="0" w:line="240" w:lineRule="auto"/>
              <w:rPr>
                <w:rFonts w:cstheme="minorHAnsi"/>
                <w:sz w:val="20"/>
                <w:szCs w:val="20"/>
                <w:lang w:eastAsia="zh-CN"/>
              </w:rPr>
            </w:pPr>
          </w:p>
        </w:tc>
      </w:tr>
    </w:tbl>
    <w:p w14:paraId="6C72E754" w14:textId="77777777" w:rsidR="000222DE" w:rsidRPr="00D00ABD" w:rsidRDefault="000222DE" w:rsidP="000222DE">
      <w:pPr>
        <w:widowControl w:val="0"/>
        <w:autoSpaceDE w:val="0"/>
        <w:autoSpaceDN w:val="0"/>
        <w:adjustRightInd w:val="0"/>
        <w:spacing w:after="0" w:line="200" w:lineRule="exact"/>
      </w:pPr>
    </w:p>
    <w:p w14:paraId="6C72E755" w14:textId="77777777" w:rsidR="000222DE" w:rsidRPr="00D00ABD" w:rsidRDefault="000222DE" w:rsidP="000222DE">
      <w:pPr>
        <w:widowControl w:val="0"/>
        <w:autoSpaceDE w:val="0"/>
        <w:autoSpaceDN w:val="0"/>
        <w:adjustRightInd w:val="0"/>
        <w:spacing w:after="0" w:line="200" w:lineRule="exact"/>
      </w:pPr>
    </w:p>
    <w:p w14:paraId="1F2D6A84" w14:textId="77777777" w:rsidR="00B45BF5" w:rsidRPr="00D00ABD" w:rsidRDefault="00B45BF5">
      <w:pPr>
        <w:spacing w:after="0" w:line="240" w:lineRule="auto"/>
        <w:rPr>
          <w:rFonts w:ascii="Arial" w:hAnsi="Arial" w:cs="Arial"/>
          <w:lang w:eastAsia="de-DE"/>
        </w:rPr>
      </w:pPr>
      <w:r w:rsidRPr="00D00ABD">
        <w:rPr>
          <w:rFonts w:cs="Arial"/>
        </w:rPr>
        <w:br w:type="page"/>
      </w:r>
    </w:p>
    <w:p w14:paraId="796DBC8D" w14:textId="57DB793F" w:rsidR="00873FED" w:rsidRPr="00D00ABD" w:rsidRDefault="00873FED" w:rsidP="00873FED">
      <w:pPr>
        <w:pStyle w:val="Heading2"/>
      </w:pPr>
      <w:bookmarkStart w:id="8" w:name="_Toc519422405"/>
      <w:r w:rsidRPr="00D00ABD">
        <w:lastRenderedPageBreak/>
        <w:t xml:space="preserve">Methodologies from Article 118 that are </w:t>
      </w:r>
      <w:r w:rsidRPr="00EA3F1F">
        <w:rPr>
          <w:u w:val="single"/>
        </w:rPr>
        <w:t>NOT</w:t>
      </w:r>
      <w:r w:rsidRPr="00D00ABD">
        <w:t xml:space="preserve"> subject to National Regulatory Authority (OFGEM) approval.</w:t>
      </w:r>
      <w:bookmarkEnd w:id="8"/>
    </w:p>
    <w:p w14:paraId="40717BDD" w14:textId="77777777" w:rsidR="00B45BF5" w:rsidRPr="00D00ABD" w:rsidRDefault="00B45BF5" w:rsidP="000222DE">
      <w:pPr>
        <w:pStyle w:val="Paragrapgh-numbered"/>
        <w:numPr>
          <w:ilvl w:val="0"/>
          <w:numId w:val="0"/>
        </w:numPr>
        <w:rPr>
          <w:rFonts w:cs="Arial"/>
          <w:lang w:val="en-GB"/>
        </w:rPr>
      </w:pPr>
    </w:p>
    <w:p w14:paraId="7336A610" w14:textId="48A32239" w:rsidR="00B45BF5" w:rsidRPr="00D00ABD" w:rsidRDefault="00B45BF5" w:rsidP="000222DE">
      <w:pPr>
        <w:pStyle w:val="Paragrapgh-numbered"/>
        <w:numPr>
          <w:ilvl w:val="0"/>
          <w:numId w:val="0"/>
        </w:numPr>
        <w:rPr>
          <w:lang w:val="en-GB"/>
        </w:rPr>
      </w:pPr>
      <w:r w:rsidRPr="00D00ABD">
        <w:rPr>
          <w:rFonts w:cs="Arial"/>
          <w:lang w:val="en-GB"/>
        </w:rPr>
        <w:t xml:space="preserve">In the table below are ‘agreements’ (methodologies, conditions and values) included in the </w:t>
      </w:r>
      <w:r w:rsidR="0051359E" w:rsidRPr="00D00ABD">
        <w:rPr>
          <w:rFonts w:cs="Arial"/>
          <w:lang w:val="en-GB"/>
        </w:rPr>
        <w:t>SAOM</w:t>
      </w:r>
      <w:r w:rsidRPr="00D00ABD">
        <w:rPr>
          <w:rFonts w:cs="Arial"/>
          <w:lang w:val="en-GB"/>
        </w:rPr>
        <w:t xml:space="preserve"> in SOGL Article 118 that are not referenced in Article 6(3) or by connection in Article 11 and therefore not legally requiring public consultation nor OFGEM regulatory approval. (note that the ESO has chosen to consult on all these with industry in a transparent and open basis in line with GB RIIO regulation principles on a voluntary basis).</w:t>
      </w:r>
    </w:p>
    <w:p w14:paraId="431110D0" w14:textId="536DD6D3" w:rsidR="00D40177" w:rsidRPr="00D00ABD" w:rsidRDefault="00D40177" w:rsidP="000222DE">
      <w:pPr>
        <w:pStyle w:val="Paragrapgh-numbered"/>
        <w:numPr>
          <w:ilvl w:val="0"/>
          <w:numId w:val="0"/>
        </w:numPr>
        <w:rPr>
          <w:lang w:val="en-GB"/>
        </w:rPr>
      </w:pPr>
    </w:p>
    <w:tbl>
      <w:tblPr>
        <w:tblStyle w:val="LightList-Accent1"/>
        <w:tblW w:w="9056" w:type="dxa"/>
        <w:tblLook w:val="04A0" w:firstRow="1" w:lastRow="0" w:firstColumn="1" w:lastColumn="0" w:noHBand="0" w:noVBand="1"/>
      </w:tblPr>
      <w:tblGrid>
        <w:gridCol w:w="1550"/>
        <w:gridCol w:w="7506"/>
      </w:tblGrid>
      <w:tr w:rsidR="00D40177" w:rsidRPr="00D00ABD" w14:paraId="24E89869" w14:textId="77777777" w:rsidTr="007B4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hideMark/>
          </w:tcPr>
          <w:p w14:paraId="4A21CBA4" w14:textId="77777777" w:rsidR="00D40177" w:rsidRPr="00D00ABD" w:rsidRDefault="00D40177" w:rsidP="00DE04A7">
            <w:pPr>
              <w:spacing w:before="120"/>
              <w:rPr>
                <w:rFonts w:ascii="Times New Roman" w:hAnsi="Times New Roman"/>
                <w:sz w:val="24"/>
                <w:szCs w:val="24"/>
                <w:lang w:eastAsia="zh-CN"/>
              </w:rPr>
            </w:pPr>
            <w:r w:rsidRPr="00D00ABD">
              <w:rPr>
                <w:rFonts w:ascii="Times New Roman" w:hAnsi="Times New Roman"/>
                <w:sz w:val="24"/>
                <w:szCs w:val="24"/>
                <w:lang w:eastAsia="zh-CN"/>
              </w:rPr>
              <w:t>SOGL Article ref</w:t>
            </w:r>
          </w:p>
        </w:tc>
        <w:tc>
          <w:tcPr>
            <w:tcW w:w="4144" w:type="pct"/>
            <w:hideMark/>
          </w:tcPr>
          <w:p w14:paraId="0D8E3DE1" w14:textId="77777777" w:rsidR="00D40177" w:rsidRPr="00D00ABD" w:rsidRDefault="00D40177" w:rsidP="00DE04A7">
            <w:pPr>
              <w:spacing w:before="12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D00ABD">
              <w:rPr>
                <w:rFonts w:ascii="Times New Roman" w:hAnsi="Times New Roman"/>
                <w:sz w:val="24"/>
                <w:szCs w:val="24"/>
                <w:lang w:eastAsia="zh-CN"/>
              </w:rPr>
              <w:t>SOGL Article 118 text</w:t>
            </w:r>
          </w:p>
        </w:tc>
      </w:tr>
      <w:tr w:rsidR="00D40177" w:rsidRPr="00D00ABD" w14:paraId="3889A408" w14:textId="77777777" w:rsidTr="007B437F">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856" w:type="pct"/>
            <w:hideMark/>
          </w:tcPr>
          <w:p w14:paraId="0A2BCC6A" w14:textId="77777777" w:rsidR="00D40177" w:rsidRPr="00D00ABD" w:rsidRDefault="00D40177" w:rsidP="00DE04A7">
            <w:pPr>
              <w:spacing w:before="120"/>
              <w:rPr>
                <w:rFonts w:ascii="Arial" w:hAnsi="Arial" w:cs="Arial"/>
                <w:lang w:eastAsia="zh-CN"/>
              </w:rPr>
            </w:pPr>
            <w:r w:rsidRPr="00D00ABD">
              <w:rPr>
                <w:rFonts w:ascii="Arial" w:hAnsi="Arial" w:cs="Arial"/>
                <w:lang w:eastAsia="zh-CN"/>
              </w:rPr>
              <w:t>118(d)</w:t>
            </w:r>
          </w:p>
        </w:tc>
        <w:tc>
          <w:tcPr>
            <w:tcW w:w="4144" w:type="pct"/>
            <w:hideMark/>
          </w:tcPr>
          <w:p w14:paraId="4D4DB0EF" w14:textId="5E708E2E" w:rsidR="00D40177" w:rsidRPr="00D00ABD" w:rsidRDefault="00D40177" w:rsidP="00DE04A7">
            <w:pPr>
              <w:spacing w:before="120"/>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for the Continental Europe (‘CE’) and Nordic synchronous areas, the frequency restoration control error target parameters for each LFC block in accordance with </w:t>
            </w:r>
            <w:r w:rsidR="006467B0" w:rsidRPr="00D00ABD">
              <w:rPr>
                <w:rFonts w:ascii="Arial" w:hAnsi="Arial" w:cs="Arial"/>
                <w:lang w:eastAsia="zh-CN"/>
              </w:rPr>
              <w:t xml:space="preserve">SOGL </w:t>
            </w:r>
            <w:r w:rsidRPr="00D00ABD">
              <w:rPr>
                <w:rFonts w:ascii="Arial" w:hAnsi="Arial" w:cs="Arial"/>
                <w:lang w:eastAsia="zh-CN"/>
              </w:rPr>
              <w:t>Article 128;</w:t>
            </w:r>
          </w:p>
        </w:tc>
      </w:tr>
      <w:tr w:rsidR="00D40177" w:rsidRPr="00D00ABD" w14:paraId="00133A45" w14:textId="77777777" w:rsidTr="007B437F">
        <w:tc>
          <w:tcPr>
            <w:cnfStyle w:val="001000000000" w:firstRow="0" w:lastRow="0" w:firstColumn="1" w:lastColumn="0" w:oddVBand="0" w:evenVBand="0" w:oddHBand="0" w:evenHBand="0" w:firstRowFirstColumn="0" w:firstRowLastColumn="0" w:lastRowFirstColumn="0" w:lastRowLastColumn="0"/>
            <w:tcW w:w="856" w:type="pct"/>
            <w:hideMark/>
          </w:tcPr>
          <w:p w14:paraId="13668D44" w14:textId="77777777" w:rsidR="00D40177" w:rsidRPr="00D00ABD" w:rsidRDefault="00D40177" w:rsidP="00DE04A7">
            <w:pPr>
              <w:spacing w:before="120"/>
              <w:rPr>
                <w:rFonts w:ascii="Arial" w:hAnsi="Arial" w:cs="Arial"/>
                <w:lang w:eastAsia="zh-CN"/>
              </w:rPr>
            </w:pPr>
            <w:r w:rsidRPr="00D00ABD">
              <w:rPr>
                <w:rFonts w:ascii="Arial" w:hAnsi="Arial" w:cs="Arial"/>
                <w:lang w:eastAsia="zh-CN"/>
              </w:rPr>
              <w:t>118(e.)</w:t>
            </w:r>
          </w:p>
        </w:tc>
        <w:tc>
          <w:tcPr>
            <w:tcW w:w="4144" w:type="pct"/>
            <w:hideMark/>
          </w:tcPr>
          <w:p w14:paraId="604632AE" w14:textId="1328CDDC" w:rsidR="00D40177" w:rsidRPr="00D00ABD" w:rsidRDefault="00D40177" w:rsidP="00DE04A7">
            <w:pPr>
              <w:spacing w:before="120"/>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the methodology to assess the risk and the evolution of the risk of exhaustion of FCR of the synchronous area in accordance with </w:t>
            </w:r>
            <w:r w:rsidR="006467B0" w:rsidRPr="00D00ABD">
              <w:rPr>
                <w:rFonts w:ascii="Arial" w:hAnsi="Arial" w:cs="Arial"/>
                <w:lang w:eastAsia="zh-CN"/>
              </w:rPr>
              <w:t xml:space="preserve">SOGL </w:t>
            </w:r>
            <w:r w:rsidRPr="00D00ABD">
              <w:rPr>
                <w:rFonts w:ascii="Arial" w:hAnsi="Arial" w:cs="Arial"/>
                <w:lang w:eastAsia="zh-CN"/>
              </w:rPr>
              <w:t>Article 131(2);</w:t>
            </w:r>
          </w:p>
        </w:tc>
      </w:tr>
      <w:tr w:rsidR="00D40177" w:rsidRPr="00D00ABD" w14:paraId="6A6123DD" w14:textId="77777777" w:rsidTr="007B4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hideMark/>
          </w:tcPr>
          <w:p w14:paraId="7CAF229C" w14:textId="77777777" w:rsidR="00D40177" w:rsidRPr="00D00ABD" w:rsidRDefault="00D40177" w:rsidP="00DE04A7">
            <w:pPr>
              <w:spacing w:before="120"/>
              <w:rPr>
                <w:rFonts w:ascii="Arial" w:hAnsi="Arial" w:cs="Arial"/>
                <w:lang w:eastAsia="zh-CN"/>
              </w:rPr>
            </w:pPr>
            <w:r w:rsidRPr="00D00ABD">
              <w:rPr>
                <w:rFonts w:ascii="Arial" w:hAnsi="Arial" w:cs="Arial"/>
                <w:lang w:eastAsia="zh-CN"/>
              </w:rPr>
              <w:t>118(f)</w:t>
            </w:r>
          </w:p>
        </w:tc>
        <w:tc>
          <w:tcPr>
            <w:tcW w:w="4144" w:type="pct"/>
            <w:hideMark/>
          </w:tcPr>
          <w:p w14:paraId="65CFA7B1" w14:textId="70F058DE" w:rsidR="00D40177" w:rsidRPr="00D00ABD" w:rsidRDefault="00D40177" w:rsidP="00DE04A7">
            <w:pPr>
              <w:spacing w:before="120"/>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the synchronous area monitor in accordance with </w:t>
            </w:r>
            <w:r w:rsidR="006467B0" w:rsidRPr="00D00ABD">
              <w:rPr>
                <w:rFonts w:ascii="Arial" w:hAnsi="Arial" w:cs="Arial"/>
                <w:lang w:eastAsia="zh-CN"/>
              </w:rPr>
              <w:t xml:space="preserve">SOGL </w:t>
            </w:r>
            <w:r w:rsidRPr="00D00ABD">
              <w:rPr>
                <w:rFonts w:ascii="Arial" w:hAnsi="Arial" w:cs="Arial"/>
                <w:lang w:eastAsia="zh-CN"/>
              </w:rPr>
              <w:t>Article 133;</w:t>
            </w:r>
          </w:p>
        </w:tc>
      </w:tr>
      <w:tr w:rsidR="00D40177" w:rsidRPr="00D00ABD" w14:paraId="59D1F637" w14:textId="77777777" w:rsidTr="007B437F">
        <w:tc>
          <w:tcPr>
            <w:cnfStyle w:val="001000000000" w:firstRow="0" w:lastRow="0" w:firstColumn="1" w:lastColumn="0" w:oddVBand="0" w:evenVBand="0" w:oddHBand="0" w:evenHBand="0" w:firstRowFirstColumn="0" w:firstRowLastColumn="0" w:lastRowFirstColumn="0" w:lastRowLastColumn="0"/>
            <w:tcW w:w="856" w:type="pct"/>
            <w:hideMark/>
          </w:tcPr>
          <w:p w14:paraId="2BA9CB13" w14:textId="77777777" w:rsidR="00D40177" w:rsidRPr="00D00ABD" w:rsidRDefault="00D40177" w:rsidP="00DE04A7">
            <w:pPr>
              <w:spacing w:before="120"/>
              <w:rPr>
                <w:rFonts w:ascii="Arial" w:hAnsi="Arial" w:cs="Arial"/>
                <w:lang w:eastAsia="zh-CN"/>
              </w:rPr>
            </w:pPr>
            <w:r w:rsidRPr="00D00ABD">
              <w:rPr>
                <w:rFonts w:ascii="Arial" w:hAnsi="Arial" w:cs="Arial"/>
                <w:lang w:eastAsia="zh-CN"/>
              </w:rPr>
              <w:t>118(g)</w:t>
            </w:r>
          </w:p>
        </w:tc>
        <w:tc>
          <w:tcPr>
            <w:tcW w:w="4144" w:type="pct"/>
            <w:hideMark/>
          </w:tcPr>
          <w:p w14:paraId="2BE0600F" w14:textId="5362E2BC" w:rsidR="00D40177" w:rsidRPr="00D00ABD" w:rsidRDefault="00D40177" w:rsidP="00DE04A7">
            <w:pPr>
              <w:spacing w:before="120"/>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the calculation of the control program from the netted area AC position with a common ramping period for ACE calculation for a synchronous area with more than one LFC area in accordance with </w:t>
            </w:r>
            <w:r w:rsidR="006467B0" w:rsidRPr="00D00ABD">
              <w:rPr>
                <w:rFonts w:ascii="Arial" w:hAnsi="Arial" w:cs="Arial"/>
                <w:lang w:eastAsia="zh-CN"/>
              </w:rPr>
              <w:t xml:space="preserve">SOGL </w:t>
            </w:r>
            <w:r w:rsidRPr="00D00ABD">
              <w:rPr>
                <w:rFonts w:ascii="Arial" w:hAnsi="Arial" w:cs="Arial"/>
                <w:lang w:eastAsia="zh-CN"/>
              </w:rPr>
              <w:t>Article 136;</w:t>
            </w:r>
          </w:p>
        </w:tc>
      </w:tr>
      <w:tr w:rsidR="00D40177" w:rsidRPr="00D00ABD" w14:paraId="0ACE11BC" w14:textId="77777777" w:rsidTr="007B4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hideMark/>
          </w:tcPr>
          <w:p w14:paraId="66DF82DB" w14:textId="77777777" w:rsidR="00D40177" w:rsidRPr="00D00ABD" w:rsidRDefault="00D40177" w:rsidP="00DE04A7">
            <w:pPr>
              <w:spacing w:before="120"/>
              <w:rPr>
                <w:rFonts w:ascii="Arial" w:hAnsi="Arial" w:cs="Arial"/>
                <w:lang w:eastAsia="zh-CN"/>
              </w:rPr>
            </w:pPr>
            <w:r w:rsidRPr="00D00ABD">
              <w:rPr>
                <w:rFonts w:ascii="Arial" w:hAnsi="Arial" w:cs="Arial"/>
                <w:lang w:eastAsia="zh-CN"/>
              </w:rPr>
              <w:t>118(h)</w:t>
            </w:r>
          </w:p>
        </w:tc>
        <w:tc>
          <w:tcPr>
            <w:tcW w:w="4144" w:type="pct"/>
            <w:hideMark/>
          </w:tcPr>
          <w:p w14:paraId="27ABF476" w14:textId="661B268A" w:rsidR="00D40177" w:rsidRPr="00D00ABD" w:rsidRDefault="00D40177" w:rsidP="00DE04A7">
            <w:pPr>
              <w:spacing w:before="120"/>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if applicable, restrictions for the active power output of HVDC interconnectors between synchronous areas in accordance with </w:t>
            </w:r>
            <w:r w:rsidR="006467B0" w:rsidRPr="00D00ABD">
              <w:rPr>
                <w:rFonts w:ascii="Arial" w:hAnsi="Arial" w:cs="Arial"/>
                <w:lang w:eastAsia="zh-CN"/>
              </w:rPr>
              <w:t xml:space="preserve">SOGL </w:t>
            </w:r>
            <w:r w:rsidRPr="00D00ABD">
              <w:rPr>
                <w:rFonts w:ascii="Arial" w:hAnsi="Arial" w:cs="Arial"/>
                <w:lang w:eastAsia="zh-CN"/>
              </w:rPr>
              <w:t>Article 137;</w:t>
            </w:r>
          </w:p>
        </w:tc>
      </w:tr>
      <w:tr w:rsidR="00D40177" w:rsidRPr="00D00ABD" w14:paraId="50FFBA24" w14:textId="77777777" w:rsidTr="007B437F">
        <w:tc>
          <w:tcPr>
            <w:cnfStyle w:val="001000000000" w:firstRow="0" w:lastRow="0" w:firstColumn="1" w:lastColumn="0" w:oddVBand="0" w:evenVBand="0" w:oddHBand="0" w:evenHBand="0" w:firstRowFirstColumn="0" w:firstRowLastColumn="0" w:lastRowFirstColumn="0" w:lastRowLastColumn="0"/>
            <w:tcW w:w="856" w:type="pct"/>
          </w:tcPr>
          <w:p w14:paraId="1E8B1BFC" w14:textId="77777777" w:rsidR="00D40177" w:rsidRPr="00D00ABD" w:rsidRDefault="00D40177" w:rsidP="00DE04A7">
            <w:pPr>
              <w:spacing w:before="120"/>
              <w:rPr>
                <w:rFonts w:ascii="Arial" w:hAnsi="Arial" w:cs="Arial"/>
                <w:lang w:eastAsia="zh-CN"/>
              </w:rPr>
            </w:pPr>
            <w:r w:rsidRPr="00D00ABD">
              <w:rPr>
                <w:rFonts w:ascii="Arial" w:hAnsi="Arial" w:cs="Arial"/>
                <w:lang w:eastAsia="zh-CN"/>
              </w:rPr>
              <w:t>118(i)</w:t>
            </w:r>
          </w:p>
        </w:tc>
        <w:tc>
          <w:tcPr>
            <w:tcW w:w="4144" w:type="pct"/>
          </w:tcPr>
          <w:p w14:paraId="59BD5F59" w14:textId="166DC332" w:rsidR="00D40177" w:rsidRPr="00D00ABD" w:rsidRDefault="00D40177" w:rsidP="00DE04A7">
            <w:pPr>
              <w:spacing w:before="120"/>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the LFC structure in accordance with </w:t>
            </w:r>
            <w:r w:rsidR="006467B0" w:rsidRPr="00D00ABD">
              <w:rPr>
                <w:rFonts w:ascii="Arial" w:hAnsi="Arial" w:cs="Arial"/>
                <w:lang w:eastAsia="zh-CN"/>
              </w:rPr>
              <w:t xml:space="preserve">SOGL </w:t>
            </w:r>
            <w:r w:rsidRPr="00D00ABD">
              <w:rPr>
                <w:rFonts w:ascii="Arial" w:hAnsi="Arial" w:cs="Arial"/>
                <w:lang w:eastAsia="zh-CN"/>
              </w:rPr>
              <w:t>Article 139;</w:t>
            </w:r>
          </w:p>
        </w:tc>
      </w:tr>
      <w:tr w:rsidR="00D40177" w:rsidRPr="00D00ABD" w14:paraId="1F233E78" w14:textId="77777777" w:rsidTr="007B4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tcPr>
          <w:p w14:paraId="7D94C4A0" w14:textId="77777777" w:rsidR="00D40177" w:rsidRPr="00D00ABD" w:rsidRDefault="00D40177" w:rsidP="00DE04A7">
            <w:pPr>
              <w:spacing w:before="120"/>
              <w:rPr>
                <w:rFonts w:ascii="Arial" w:hAnsi="Arial" w:cs="Arial"/>
                <w:lang w:eastAsia="zh-CN"/>
              </w:rPr>
            </w:pPr>
            <w:r w:rsidRPr="00D00ABD">
              <w:rPr>
                <w:rFonts w:ascii="Arial" w:hAnsi="Arial" w:cs="Arial"/>
                <w:lang w:eastAsia="zh-CN"/>
              </w:rPr>
              <w:t>118(j)</w:t>
            </w:r>
          </w:p>
        </w:tc>
        <w:tc>
          <w:tcPr>
            <w:tcW w:w="4144" w:type="pct"/>
          </w:tcPr>
          <w:p w14:paraId="4F482E40" w14:textId="5F18A6F0" w:rsidR="00D40177" w:rsidRPr="00D00ABD" w:rsidRDefault="00D40177" w:rsidP="00DE04A7">
            <w:pPr>
              <w:spacing w:before="120"/>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if applicable, the methodology to reduce the electrical time deviation in accordance with </w:t>
            </w:r>
            <w:r w:rsidR="006467B0" w:rsidRPr="00D00ABD">
              <w:rPr>
                <w:rFonts w:ascii="Arial" w:hAnsi="Arial" w:cs="Arial"/>
                <w:lang w:eastAsia="zh-CN"/>
              </w:rPr>
              <w:t xml:space="preserve">SOGL </w:t>
            </w:r>
            <w:r w:rsidRPr="00D00ABD">
              <w:rPr>
                <w:rFonts w:ascii="Arial" w:hAnsi="Arial" w:cs="Arial"/>
                <w:lang w:eastAsia="zh-CN"/>
              </w:rPr>
              <w:t>Article 181;</w:t>
            </w:r>
          </w:p>
        </w:tc>
      </w:tr>
      <w:tr w:rsidR="00D40177" w:rsidRPr="00D00ABD" w14:paraId="395DB650" w14:textId="77777777" w:rsidTr="007B437F">
        <w:tc>
          <w:tcPr>
            <w:cnfStyle w:val="001000000000" w:firstRow="0" w:lastRow="0" w:firstColumn="1" w:lastColumn="0" w:oddVBand="0" w:evenVBand="0" w:oddHBand="0" w:evenHBand="0" w:firstRowFirstColumn="0" w:firstRowLastColumn="0" w:lastRowFirstColumn="0" w:lastRowLastColumn="0"/>
            <w:tcW w:w="856" w:type="pct"/>
          </w:tcPr>
          <w:p w14:paraId="262046AE" w14:textId="77777777" w:rsidR="00D40177" w:rsidRPr="00D00ABD" w:rsidRDefault="00D40177" w:rsidP="00DE04A7">
            <w:pPr>
              <w:spacing w:before="120"/>
              <w:rPr>
                <w:rFonts w:ascii="Arial" w:hAnsi="Arial" w:cs="Arial"/>
                <w:lang w:eastAsia="zh-CN"/>
              </w:rPr>
            </w:pPr>
            <w:r w:rsidRPr="00D00ABD">
              <w:rPr>
                <w:rFonts w:ascii="Arial" w:hAnsi="Arial" w:cs="Arial"/>
                <w:lang w:eastAsia="zh-CN"/>
              </w:rPr>
              <w:t>118(k)</w:t>
            </w:r>
          </w:p>
        </w:tc>
        <w:tc>
          <w:tcPr>
            <w:tcW w:w="4144" w:type="pct"/>
          </w:tcPr>
          <w:p w14:paraId="3F4446D2" w14:textId="73776E51" w:rsidR="00D40177" w:rsidRPr="00D00ABD" w:rsidRDefault="00D40177" w:rsidP="00DE04A7">
            <w:pPr>
              <w:spacing w:before="120"/>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whenever the synchronous area is operated by more than one TSO, the specific allocation of responsibilities between TSOs in accordance with </w:t>
            </w:r>
            <w:r w:rsidR="006467B0" w:rsidRPr="00D00ABD">
              <w:rPr>
                <w:rFonts w:ascii="Arial" w:hAnsi="Arial" w:cs="Arial"/>
                <w:lang w:eastAsia="zh-CN"/>
              </w:rPr>
              <w:t xml:space="preserve">SOGL </w:t>
            </w:r>
            <w:r w:rsidRPr="00D00ABD">
              <w:rPr>
                <w:rFonts w:ascii="Arial" w:hAnsi="Arial" w:cs="Arial"/>
                <w:lang w:eastAsia="zh-CN"/>
              </w:rPr>
              <w:t>Article 141;</w:t>
            </w:r>
          </w:p>
        </w:tc>
      </w:tr>
      <w:tr w:rsidR="00D40177" w:rsidRPr="00D00ABD" w14:paraId="6A41B9AE" w14:textId="77777777" w:rsidTr="007B4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tcPr>
          <w:p w14:paraId="5B27F49A" w14:textId="77777777" w:rsidR="00D40177" w:rsidRPr="00D00ABD" w:rsidRDefault="00D40177" w:rsidP="00DE04A7">
            <w:pPr>
              <w:spacing w:before="120"/>
              <w:rPr>
                <w:rFonts w:ascii="Arial" w:hAnsi="Arial" w:cs="Arial"/>
                <w:lang w:eastAsia="zh-CN"/>
              </w:rPr>
            </w:pPr>
            <w:r w:rsidRPr="00D00ABD">
              <w:rPr>
                <w:rFonts w:ascii="Arial" w:hAnsi="Arial" w:cs="Arial"/>
                <w:lang w:eastAsia="zh-CN"/>
              </w:rPr>
              <w:t>118(l)</w:t>
            </w:r>
          </w:p>
        </w:tc>
        <w:tc>
          <w:tcPr>
            <w:tcW w:w="4144" w:type="pct"/>
          </w:tcPr>
          <w:p w14:paraId="26DF941C" w14:textId="262CFB85" w:rsidR="00D40177" w:rsidRPr="00D00ABD" w:rsidRDefault="00D40177" w:rsidP="00DE04A7">
            <w:pPr>
              <w:spacing w:before="120"/>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operational procedures in case of exhausted FCR in accordance with </w:t>
            </w:r>
            <w:r w:rsidR="006467B0" w:rsidRPr="00D00ABD">
              <w:rPr>
                <w:rFonts w:ascii="Arial" w:hAnsi="Arial" w:cs="Arial"/>
                <w:lang w:eastAsia="zh-CN"/>
              </w:rPr>
              <w:t xml:space="preserve">SOGL </w:t>
            </w:r>
            <w:r w:rsidRPr="00D00ABD">
              <w:rPr>
                <w:rFonts w:ascii="Arial" w:hAnsi="Arial" w:cs="Arial"/>
                <w:lang w:eastAsia="zh-CN"/>
              </w:rPr>
              <w:t>Article 152(7);</w:t>
            </w:r>
          </w:p>
        </w:tc>
      </w:tr>
      <w:tr w:rsidR="00D40177" w:rsidRPr="00D00ABD" w14:paraId="139C4750" w14:textId="77777777" w:rsidTr="007B437F">
        <w:tc>
          <w:tcPr>
            <w:cnfStyle w:val="001000000000" w:firstRow="0" w:lastRow="0" w:firstColumn="1" w:lastColumn="0" w:oddVBand="0" w:evenVBand="0" w:oddHBand="0" w:evenHBand="0" w:firstRowFirstColumn="0" w:firstRowLastColumn="0" w:lastRowFirstColumn="0" w:lastRowLastColumn="0"/>
            <w:tcW w:w="856" w:type="pct"/>
          </w:tcPr>
          <w:p w14:paraId="767D3B4C" w14:textId="77777777" w:rsidR="00D40177" w:rsidRPr="00D00ABD" w:rsidRDefault="00D40177" w:rsidP="00DE04A7">
            <w:pPr>
              <w:spacing w:before="120"/>
              <w:rPr>
                <w:rFonts w:ascii="Arial" w:hAnsi="Arial" w:cs="Arial"/>
                <w:lang w:eastAsia="zh-CN"/>
              </w:rPr>
            </w:pPr>
            <w:r w:rsidRPr="00D00ABD">
              <w:rPr>
                <w:rFonts w:ascii="Arial" w:hAnsi="Arial" w:cs="Arial"/>
                <w:lang w:eastAsia="zh-CN"/>
              </w:rPr>
              <w:lastRenderedPageBreak/>
              <w:t>118(n)</w:t>
            </w:r>
          </w:p>
        </w:tc>
        <w:tc>
          <w:tcPr>
            <w:tcW w:w="4144" w:type="pct"/>
          </w:tcPr>
          <w:p w14:paraId="3D58D2D0" w14:textId="215FEEF3" w:rsidR="00D40177" w:rsidRPr="00D00ABD" w:rsidRDefault="00D40177" w:rsidP="00DE04A7">
            <w:pPr>
              <w:spacing w:before="120"/>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operational procedures to reduce the system frequency deviation to restore the system state to normal state and to limit the risk of entering into the emergency state in accordance with </w:t>
            </w:r>
            <w:r w:rsidR="006467B0" w:rsidRPr="00D00ABD">
              <w:rPr>
                <w:rFonts w:ascii="Arial" w:hAnsi="Arial" w:cs="Arial"/>
                <w:lang w:eastAsia="zh-CN"/>
              </w:rPr>
              <w:t xml:space="preserve">SOGL </w:t>
            </w:r>
            <w:r w:rsidRPr="00D00ABD">
              <w:rPr>
                <w:rFonts w:ascii="Arial" w:hAnsi="Arial" w:cs="Arial"/>
                <w:lang w:eastAsia="zh-CN"/>
              </w:rPr>
              <w:t>Article 152(10);</w:t>
            </w:r>
          </w:p>
        </w:tc>
      </w:tr>
      <w:tr w:rsidR="00D40177" w:rsidRPr="00D00ABD" w14:paraId="37F66ACA" w14:textId="77777777" w:rsidTr="007B4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tcPr>
          <w:p w14:paraId="6D68820E" w14:textId="77777777" w:rsidR="00D40177" w:rsidRPr="00D00ABD" w:rsidRDefault="00D40177" w:rsidP="00DE04A7">
            <w:pPr>
              <w:spacing w:before="120"/>
              <w:rPr>
                <w:rFonts w:ascii="Arial" w:hAnsi="Arial" w:cs="Arial"/>
                <w:lang w:eastAsia="zh-CN"/>
              </w:rPr>
            </w:pPr>
            <w:r w:rsidRPr="00D00ABD">
              <w:rPr>
                <w:rFonts w:ascii="Arial" w:hAnsi="Arial" w:cs="Arial"/>
                <w:lang w:eastAsia="zh-CN"/>
              </w:rPr>
              <w:t>118(o)</w:t>
            </w:r>
          </w:p>
        </w:tc>
        <w:tc>
          <w:tcPr>
            <w:tcW w:w="4144" w:type="pct"/>
          </w:tcPr>
          <w:p w14:paraId="5D52438D" w14:textId="505AA1A4" w:rsidR="00D40177" w:rsidRPr="00D00ABD" w:rsidRDefault="00D40177" w:rsidP="00DE04A7">
            <w:pPr>
              <w:spacing w:before="120"/>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the roles and responsibilities of the TSOs implementing an imbalance netting process, a cross-border FRR activation process or a cross-border RR activation process in accordance with Article </w:t>
            </w:r>
            <w:r w:rsidR="006467B0" w:rsidRPr="00D00ABD">
              <w:rPr>
                <w:rFonts w:ascii="Arial" w:hAnsi="Arial" w:cs="Arial"/>
                <w:lang w:eastAsia="zh-CN"/>
              </w:rPr>
              <w:t xml:space="preserve">SOGL </w:t>
            </w:r>
            <w:r w:rsidRPr="00D00ABD">
              <w:rPr>
                <w:rFonts w:ascii="Arial" w:hAnsi="Arial" w:cs="Arial"/>
                <w:lang w:eastAsia="zh-CN"/>
              </w:rPr>
              <w:t>149(2);</w:t>
            </w:r>
          </w:p>
        </w:tc>
      </w:tr>
      <w:tr w:rsidR="00D40177" w:rsidRPr="00D00ABD" w14:paraId="01A8B8D4" w14:textId="77777777" w:rsidTr="007B437F">
        <w:tc>
          <w:tcPr>
            <w:cnfStyle w:val="001000000000" w:firstRow="0" w:lastRow="0" w:firstColumn="1" w:lastColumn="0" w:oddVBand="0" w:evenVBand="0" w:oddHBand="0" w:evenHBand="0" w:firstRowFirstColumn="0" w:firstRowLastColumn="0" w:lastRowFirstColumn="0" w:lastRowLastColumn="0"/>
            <w:tcW w:w="856" w:type="pct"/>
          </w:tcPr>
          <w:p w14:paraId="036B96D0" w14:textId="77777777" w:rsidR="00D40177" w:rsidRPr="00D00ABD" w:rsidRDefault="00D40177" w:rsidP="00DE04A7">
            <w:pPr>
              <w:spacing w:before="120"/>
              <w:rPr>
                <w:rFonts w:ascii="Arial" w:hAnsi="Arial" w:cs="Arial"/>
                <w:lang w:eastAsia="zh-CN"/>
              </w:rPr>
            </w:pPr>
            <w:r w:rsidRPr="00D00ABD">
              <w:rPr>
                <w:rFonts w:ascii="Arial" w:hAnsi="Arial" w:cs="Arial"/>
                <w:lang w:eastAsia="zh-CN"/>
              </w:rPr>
              <w:t>118(p)</w:t>
            </w:r>
          </w:p>
        </w:tc>
        <w:tc>
          <w:tcPr>
            <w:tcW w:w="4144" w:type="pct"/>
          </w:tcPr>
          <w:p w14:paraId="51854B5B" w14:textId="34CD1CD9" w:rsidR="00D40177" w:rsidRPr="00D00ABD" w:rsidRDefault="00D40177" w:rsidP="00DE04A7">
            <w:pPr>
              <w:spacing w:before="120"/>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00ABD">
              <w:rPr>
                <w:rFonts w:ascii="Arial" w:hAnsi="Arial" w:cs="Arial"/>
                <w:lang w:eastAsia="zh-CN"/>
              </w:rPr>
              <w:t>requirements concerning the availability, reliability and redundancy of the technical infrastructure in accordance with</w:t>
            </w:r>
            <w:r w:rsidR="006467B0" w:rsidRPr="00D00ABD">
              <w:rPr>
                <w:rFonts w:ascii="Arial" w:hAnsi="Arial" w:cs="Arial"/>
                <w:lang w:eastAsia="zh-CN"/>
              </w:rPr>
              <w:t xml:space="preserve"> SOGL</w:t>
            </w:r>
            <w:r w:rsidRPr="00D00ABD">
              <w:rPr>
                <w:rFonts w:ascii="Arial" w:hAnsi="Arial" w:cs="Arial"/>
                <w:lang w:eastAsia="zh-CN"/>
              </w:rPr>
              <w:t xml:space="preserve"> Article 151(2);</w:t>
            </w:r>
          </w:p>
        </w:tc>
      </w:tr>
      <w:tr w:rsidR="00D40177" w:rsidRPr="00D00ABD" w14:paraId="509DCA3E" w14:textId="77777777" w:rsidTr="007B4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tcPr>
          <w:p w14:paraId="40C75D87" w14:textId="77777777" w:rsidR="00D40177" w:rsidRPr="00D00ABD" w:rsidRDefault="00D40177" w:rsidP="00DE04A7">
            <w:pPr>
              <w:spacing w:before="120"/>
              <w:rPr>
                <w:rFonts w:ascii="Arial" w:hAnsi="Arial" w:cs="Arial"/>
                <w:lang w:eastAsia="zh-CN"/>
              </w:rPr>
            </w:pPr>
            <w:r w:rsidRPr="00D00ABD">
              <w:rPr>
                <w:rFonts w:ascii="Arial" w:hAnsi="Arial" w:cs="Arial"/>
                <w:lang w:eastAsia="zh-CN"/>
              </w:rPr>
              <w:t>118(q)</w:t>
            </w:r>
          </w:p>
        </w:tc>
        <w:tc>
          <w:tcPr>
            <w:tcW w:w="4144" w:type="pct"/>
          </w:tcPr>
          <w:p w14:paraId="3B5BECF2" w14:textId="6FB256C1" w:rsidR="00D40177" w:rsidRPr="00D00ABD" w:rsidRDefault="00D40177" w:rsidP="00DE04A7">
            <w:pPr>
              <w:spacing w:before="120"/>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common rules for the operation in normal state and alert state in accordance with </w:t>
            </w:r>
            <w:r w:rsidR="006467B0" w:rsidRPr="00D00ABD">
              <w:rPr>
                <w:rFonts w:ascii="Arial" w:hAnsi="Arial" w:cs="Arial"/>
                <w:lang w:eastAsia="zh-CN"/>
              </w:rPr>
              <w:t xml:space="preserve">SOGL </w:t>
            </w:r>
            <w:r w:rsidRPr="00D00ABD">
              <w:rPr>
                <w:rFonts w:ascii="Arial" w:hAnsi="Arial" w:cs="Arial"/>
                <w:lang w:eastAsia="zh-CN"/>
              </w:rPr>
              <w:t xml:space="preserve">Article 152(6) and the actions referred to in </w:t>
            </w:r>
            <w:r w:rsidR="006467B0" w:rsidRPr="00D00ABD">
              <w:rPr>
                <w:rFonts w:ascii="Arial" w:hAnsi="Arial" w:cs="Arial"/>
                <w:lang w:eastAsia="zh-CN"/>
              </w:rPr>
              <w:t xml:space="preserve">SOGL </w:t>
            </w:r>
            <w:r w:rsidRPr="00D00ABD">
              <w:rPr>
                <w:rFonts w:ascii="Arial" w:hAnsi="Arial" w:cs="Arial"/>
                <w:lang w:eastAsia="zh-CN"/>
              </w:rPr>
              <w:t>Article 152(15);</w:t>
            </w:r>
          </w:p>
        </w:tc>
      </w:tr>
      <w:tr w:rsidR="00D40177" w:rsidRPr="00D00ABD" w14:paraId="16BF6A66" w14:textId="77777777" w:rsidTr="007B437F">
        <w:tc>
          <w:tcPr>
            <w:cnfStyle w:val="001000000000" w:firstRow="0" w:lastRow="0" w:firstColumn="1" w:lastColumn="0" w:oddVBand="0" w:evenVBand="0" w:oddHBand="0" w:evenHBand="0" w:firstRowFirstColumn="0" w:firstRowLastColumn="0" w:lastRowFirstColumn="0" w:lastRowLastColumn="0"/>
            <w:tcW w:w="856" w:type="pct"/>
          </w:tcPr>
          <w:p w14:paraId="50648D8E" w14:textId="77777777" w:rsidR="00D40177" w:rsidRPr="00D00ABD" w:rsidRDefault="00D40177" w:rsidP="00DE04A7">
            <w:pPr>
              <w:spacing w:before="120"/>
              <w:rPr>
                <w:rFonts w:ascii="Arial" w:hAnsi="Arial" w:cs="Arial"/>
                <w:lang w:eastAsia="zh-CN"/>
              </w:rPr>
            </w:pPr>
            <w:r w:rsidRPr="00D00ABD">
              <w:rPr>
                <w:rFonts w:ascii="Arial" w:hAnsi="Arial" w:cs="Arial"/>
                <w:lang w:eastAsia="zh-CN"/>
              </w:rPr>
              <w:t>118(u)</w:t>
            </w:r>
          </w:p>
        </w:tc>
        <w:tc>
          <w:tcPr>
            <w:tcW w:w="4144" w:type="pct"/>
          </w:tcPr>
          <w:p w14:paraId="3C97630B" w14:textId="7A5E7A9B" w:rsidR="00D40177" w:rsidRPr="00D00ABD" w:rsidRDefault="00D40177" w:rsidP="00DE04A7">
            <w:pPr>
              <w:spacing w:before="120"/>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the roles and responsibilities of the reserve connecting TSO, the reserve receiving TSO and the affected TSO as regards the exchange of FRR and RR defined in accordance with </w:t>
            </w:r>
            <w:r w:rsidR="006467B0" w:rsidRPr="00D00ABD">
              <w:rPr>
                <w:rFonts w:ascii="Arial" w:hAnsi="Arial" w:cs="Arial"/>
                <w:lang w:eastAsia="zh-CN"/>
              </w:rPr>
              <w:t xml:space="preserve">SOGL </w:t>
            </w:r>
            <w:r w:rsidRPr="00D00ABD">
              <w:rPr>
                <w:rFonts w:ascii="Arial" w:hAnsi="Arial" w:cs="Arial"/>
                <w:lang w:eastAsia="zh-CN"/>
              </w:rPr>
              <w:t>Article 165(1);</w:t>
            </w:r>
          </w:p>
        </w:tc>
      </w:tr>
      <w:tr w:rsidR="00D40177" w:rsidRPr="00D00ABD" w14:paraId="33A7BC1F" w14:textId="77777777" w:rsidTr="007B4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tcPr>
          <w:p w14:paraId="486196E2" w14:textId="77777777" w:rsidR="00D40177" w:rsidRPr="00D00ABD" w:rsidRDefault="00D40177" w:rsidP="00DE04A7">
            <w:pPr>
              <w:spacing w:before="120"/>
              <w:rPr>
                <w:rFonts w:ascii="Arial" w:hAnsi="Arial" w:cs="Arial"/>
                <w:lang w:eastAsia="zh-CN"/>
              </w:rPr>
            </w:pPr>
            <w:r w:rsidRPr="00D00ABD">
              <w:rPr>
                <w:rFonts w:ascii="Arial" w:hAnsi="Arial" w:cs="Arial"/>
                <w:lang w:eastAsia="zh-CN"/>
              </w:rPr>
              <w:t>118(v)</w:t>
            </w:r>
          </w:p>
        </w:tc>
        <w:tc>
          <w:tcPr>
            <w:tcW w:w="4144" w:type="pct"/>
          </w:tcPr>
          <w:p w14:paraId="62E62F0C" w14:textId="0E03E4DE" w:rsidR="00D40177" w:rsidRPr="00D00ABD" w:rsidRDefault="00D40177" w:rsidP="00DE04A7">
            <w:pPr>
              <w:spacing w:before="120"/>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the roles and responsibilities of the control capability providing TSO, the control capability receiving TSO and the affected TSO for the sharing of FRR and RR defined in accordance with Article </w:t>
            </w:r>
            <w:r w:rsidR="006467B0" w:rsidRPr="00D00ABD">
              <w:rPr>
                <w:rFonts w:ascii="Arial" w:hAnsi="Arial" w:cs="Arial"/>
                <w:lang w:eastAsia="zh-CN"/>
              </w:rPr>
              <w:t xml:space="preserve">SOGL </w:t>
            </w:r>
            <w:r w:rsidRPr="00D00ABD">
              <w:rPr>
                <w:rFonts w:ascii="Arial" w:hAnsi="Arial" w:cs="Arial"/>
                <w:lang w:eastAsia="zh-CN"/>
              </w:rPr>
              <w:t>166(1);</w:t>
            </w:r>
          </w:p>
        </w:tc>
      </w:tr>
      <w:tr w:rsidR="00D40177" w:rsidRPr="00D00ABD" w14:paraId="6ACCE980" w14:textId="77777777" w:rsidTr="007B437F">
        <w:tc>
          <w:tcPr>
            <w:cnfStyle w:val="001000000000" w:firstRow="0" w:lastRow="0" w:firstColumn="1" w:lastColumn="0" w:oddVBand="0" w:evenVBand="0" w:oddHBand="0" w:evenHBand="0" w:firstRowFirstColumn="0" w:firstRowLastColumn="0" w:lastRowFirstColumn="0" w:lastRowLastColumn="0"/>
            <w:tcW w:w="856" w:type="pct"/>
          </w:tcPr>
          <w:p w14:paraId="44E8C628" w14:textId="77777777" w:rsidR="00D40177" w:rsidRPr="00D00ABD" w:rsidRDefault="00D40177" w:rsidP="00DE04A7">
            <w:pPr>
              <w:spacing w:before="120"/>
              <w:rPr>
                <w:rFonts w:ascii="Arial" w:hAnsi="Arial" w:cs="Arial"/>
                <w:lang w:eastAsia="zh-CN"/>
              </w:rPr>
            </w:pPr>
            <w:r w:rsidRPr="00D00ABD">
              <w:rPr>
                <w:rFonts w:ascii="Arial" w:hAnsi="Arial" w:cs="Arial"/>
                <w:lang w:eastAsia="zh-CN"/>
              </w:rPr>
              <w:t>118(w)</w:t>
            </w:r>
          </w:p>
        </w:tc>
        <w:tc>
          <w:tcPr>
            <w:tcW w:w="4144" w:type="pct"/>
          </w:tcPr>
          <w:p w14:paraId="3106BEA7" w14:textId="5516F9EA" w:rsidR="00D40177" w:rsidRPr="00D00ABD" w:rsidRDefault="00D40177" w:rsidP="00DE04A7">
            <w:pPr>
              <w:spacing w:before="120"/>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00ABD">
              <w:rPr>
                <w:rFonts w:ascii="Arial" w:hAnsi="Arial" w:cs="Arial"/>
                <w:lang w:eastAsia="zh-CN"/>
              </w:rPr>
              <w:t>the roles and responsibilities of the reserve connecting TSO, the reserve receiving TSO and the affected TSO for the exchange of reserves between synchronous areas, and of the control capability providing TSO, the control capability receiving TSO and the affected TSO for the sharing of reserves between synchronous areas defined in accordance with Article</w:t>
            </w:r>
            <w:r w:rsidR="006467B0" w:rsidRPr="00D00ABD">
              <w:rPr>
                <w:rFonts w:ascii="Arial" w:hAnsi="Arial" w:cs="Arial"/>
                <w:lang w:eastAsia="zh-CN"/>
              </w:rPr>
              <w:t xml:space="preserve"> SOGL</w:t>
            </w:r>
            <w:r w:rsidRPr="00D00ABD">
              <w:rPr>
                <w:rFonts w:ascii="Arial" w:hAnsi="Arial" w:cs="Arial"/>
                <w:lang w:eastAsia="zh-CN"/>
              </w:rPr>
              <w:t xml:space="preserve"> 171(2);</w:t>
            </w:r>
          </w:p>
        </w:tc>
      </w:tr>
      <w:tr w:rsidR="00D40177" w:rsidRPr="00D00ABD" w14:paraId="195B93FE" w14:textId="77777777" w:rsidTr="007B4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tcPr>
          <w:p w14:paraId="5226D5B9" w14:textId="77777777" w:rsidR="00D40177" w:rsidRPr="00D00ABD" w:rsidRDefault="00D40177" w:rsidP="00DE04A7">
            <w:pPr>
              <w:spacing w:before="120"/>
              <w:rPr>
                <w:rFonts w:ascii="Arial" w:hAnsi="Arial" w:cs="Arial"/>
                <w:lang w:eastAsia="zh-CN"/>
              </w:rPr>
            </w:pPr>
            <w:r w:rsidRPr="00D00ABD">
              <w:rPr>
                <w:rFonts w:ascii="Arial" w:hAnsi="Arial" w:cs="Arial"/>
                <w:lang w:eastAsia="zh-CN"/>
              </w:rPr>
              <w:t>118(y)</w:t>
            </w:r>
          </w:p>
        </w:tc>
        <w:tc>
          <w:tcPr>
            <w:tcW w:w="4144" w:type="pct"/>
          </w:tcPr>
          <w:p w14:paraId="36E20EB9" w14:textId="2DF03B3F" w:rsidR="00D40177" w:rsidRPr="00D00ABD" w:rsidRDefault="00D40177" w:rsidP="00DE04A7">
            <w:pPr>
              <w:spacing w:before="120"/>
              <w:cnfStyle w:val="000000100000" w:firstRow="0" w:lastRow="0" w:firstColumn="0" w:lastColumn="0" w:oddVBand="0" w:evenVBand="0" w:oddHBand="1" w:evenHBand="0" w:firstRowFirstColumn="0" w:firstRowLastColumn="0" w:lastRowFirstColumn="0" w:lastRowLastColumn="0"/>
              <w:rPr>
                <w:rFonts w:ascii="Arial" w:hAnsi="Arial" w:cs="Arial"/>
                <w:lang w:eastAsia="zh-CN"/>
              </w:rPr>
            </w:pPr>
            <w:r w:rsidRPr="00D00ABD">
              <w:rPr>
                <w:rFonts w:ascii="Arial" w:hAnsi="Arial" w:cs="Arial"/>
                <w:lang w:eastAsia="zh-CN"/>
              </w:rPr>
              <w:t xml:space="preserve">for the GB and IE/NI synchronous areas, the methodology to determine the minimum provision of reserve capacity on FCR in accordance with Article </w:t>
            </w:r>
            <w:r w:rsidR="006467B0" w:rsidRPr="00D00ABD">
              <w:rPr>
                <w:rFonts w:ascii="Arial" w:hAnsi="Arial" w:cs="Arial"/>
                <w:lang w:eastAsia="zh-CN"/>
              </w:rPr>
              <w:t xml:space="preserve">SOGL </w:t>
            </w:r>
            <w:r w:rsidRPr="00D00ABD">
              <w:rPr>
                <w:rFonts w:ascii="Arial" w:hAnsi="Arial" w:cs="Arial"/>
                <w:lang w:eastAsia="zh-CN"/>
              </w:rPr>
              <w:t>174(2)(b);</w:t>
            </w:r>
          </w:p>
        </w:tc>
      </w:tr>
    </w:tbl>
    <w:p w14:paraId="37D73DD6" w14:textId="77777777" w:rsidR="00D40177" w:rsidRPr="00D00ABD" w:rsidRDefault="00D40177" w:rsidP="000222DE">
      <w:pPr>
        <w:pStyle w:val="Paragrapgh-numbered"/>
        <w:numPr>
          <w:ilvl w:val="0"/>
          <w:numId w:val="0"/>
        </w:numPr>
        <w:rPr>
          <w:lang w:val="en-GB"/>
        </w:rPr>
      </w:pPr>
    </w:p>
    <w:p w14:paraId="6C72E757" w14:textId="77777777" w:rsidR="000222DE" w:rsidRPr="00D00ABD" w:rsidRDefault="000222DE" w:rsidP="000222DE">
      <w:pPr>
        <w:pStyle w:val="Paragrapgh-numbered"/>
        <w:numPr>
          <w:ilvl w:val="0"/>
          <w:numId w:val="0"/>
        </w:numPr>
        <w:rPr>
          <w:lang w:val="en-GB"/>
        </w:rPr>
      </w:pPr>
    </w:p>
    <w:p w14:paraId="6C72E758" w14:textId="77777777" w:rsidR="000222DE" w:rsidRPr="00D00ABD" w:rsidRDefault="000222DE">
      <w:pPr>
        <w:spacing w:after="0" w:line="240" w:lineRule="auto"/>
        <w:rPr>
          <w:rFonts w:ascii="Times New Roman" w:eastAsiaTheme="majorEastAsia" w:hAnsi="Times New Roman" w:cstheme="majorBidi"/>
          <w:b/>
          <w:bCs/>
          <w:color w:val="1F497D" w:themeColor="text2"/>
          <w:sz w:val="24"/>
          <w:szCs w:val="26"/>
        </w:rPr>
      </w:pPr>
      <w:bookmarkStart w:id="9" w:name="_Toc509435127"/>
      <w:r w:rsidRPr="00D00ABD">
        <w:br w:type="page"/>
      </w:r>
    </w:p>
    <w:p w14:paraId="6C72E759" w14:textId="3564B029" w:rsidR="00417171" w:rsidRPr="00D00ABD" w:rsidRDefault="00417171" w:rsidP="00CD0A62">
      <w:pPr>
        <w:pStyle w:val="Heading2"/>
      </w:pPr>
      <w:bookmarkStart w:id="10" w:name="_Toc519422406"/>
      <w:r w:rsidRPr="00D00ABD">
        <w:lastRenderedPageBreak/>
        <w:t xml:space="preserve">Timeline for the initial </w:t>
      </w:r>
      <w:r w:rsidR="0051359E" w:rsidRPr="00D00ABD">
        <w:t>SAOM</w:t>
      </w:r>
      <w:r w:rsidRPr="00D00ABD">
        <w:t xml:space="preserve"> development process</w:t>
      </w:r>
      <w:bookmarkEnd w:id="10"/>
    </w:p>
    <w:p w14:paraId="6C72E75A" w14:textId="77777777" w:rsidR="003D0E5D" w:rsidRPr="00D00ABD" w:rsidRDefault="003D0E5D" w:rsidP="003D0E5D"/>
    <w:p w14:paraId="6C72E75B" w14:textId="77777777" w:rsidR="00417171" w:rsidRPr="00D00ABD" w:rsidRDefault="00417171" w:rsidP="00FB2509">
      <w:pPr>
        <w:pStyle w:val="Paragrapgh-numbered"/>
        <w:numPr>
          <w:ilvl w:val="0"/>
          <w:numId w:val="4"/>
        </w:numPr>
        <w:rPr>
          <w:lang w:val="en-GB"/>
        </w:rPr>
      </w:pPr>
      <w:r w:rsidRPr="00D00ABD">
        <w:rPr>
          <w:lang w:val="en-GB"/>
        </w:rPr>
        <w:t xml:space="preserve">According to SOGL </w:t>
      </w:r>
      <w:r w:rsidR="000222DE" w:rsidRPr="00D00ABD">
        <w:rPr>
          <w:lang w:val="en-GB"/>
        </w:rPr>
        <w:t>Article</w:t>
      </w:r>
      <w:r w:rsidRPr="00D00ABD">
        <w:rPr>
          <w:lang w:val="en-GB"/>
        </w:rPr>
        <w:t xml:space="preserve"> 118</w:t>
      </w:r>
      <w:r w:rsidR="00FB2509" w:rsidRPr="00D00ABD">
        <w:rPr>
          <w:lang w:val="en-GB"/>
        </w:rPr>
        <w:t>(1)</w:t>
      </w:r>
      <w:r w:rsidRPr="00D00ABD">
        <w:rPr>
          <w:lang w:val="en-GB"/>
        </w:rPr>
        <w:t xml:space="preserve">, the </w:t>
      </w:r>
      <w:r w:rsidR="00FB2509" w:rsidRPr="00D00ABD">
        <w:rPr>
          <w:lang w:val="en-GB"/>
        </w:rPr>
        <w:t>agreement text drafting must be completed and submitted to the NRA by SOGL EIF+12months, 14</w:t>
      </w:r>
      <w:r w:rsidR="00FB2509" w:rsidRPr="00D00ABD">
        <w:rPr>
          <w:vertAlign w:val="superscript"/>
          <w:lang w:val="en-GB"/>
        </w:rPr>
        <w:t>th</w:t>
      </w:r>
      <w:r w:rsidR="00FB2509" w:rsidRPr="00D00ABD">
        <w:rPr>
          <w:lang w:val="en-GB"/>
        </w:rPr>
        <w:t xml:space="preserve"> September 2018;</w:t>
      </w:r>
    </w:p>
    <w:p w14:paraId="6C72E75C" w14:textId="7777CBDC" w:rsidR="00FB2509" w:rsidRPr="00D00ABD" w:rsidRDefault="00FB2509" w:rsidP="00FB2509">
      <w:pPr>
        <w:pStyle w:val="Paragrapgh-numbered"/>
        <w:numPr>
          <w:ilvl w:val="0"/>
          <w:numId w:val="4"/>
        </w:numPr>
        <w:rPr>
          <w:lang w:val="en-GB"/>
        </w:rPr>
      </w:pPr>
      <w:r w:rsidRPr="00D00ABD">
        <w:rPr>
          <w:lang w:val="en-GB"/>
        </w:rPr>
        <w:t xml:space="preserve">For those </w:t>
      </w:r>
      <w:r w:rsidR="000222DE" w:rsidRPr="00D00ABD">
        <w:rPr>
          <w:lang w:val="en-GB"/>
        </w:rPr>
        <w:t>Article</w:t>
      </w:r>
      <w:r w:rsidRPr="00D00ABD">
        <w:rPr>
          <w:lang w:val="en-GB"/>
        </w:rPr>
        <w:t xml:space="preserve">s referenced in SOGL </w:t>
      </w:r>
      <w:r w:rsidR="000222DE" w:rsidRPr="00D00ABD">
        <w:rPr>
          <w:lang w:val="en-GB"/>
        </w:rPr>
        <w:t>Article</w:t>
      </w:r>
      <w:r w:rsidRPr="00D00ABD">
        <w:rPr>
          <w:lang w:val="en-GB"/>
        </w:rPr>
        <w:t xml:space="preserve"> 6(3), SOGL </w:t>
      </w:r>
      <w:r w:rsidR="000222DE" w:rsidRPr="00D00ABD">
        <w:rPr>
          <w:lang w:val="en-GB"/>
        </w:rPr>
        <w:t>Article</w:t>
      </w:r>
      <w:r w:rsidRPr="00D00ABD">
        <w:rPr>
          <w:lang w:val="en-GB"/>
        </w:rPr>
        <w:t xml:space="preserve"> 11 states that these must also undergo a public consultation which must be open for at least 1 month</w:t>
      </w:r>
      <w:r w:rsidR="00F60A8E" w:rsidRPr="00D00ABD">
        <w:rPr>
          <w:lang w:val="en-GB"/>
        </w:rPr>
        <w:t xml:space="preserve"> (to be conducted from 5</w:t>
      </w:r>
      <w:r w:rsidR="00F60A8E" w:rsidRPr="00D00ABD">
        <w:rPr>
          <w:vertAlign w:val="superscript"/>
          <w:lang w:val="en-GB"/>
        </w:rPr>
        <w:t>th</w:t>
      </w:r>
      <w:r w:rsidR="004F5DDD" w:rsidRPr="00D00ABD">
        <w:rPr>
          <w:lang w:val="en-GB"/>
        </w:rPr>
        <w:t xml:space="preserve"> April to 18</w:t>
      </w:r>
      <w:r w:rsidR="00F60A8E" w:rsidRPr="00D00ABD">
        <w:rPr>
          <w:vertAlign w:val="superscript"/>
          <w:lang w:val="en-GB"/>
        </w:rPr>
        <w:t>th</w:t>
      </w:r>
      <w:r w:rsidR="00F60A8E" w:rsidRPr="00D00ABD">
        <w:rPr>
          <w:lang w:val="en-GB"/>
        </w:rPr>
        <w:t xml:space="preserve"> May 2018 for GB)</w:t>
      </w:r>
      <w:r w:rsidRPr="00D00ABD">
        <w:rPr>
          <w:lang w:val="en-GB"/>
        </w:rPr>
        <w:t>;</w:t>
      </w:r>
    </w:p>
    <w:p w14:paraId="49D4A1C5" w14:textId="72C6EB5C" w:rsidR="007B7099" w:rsidRPr="00D00ABD" w:rsidRDefault="007B7099" w:rsidP="00FB2509">
      <w:pPr>
        <w:pStyle w:val="Paragrapgh-numbered"/>
        <w:numPr>
          <w:ilvl w:val="0"/>
          <w:numId w:val="4"/>
        </w:numPr>
        <w:rPr>
          <w:lang w:val="en-GB"/>
        </w:rPr>
      </w:pPr>
      <w:r w:rsidRPr="00D00ABD">
        <w:rPr>
          <w:lang w:val="en-GB"/>
        </w:rPr>
        <w:t>The ESO has voluntarily elected to conduct a 2</w:t>
      </w:r>
      <w:r w:rsidRPr="00D00ABD">
        <w:rPr>
          <w:vertAlign w:val="superscript"/>
          <w:lang w:val="en-GB"/>
        </w:rPr>
        <w:t>nd</w:t>
      </w:r>
      <w:r w:rsidRPr="00D00ABD">
        <w:rPr>
          <w:lang w:val="en-GB"/>
        </w:rPr>
        <w:t xml:space="preserve"> public consultation, this version of the </w:t>
      </w:r>
      <w:r w:rsidR="0051359E" w:rsidRPr="00EA3F1F">
        <w:rPr>
          <w:lang w:val="en-GB"/>
        </w:rPr>
        <w:t>SAOM</w:t>
      </w:r>
      <w:r w:rsidRPr="00D00ABD">
        <w:rPr>
          <w:lang w:val="en-GB"/>
        </w:rPr>
        <w:t xml:space="preserve"> document will contain revised proposals </w:t>
      </w:r>
      <w:r w:rsidR="00875520" w:rsidRPr="00D00ABD">
        <w:rPr>
          <w:lang w:val="en-GB"/>
        </w:rPr>
        <w:t xml:space="preserve">to Part-A </w:t>
      </w:r>
      <w:r w:rsidRPr="00D00ABD">
        <w:rPr>
          <w:lang w:val="en-GB"/>
        </w:rPr>
        <w:t>incorporating changes derived from stakeholder comments and proposals submitted during the 1</w:t>
      </w:r>
      <w:r w:rsidRPr="00D00ABD">
        <w:rPr>
          <w:vertAlign w:val="superscript"/>
          <w:lang w:val="en-GB"/>
        </w:rPr>
        <w:t>st</w:t>
      </w:r>
      <w:r w:rsidRPr="00D00ABD">
        <w:rPr>
          <w:lang w:val="en-GB"/>
        </w:rPr>
        <w:t xml:space="preserve"> public consultation on version 1 and also to provide visibility of the </w:t>
      </w:r>
      <w:r w:rsidR="00875520" w:rsidRPr="00D00ABD">
        <w:rPr>
          <w:lang w:val="en-GB"/>
        </w:rPr>
        <w:t xml:space="preserve">additional </w:t>
      </w:r>
      <w:r w:rsidRPr="00D00ABD">
        <w:rPr>
          <w:lang w:val="en-GB"/>
        </w:rPr>
        <w:t>texts being proposed in Part-B. (This second consultation will be conducted from 23</w:t>
      </w:r>
      <w:r w:rsidRPr="00D00ABD">
        <w:rPr>
          <w:vertAlign w:val="superscript"/>
          <w:lang w:val="en-GB"/>
        </w:rPr>
        <w:t>rd</w:t>
      </w:r>
      <w:r w:rsidRPr="00D00ABD">
        <w:rPr>
          <w:lang w:val="en-GB"/>
        </w:rPr>
        <w:t xml:space="preserve"> July to 23</w:t>
      </w:r>
      <w:r w:rsidRPr="00D00ABD">
        <w:rPr>
          <w:vertAlign w:val="superscript"/>
          <w:lang w:val="en-GB"/>
        </w:rPr>
        <w:t>rd</w:t>
      </w:r>
      <w:r w:rsidRPr="00D00ABD">
        <w:rPr>
          <w:lang w:val="en-GB"/>
        </w:rPr>
        <w:t xml:space="preserve"> August 2018 for GB);</w:t>
      </w:r>
    </w:p>
    <w:p w14:paraId="6C72E75D" w14:textId="544019CA" w:rsidR="00F60A8E" w:rsidRPr="00D00ABD" w:rsidRDefault="00F60A8E" w:rsidP="00FB2509">
      <w:pPr>
        <w:pStyle w:val="Paragrapgh-numbered"/>
        <w:numPr>
          <w:ilvl w:val="0"/>
          <w:numId w:val="4"/>
        </w:numPr>
        <w:rPr>
          <w:lang w:val="en-GB"/>
        </w:rPr>
      </w:pPr>
      <w:r w:rsidRPr="00D00ABD">
        <w:rPr>
          <w:lang w:val="en-GB"/>
        </w:rPr>
        <w:t xml:space="preserve">SOGL 6(7) states that the NRA will take no longer than 6 months to issue its decision on the TSO proposed </w:t>
      </w:r>
      <w:r w:rsidR="0051359E" w:rsidRPr="00D00ABD">
        <w:rPr>
          <w:lang w:val="en-GB"/>
        </w:rPr>
        <w:t>SAOM</w:t>
      </w:r>
      <w:r w:rsidRPr="00D00ABD">
        <w:rPr>
          <w:lang w:val="en-GB"/>
        </w:rPr>
        <w:t xml:space="preserve"> text. (SOGL EIF+18months);</w:t>
      </w:r>
    </w:p>
    <w:p w14:paraId="6C72E75E" w14:textId="3A2A2D7B" w:rsidR="00FB2509" w:rsidRPr="00D00ABD" w:rsidRDefault="00FB2509" w:rsidP="00FB2509">
      <w:pPr>
        <w:pStyle w:val="Paragrapgh-numbered"/>
        <w:numPr>
          <w:ilvl w:val="0"/>
          <w:numId w:val="4"/>
        </w:numPr>
        <w:rPr>
          <w:lang w:val="en-GB"/>
        </w:rPr>
      </w:pPr>
      <w:r w:rsidRPr="00D00ABD">
        <w:rPr>
          <w:lang w:val="en-GB"/>
        </w:rPr>
        <w:t xml:space="preserve">SOGL </w:t>
      </w:r>
      <w:r w:rsidR="000222DE" w:rsidRPr="00D00ABD">
        <w:rPr>
          <w:lang w:val="en-GB"/>
        </w:rPr>
        <w:t>Article</w:t>
      </w:r>
      <w:r w:rsidRPr="00D00ABD">
        <w:rPr>
          <w:lang w:val="en-GB"/>
        </w:rPr>
        <w:t xml:space="preserve"> 118(2) specifies that the TSO must conclude any required revisions to the </w:t>
      </w:r>
      <w:r w:rsidR="0051359E" w:rsidRPr="00D00ABD">
        <w:rPr>
          <w:lang w:val="en-GB"/>
        </w:rPr>
        <w:t>SAOM</w:t>
      </w:r>
      <w:r w:rsidRPr="00D00ABD">
        <w:rPr>
          <w:lang w:val="en-GB"/>
        </w:rPr>
        <w:t xml:space="preserve"> by 1 month after the NRA has issued its opinion on the document</w:t>
      </w:r>
      <w:r w:rsidR="00F60A8E" w:rsidRPr="00D00ABD">
        <w:rPr>
          <w:lang w:val="en-GB"/>
        </w:rPr>
        <w:t xml:space="preserve"> (SOGL EIF+19months)</w:t>
      </w:r>
      <w:r w:rsidRPr="00D00ABD">
        <w:rPr>
          <w:lang w:val="en-GB"/>
        </w:rPr>
        <w:t>;</w:t>
      </w:r>
    </w:p>
    <w:p w14:paraId="6C72E75F" w14:textId="7FF39689" w:rsidR="00F60A8E" w:rsidRPr="00D00ABD" w:rsidRDefault="00F60A8E" w:rsidP="00F60A8E">
      <w:pPr>
        <w:pStyle w:val="Paragrapgh-numbered"/>
        <w:numPr>
          <w:ilvl w:val="0"/>
          <w:numId w:val="4"/>
        </w:numPr>
        <w:rPr>
          <w:lang w:val="en-GB"/>
        </w:rPr>
      </w:pPr>
      <w:r w:rsidRPr="00D00ABD">
        <w:rPr>
          <w:lang w:val="en-GB"/>
        </w:rPr>
        <w:t xml:space="preserve">SOGL </w:t>
      </w:r>
      <w:r w:rsidR="000222DE" w:rsidRPr="00D00ABD">
        <w:rPr>
          <w:lang w:val="en-GB"/>
        </w:rPr>
        <w:t>Article</w:t>
      </w:r>
      <w:r w:rsidRPr="00D00ABD">
        <w:rPr>
          <w:lang w:val="en-GB"/>
        </w:rPr>
        <w:t xml:space="preserve"> 184 specifies that the </w:t>
      </w:r>
      <w:r w:rsidR="0051359E" w:rsidRPr="00D00ABD">
        <w:rPr>
          <w:lang w:val="en-GB"/>
        </w:rPr>
        <w:t>SAOM</w:t>
      </w:r>
      <w:r w:rsidRPr="00D00ABD">
        <w:rPr>
          <w:lang w:val="en-GB"/>
        </w:rPr>
        <w:t xml:space="preserve"> must be notified to the NRA or where applicable other relevant NRAs no later than 1 month before the </w:t>
      </w:r>
      <w:r w:rsidR="0051359E" w:rsidRPr="00D00ABD">
        <w:rPr>
          <w:lang w:val="en-GB"/>
        </w:rPr>
        <w:t>SAOM</w:t>
      </w:r>
      <w:r w:rsidRPr="00D00ABD">
        <w:rPr>
          <w:lang w:val="en-GB"/>
        </w:rPr>
        <w:t xml:space="preserve"> enters into force (SOGL EIF+20months);</w:t>
      </w:r>
    </w:p>
    <w:p w14:paraId="6C72E760" w14:textId="3EE308F8" w:rsidR="00FB2509" w:rsidRPr="00D00ABD" w:rsidRDefault="00FB2509" w:rsidP="00FB2509">
      <w:pPr>
        <w:pStyle w:val="Paragrapgh-numbered"/>
        <w:numPr>
          <w:ilvl w:val="0"/>
          <w:numId w:val="4"/>
        </w:numPr>
        <w:rPr>
          <w:lang w:val="en-GB"/>
        </w:rPr>
      </w:pPr>
      <w:r w:rsidRPr="00D00ABD">
        <w:rPr>
          <w:lang w:val="en-GB"/>
        </w:rPr>
        <w:t xml:space="preserve">SOGL </w:t>
      </w:r>
      <w:r w:rsidR="000222DE" w:rsidRPr="00D00ABD">
        <w:rPr>
          <w:lang w:val="en-GB"/>
        </w:rPr>
        <w:t>Article</w:t>
      </w:r>
      <w:r w:rsidRPr="00D00ABD">
        <w:rPr>
          <w:lang w:val="en-GB"/>
        </w:rPr>
        <w:t xml:space="preserve"> 118(2) specifies that the </w:t>
      </w:r>
      <w:r w:rsidR="0051359E" w:rsidRPr="00D00ABD">
        <w:rPr>
          <w:lang w:val="en-GB"/>
        </w:rPr>
        <w:t>SAOM</w:t>
      </w:r>
      <w:r w:rsidRPr="00D00ABD">
        <w:rPr>
          <w:lang w:val="en-GB"/>
        </w:rPr>
        <w:t xml:space="preserve"> will enter into force no later than 3-months after the proposed text has been approved by the NRA</w:t>
      </w:r>
      <w:r w:rsidR="00F60A8E" w:rsidRPr="00D00ABD">
        <w:rPr>
          <w:lang w:val="en-GB"/>
        </w:rPr>
        <w:t xml:space="preserve"> (SOGL EIF+21months)</w:t>
      </w:r>
      <w:r w:rsidRPr="00D00ABD">
        <w:rPr>
          <w:lang w:val="en-GB"/>
        </w:rPr>
        <w:t>;</w:t>
      </w:r>
    </w:p>
    <w:p w14:paraId="6C72E761" w14:textId="26DBEE08" w:rsidR="00FB2509" w:rsidRPr="00D00ABD" w:rsidRDefault="00FB2509" w:rsidP="00FB2509">
      <w:pPr>
        <w:pStyle w:val="Paragrapgh-numbered"/>
        <w:numPr>
          <w:ilvl w:val="0"/>
          <w:numId w:val="4"/>
        </w:numPr>
        <w:rPr>
          <w:lang w:val="en-GB"/>
        </w:rPr>
      </w:pPr>
      <w:r w:rsidRPr="00D00ABD">
        <w:rPr>
          <w:lang w:val="en-GB"/>
        </w:rPr>
        <w:t xml:space="preserve">SOGL </w:t>
      </w:r>
      <w:r w:rsidR="000222DE" w:rsidRPr="00D00ABD">
        <w:rPr>
          <w:lang w:val="en-GB"/>
        </w:rPr>
        <w:t>Article</w:t>
      </w:r>
      <w:r w:rsidRPr="00D00ABD">
        <w:rPr>
          <w:lang w:val="en-GB"/>
        </w:rPr>
        <w:t xml:space="preserve"> 184 specifies that the </w:t>
      </w:r>
      <w:r w:rsidR="0051359E" w:rsidRPr="00D00ABD">
        <w:rPr>
          <w:lang w:val="en-GB"/>
        </w:rPr>
        <w:t>SAOM</w:t>
      </w:r>
      <w:r w:rsidRPr="00D00ABD">
        <w:rPr>
          <w:lang w:val="en-GB"/>
        </w:rPr>
        <w:t xml:space="preserve"> must be provided to ENTSO-E for publication no later than 1-week after its entry into force;</w:t>
      </w:r>
    </w:p>
    <w:p w14:paraId="6C72E762" w14:textId="77777777" w:rsidR="00FB2509" w:rsidRPr="00D00ABD" w:rsidRDefault="00FB2509" w:rsidP="00417171"/>
    <w:p w14:paraId="6C72E763" w14:textId="5E477DE0" w:rsidR="00CD0A62" w:rsidRPr="00D00ABD" w:rsidRDefault="00CD0A62" w:rsidP="00CD0A62">
      <w:pPr>
        <w:pStyle w:val="Heading2"/>
      </w:pPr>
      <w:bookmarkStart w:id="11" w:name="_Toc519422407"/>
      <w:r w:rsidRPr="00D00ABD">
        <w:t>Revisions</w:t>
      </w:r>
      <w:bookmarkEnd w:id="9"/>
      <w:r w:rsidR="00417171" w:rsidRPr="00D00ABD">
        <w:t xml:space="preserve"> to the </w:t>
      </w:r>
      <w:r w:rsidR="0051359E" w:rsidRPr="00D00ABD">
        <w:t>SAOM</w:t>
      </w:r>
      <w:r w:rsidR="00417171" w:rsidRPr="00D00ABD">
        <w:t xml:space="preserve"> for GB</w:t>
      </w:r>
      <w:bookmarkEnd w:id="11"/>
    </w:p>
    <w:p w14:paraId="6C72E764" w14:textId="4FDBF654" w:rsidR="0040127F" w:rsidRPr="00D00ABD" w:rsidRDefault="00417171" w:rsidP="00FB2509">
      <w:pPr>
        <w:pStyle w:val="Paragrapgh-numbered"/>
        <w:numPr>
          <w:ilvl w:val="0"/>
          <w:numId w:val="5"/>
        </w:numPr>
        <w:rPr>
          <w:lang w:val="en-GB"/>
        </w:rPr>
      </w:pPr>
      <w:bookmarkStart w:id="12" w:name="_Ref494118342"/>
      <w:r w:rsidRPr="00D00ABD">
        <w:rPr>
          <w:lang w:val="en-GB"/>
        </w:rPr>
        <w:t>The process of changing these agreements depends on whether they are subject to NRA approval or not.</w:t>
      </w:r>
      <w:r w:rsidR="004C519D" w:rsidRPr="00D00ABD">
        <w:rPr>
          <w:lang w:val="en-GB"/>
        </w:rPr>
        <w:t xml:space="preserve"> </w:t>
      </w:r>
    </w:p>
    <w:p w14:paraId="6C72E765" w14:textId="32075817" w:rsidR="00CD0A62" w:rsidRPr="00D00ABD" w:rsidRDefault="00417171" w:rsidP="0040127F">
      <w:pPr>
        <w:pStyle w:val="Paragrapgh-numbered"/>
        <w:numPr>
          <w:ilvl w:val="1"/>
          <w:numId w:val="5"/>
        </w:numPr>
        <w:rPr>
          <w:lang w:val="en-GB"/>
        </w:rPr>
      </w:pPr>
      <w:r w:rsidRPr="00D00ABD">
        <w:rPr>
          <w:lang w:val="en-GB"/>
        </w:rPr>
        <w:t xml:space="preserve">Those items in Title 2 of the </w:t>
      </w:r>
      <w:r w:rsidR="0051359E" w:rsidRPr="00D00ABD">
        <w:rPr>
          <w:lang w:val="en-GB"/>
        </w:rPr>
        <w:t>SAOM</w:t>
      </w:r>
      <w:r w:rsidRPr="00D00ABD">
        <w:rPr>
          <w:lang w:val="en-GB"/>
        </w:rPr>
        <w:t xml:space="preserve"> requiring OFGEM approval, for which a revision is desired, require review by the NRA </w:t>
      </w:r>
      <w:r w:rsidR="00CD0A62" w:rsidRPr="00D00ABD">
        <w:rPr>
          <w:lang w:val="en-GB"/>
        </w:rPr>
        <w:t xml:space="preserve">according to SOGL </w:t>
      </w:r>
      <w:r w:rsidR="000222DE" w:rsidRPr="00D00ABD">
        <w:rPr>
          <w:lang w:val="en-GB"/>
        </w:rPr>
        <w:t>Article</w:t>
      </w:r>
      <w:r w:rsidR="00CD0A62" w:rsidRPr="00D00ABD">
        <w:rPr>
          <w:lang w:val="en-GB"/>
        </w:rPr>
        <w:t xml:space="preserve"> 7.</w:t>
      </w:r>
    </w:p>
    <w:p w14:paraId="6C72E766" w14:textId="5ECB3B94" w:rsidR="0040127F" w:rsidRPr="00D00ABD" w:rsidRDefault="0040127F" w:rsidP="0040127F">
      <w:pPr>
        <w:pStyle w:val="Paragrapgh-numbered"/>
        <w:numPr>
          <w:ilvl w:val="1"/>
          <w:numId w:val="5"/>
        </w:numPr>
        <w:rPr>
          <w:lang w:val="en-GB"/>
        </w:rPr>
      </w:pPr>
      <w:r w:rsidRPr="00D00ABD">
        <w:rPr>
          <w:lang w:val="en-GB"/>
        </w:rPr>
        <w:t xml:space="preserve">Those items in Title 3 of the </w:t>
      </w:r>
      <w:r w:rsidR="0051359E" w:rsidRPr="00D00ABD">
        <w:rPr>
          <w:lang w:val="en-GB"/>
        </w:rPr>
        <w:t>SAOM</w:t>
      </w:r>
      <w:r w:rsidRPr="00D00ABD">
        <w:rPr>
          <w:lang w:val="en-GB"/>
        </w:rPr>
        <w:t xml:space="preserve"> not requiring OFGEM approval, for which a revision is desired, will be amended and published by </w:t>
      </w:r>
      <w:r w:rsidR="00787613" w:rsidRPr="00D00ABD">
        <w:rPr>
          <w:lang w:val="en-GB"/>
        </w:rPr>
        <w:t>t</w:t>
      </w:r>
      <w:r w:rsidR="00D32DD5" w:rsidRPr="00D00ABD">
        <w:rPr>
          <w:lang w:val="en-GB"/>
        </w:rPr>
        <w:t>he ESO</w:t>
      </w:r>
      <w:r w:rsidRPr="00D00ABD">
        <w:rPr>
          <w:lang w:val="en-GB"/>
        </w:rPr>
        <w:t>.</w:t>
      </w:r>
    </w:p>
    <w:p w14:paraId="7084FDA7" w14:textId="3D4298BA" w:rsidR="00873FED" w:rsidRPr="00D00ABD" w:rsidRDefault="00873FED" w:rsidP="00EA3F1F">
      <w:pPr>
        <w:pStyle w:val="Paragrapgh-numbered"/>
        <w:numPr>
          <w:ilvl w:val="0"/>
          <w:numId w:val="0"/>
        </w:numPr>
        <w:rPr>
          <w:lang w:val="en-GB"/>
        </w:rPr>
      </w:pPr>
      <w:r w:rsidRPr="00D00ABD">
        <w:rPr>
          <w:lang w:val="en-GB"/>
        </w:rPr>
        <w:t>In both of the above cases, where the methodologies interact with GB industry codes, there will need to be close coordination of any proposed modification and application of both national industry code governance and SOGL change governance as appropriate.</w:t>
      </w:r>
    </w:p>
    <w:bookmarkEnd w:id="12"/>
    <w:p w14:paraId="6C72E767" w14:textId="77777777" w:rsidR="00F60A8E" w:rsidRPr="00D00ABD" w:rsidRDefault="00F60A8E">
      <w:pPr>
        <w:spacing w:after="0" w:line="240" w:lineRule="auto"/>
      </w:pPr>
      <w:r w:rsidRPr="00D00ABD">
        <w:br w:type="page"/>
      </w:r>
    </w:p>
    <w:p w14:paraId="6C72E768" w14:textId="1D224B7E" w:rsidR="00CD0A62" w:rsidRPr="00D00ABD" w:rsidRDefault="001538D8" w:rsidP="00F60A8E">
      <w:pPr>
        <w:pStyle w:val="Heading1"/>
      </w:pPr>
      <w:bookmarkStart w:id="13" w:name="_Toc519422408"/>
      <w:r w:rsidRPr="00D00ABD">
        <w:lastRenderedPageBreak/>
        <w:t xml:space="preserve">TITLE 2 - </w:t>
      </w:r>
      <w:r w:rsidR="00F60A8E" w:rsidRPr="00D00ABD">
        <w:t xml:space="preserve">Explanatory text to accompany each agreement </w:t>
      </w:r>
      <w:r w:rsidR="000222DE" w:rsidRPr="00D00ABD">
        <w:t>Article</w:t>
      </w:r>
      <w:r w:rsidR="00F60A8E" w:rsidRPr="00D00ABD">
        <w:t xml:space="preserve"> in the </w:t>
      </w:r>
      <w:r w:rsidR="0051359E" w:rsidRPr="00D00ABD">
        <w:t>SAOM</w:t>
      </w:r>
      <w:r w:rsidR="00F60A8E" w:rsidRPr="00D00ABD">
        <w:t xml:space="preserve"> document</w:t>
      </w:r>
      <w:r w:rsidRPr="00D00ABD">
        <w:t xml:space="preserve"> that is subject to NRA approval</w:t>
      </w:r>
      <w:bookmarkEnd w:id="13"/>
      <w:r w:rsidRPr="00D00ABD">
        <w:t xml:space="preserve"> </w:t>
      </w:r>
    </w:p>
    <w:p w14:paraId="6C72E769" w14:textId="77777777" w:rsidR="00F60A8E" w:rsidRPr="00D00ABD" w:rsidRDefault="00F60A8E" w:rsidP="00F60A8E"/>
    <w:p w14:paraId="6C72E76A" w14:textId="410C84AB" w:rsidR="00F60A8E" w:rsidRPr="00D00ABD" w:rsidRDefault="0051359E" w:rsidP="00F60A8E">
      <w:pPr>
        <w:pStyle w:val="Heading2"/>
        <w:numPr>
          <w:ilvl w:val="1"/>
          <w:numId w:val="0"/>
        </w:numPr>
        <w:spacing w:before="240" w:after="120"/>
        <w:ind w:left="718" w:hanging="576"/>
        <w:jc w:val="both"/>
      </w:pPr>
      <w:bookmarkStart w:id="14" w:name="_Toc509435149"/>
      <w:bookmarkStart w:id="15" w:name="_Toc519422409"/>
      <w:r w:rsidRPr="00D00ABD">
        <w:t>SAOM</w:t>
      </w:r>
      <w:r w:rsidR="00AE7DC2" w:rsidRPr="00D00ABD">
        <w:t xml:space="preserve"> Article 3 - </w:t>
      </w:r>
      <w:r w:rsidR="00F60A8E" w:rsidRPr="00D00ABD">
        <w:t>SOGL Article 118(a)</w:t>
      </w:r>
      <w:bookmarkEnd w:id="14"/>
      <w:r w:rsidR="00F60A8E" w:rsidRPr="00D00ABD">
        <w:t xml:space="preserve"> - “the dimensioning rules for FCR in accordance with Article 153;”</w:t>
      </w:r>
      <w:bookmarkEnd w:id="15"/>
    </w:p>
    <w:p w14:paraId="05A3B375" w14:textId="1398605A" w:rsidR="00740697" w:rsidRPr="00EA3F1F" w:rsidRDefault="00740697" w:rsidP="00DE04A7">
      <w:pPr>
        <w:pStyle w:val="Paragrapgh-numbered"/>
        <w:numPr>
          <w:ilvl w:val="0"/>
          <w:numId w:val="12"/>
        </w:numPr>
        <w:rPr>
          <w:lang w:val="en-GB"/>
        </w:rPr>
      </w:pPr>
      <w:r w:rsidRPr="00D00ABD">
        <w:rPr>
          <w:lang w:val="en-GB"/>
        </w:rPr>
        <w:t xml:space="preserve">GB </w:t>
      </w:r>
      <w:r w:rsidR="00307CA4" w:rsidRPr="00D00ABD">
        <w:rPr>
          <w:lang w:val="en-GB"/>
        </w:rPr>
        <w:t xml:space="preserve">response </w:t>
      </w:r>
      <w:r w:rsidRPr="00D00ABD">
        <w:rPr>
          <w:lang w:val="en-GB"/>
        </w:rPr>
        <w:t>services used for frequency containment must act collectively to halt a frequency movement created by an imbalance between power entering and leaving the electricity system. The most significant factor is the chance of a disconnection of equipment connecting a large source of injection or large point of off-take of electricity from the electricity system.</w:t>
      </w:r>
    </w:p>
    <w:p w14:paraId="2A6500FD" w14:textId="540CAF08" w:rsidR="00551356" w:rsidRPr="00EA3F1F" w:rsidRDefault="00062C16" w:rsidP="00DE04A7">
      <w:pPr>
        <w:pStyle w:val="Paragrapgh-numbered"/>
        <w:numPr>
          <w:ilvl w:val="0"/>
          <w:numId w:val="12"/>
        </w:numPr>
        <w:rPr>
          <w:lang w:val="en-GB"/>
        </w:rPr>
      </w:pPr>
      <w:r w:rsidRPr="00D00ABD">
        <w:rPr>
          <w:lang w:val="en-GB"/>
        </w:rPr>
        <w:t>The N</w:t>
      </w:r>
      <w:r w:rsidR="00551356" w:rsidRPr="00D00ABD">
        <w:rPr>
          <w:lang w:val="en-GB"/>
        </w:rPr>
        <w:t xml:space="preserve">ational </w:t>
      </w:r>
      <w:r w:rsidRPr="00D00ABD">
        <w:rPr>
          <w:lang w:val="en-GB"/>
        </w:rPr>
        <w:t>E</w:t>
      </w:r>
      <w:r w:rsidR="00551356" w:rsidRPr="00D00ABD">
        <w:rPr>
          <w:lang w:val="en-GB"/>
        </w:rPr>
        <w:t xml:space="preserve">lectricity </w:t>
      </w:r>
      <w:r w:rsidRPr="00D00ABD">
        <w:rPr>
          <w:lang w:val="en-GB"/>
        </w:rPr>
        <w:t>T</w:t>
      </w:r>
      <w:r w:rsidR="00551356" w:rsidRPr="00D00ABD">
        <w:rPr>
          <w:lang w:val="en-GB"/>
        </w:rPr>
        <w:t xml:space="preserve">ransmission </w:t>
      </w:r>
      <w:r w:rsidRPr="00D00ABD">
        <w:rPr>
          <w:lang w:val="en-GB"/>
        </w:rPr>
        <w:t>S</w:t>
      </w:r>
      <w:r w:rsidR="00551356" w:rsidRPr="00D00ABD">
        <w:rPr>
          <w:lang w:val="en-GB"/>
        </w:rPr>
        <w:t xml:space="preserve">ystem (NETS) </w:t>
      </w:r>
      <w:r w:rsidRPr="00D00ABD">
        <w:rPr>
          <w:lang w:val="en-GB"/>
        </w:rPr>
        <w:t xml:space="preserve">is designed in accordance with </w:t>
      </w:r>
      <w:r w:rsidR="00551356" w:rsidRPr="00D00ABD">
        <w:rPr>
          <w:lang w:val="en-GB"/>
        </w:rPr>
        <w:t xml:space="preserve">GB electricity code, </w:t>
      </w:r>
      <w:r w:rsidR="0076717C" w:rsidRPr="00D00ABD">
        <w:rPr>
          <w:lang w:val="en-GB"/>
        </w:rPr>
        <w:t>N</w:t>
      </w:r>
      <w:r w:rsidR="00551356" w:rsidRPr="00D00ABD">
        <w:rPr>
          <w:lang w:val="en-GB"/>
        </w:rPr>
        <w:t xml:space="preserve">ational </w:t>
      </w:r>
      <w:r w:rsidR="0076717C" w:rsidRPr="00D00ABD">
        <w:rPr>
          <w:lang w:val="en-GB"/>
        </w:rPr>
        <w:t>E</w:t>
      </w:r>
      <w:r w:rsidR="00551356" w:rsidRPr="00D00ABD">
        <w:rPr>
          <w:lang w:val="en-GB"/>
        </w:rPr>
        <w:t xml:space="preserve">lectricity </w:t>
      </w:r>
      <w:r w:rsidR="0076717C" w:rsidRPr="00D00ABD">
        <w:rPr>
          <w:lang w:val="en-GB"/>
        </w:rPr>
        <w:t>T</w:t>
      </w:r>
      <w:r w:rsidR="00551356" w:rsidRPr="00D00ABD">
        <w:rPr>
          <w:lang w:val="en-GB"/>
        </w:rPr>
        <w:t xml:space="preserve">ransmission </w:t>
      </w:r>
      <w:r w:rsidR="0076717C" w:rsidRPr="00D00ABD">
        <w:rPr>
          <w:lang w:val="en-GB"/>
        </w:rPr>
        <w:t>S</w:t>
      </w:r>
      <w:r w:rsidR="00551356" w:rsidRPr="00D00ABD">
        <w:rPr>
          <w:lang w:val="en-GB"/>
        </w:rPr>
        <w:t xml:space="preserve">ystem Security and </w:t>
      </w:r>
      <w:r w:rsidRPr="00D00ABD">
        <w:rPr>
          <w:lang w:val="en-GB"/>
        </w:rPr>
        <w:t>Q</w:t>
      </w:r>
      <w:r w:rsidR="00551356" w:rsidRPr="00D00ABD">
        <w:rPr>
          <w:lang w:val="en-GB"/>
        </w:rPr>
        <w:t xml:space="preserve">uality of </w:t>
      </w:r>
      <w:r w:rsidRPr="00D00ABD">
        <w:rPr>
          <w:lang w:val="en-GB"/>
        </w:rPr>
        <w:t>S</w:t>
      </w:r>
      <w:r w:rsidR="00551356" w:rsidRPr="00D00ABD">
        <w:rPr>
          <w:lang w:val="en-GB"/>
        </w:rPr>
        <w:t xml:space="preserve">upply </w:t>
      </w:r>
      <w:r w:rsidRPr="00D00ABD">
        <w:rPr>
          <w:lang w:val="en-GB"/>
        </w:rPr>
        <w:t>S</w:t>
      </w:r>
      <w:r w:rsidR="00551356" w:rsidRPr="00D00ABD">
        <w:rPr>
          <w:lang w:val="en-GB"/>
        </w:rPr>
        <w:t>tandard (NETS SQSS)</w:t>
      </w:r>
      <w:r w:rsidRPr="00D00ABD">
        <w:rPr>
          <w:lang w:val="en-GB"/>
        </w:rPr>
        <w:t xml:space="preserve"> section 2.5</w:t>
      </w:r>
      <w:r w:rsidR="00551356" w:rsidRPr="00D00ABD">
        <w:rPr>
          <w:lang w:val="en-GB"/>
        </w:rPr>
        <w:t>. This sets forth</w:t>
      </w:r>
      <w:r w:rsidRPr="00D00ABD">
        <w:rPr>
          <w:lang w:val="en-GB"/>
        </w:rPr>
        <w:t xml:space="preserve"> Limits to Loss of Power Infeed Risks, against secured events listed in </w:t>
      </w:r>
      <w:r w:rsidR="0076717C" w:rsidRPr="00D00ABD">
        <w:rPr>
          <w:lang w:val="en-GB"/>
        </w:rPr>
        <w:t xml:space="preserve">NETS </w:t>
      </w:r>
      <w:r w:rsidRPr="00D00ABD">
        <w:rPr>
          <w:lang w:val="en-GB"/>
        </w:rPr>
        <w:t xml:space="preserve">SQSS section 2.6, at the infrequent infeed loss risk of 1800MW. </w:t>
      </w:r>
    </w:p>
    <w:p w14:paraId="447CBDB4" w14:textId="4F1B543F" w:rsidR="00FD6EFC" w:rsidRPr="00EA3F1F" w:rsidRDefault="00062C16" w:rsidP="00DE04A7">
      <w:pPr>
        <w:pStyle w:val="Paragrapgh-numbered"/>
        <w:numPr>
          <w:ilvl w:val="0"/>
          <w:numId w:val="12"/>
        </w:numPr>
        <w:rPr>
          <w:lang w:val="en-GB"/>
        </w:rPr>
      </w:pPr>
      <w:r w:rsidRPr="00D00ABD">
        <w:rPr>
          <w:lang w:val="en-GB"/>
        </w:rPr>
        <w:t xml:space="preserve">Whilst </w:t>
      </w:r>
      <w:r w:rsidR="00551356" w:rsidRPr="00D00ABD">
        <w:rPr>
          <w:lang w:val="en-GB"/>
        </w:rPr>
        <w:t xml:space="preserve">1800MW </w:t>
      </w:r>
      <w:r w:rsidRPr="00D00ABD">
        <w:rPr>
          <w:lang w:val="en-GB"/>
        </w:rPr>
        <w:t xml:space="preserve">is the theoretical maximum infeed lose which can occur </w:t>
      </w:r>
      <w:r w:rsidR="00551356" w:rsidRPr="00D00ABD">
        <w:rPr>
          <w:lang w:val="en-GB"/>
        </w:rPr>
        <w:t xml:space="preserve">when </w:t>
      </w:r>
      <w:r w:rsidR="00422836" w:rsidRPr="00D00ABD">
        <w:rPr>
          <w:lang w:val="en-GB"/>
        </w:rPr>
        <w:t xml:space="preserve">units of that MW size are connected to the network and operating at </w:t>
      </w:r>
      <w:r w:rsidR="00740697" w:rsidRPr="00D00ABD">
        <w:rPr>
          <w:lang w:val="en-GB"/>
        </w:rPr>
        <w:t>their maximum</w:t>
      </w:r>
      <w:r w:rsidR="00422836" w:rsidRPr="00D00ABD">
        <w:rPr>
          <w:lang w:val="en-GB"/>
        </w:rPr>
        <w:t xml:space="preserve"> </w:t>
      </w:r>
      <w:r w:rsidR="00740697" w:rsidRPr="00D00ABD">
        <w:rPr>
          <w:lang w:val="en-GB"/>
        </w:rPr>
        <w:t>operating level</w:t>
      </w:r>
      <w:r w:rsidR="00422836" w:rsidRPr="00D00ABD">
        <w:rPr>
          <w:lang w:val="en-GB"/>
        </w:rPr>
        <w:t xml:space="preserve">, </w:t>
      </w:r>
      <w:r w:rsidRPr="00D00ABD">
        <w:rPr>
          <w:lang w:val="en-GB"/>
        </w:rPr>
        <w:t xml:space="preserve">it would be uneconomical to secure against this whilst there is no </w:t>
      </w:r>
      <w:r w:rsidR="00422836" w:rsidRPr="00D00ABD">
        <w:rPr>
          <w:lang w:val="en-GB"/>
        </w:rPr>
        <w:t xml:space="preserve">operating </w:t>
      </w:r>
      <w:r w:rsidRPr="00D00ABD">
        <w:rPr>
          <w:lang w:val="en-GB"/>
        </w:rPr>
        <w:t>equipment capable of trigging such a loss connected to the NETS</w:t>
      </w:r>
      <w:r w:rsidR="00422836" w:rsidRPr="00D00ABD">
        <w:rPr>
          <w:lang w:val="en-GB"/>
        </w:rPr>
        <w:t xml:space="preserve">. For this </w:t>
      </w:r>
      <w:r w:rsidR="00097B0F" w:rsidRPr="00D00ABD">
        <w:rPr>
          <w:lang w:val="en-GB"/>
        </w:rPr>
        <w:t>reason,</w:t>
      </w:r>
      <w:r w:rsidR="00422836" w:rsidRPr="00D00ABD">
        <w:rPr>
          <w:lang w:val="en-GB"/>
        </w:rPr>
        <w:t xml:space="preserve"> </w:t>
      </w:r>
      <w:r w:rsidR="00873FED" w:rsidRPr="00D00ABD">
        <w:rPr>
          <w:lang w:val="en-GB"/>
        </w:rPr>
        <w:t>t</w:t>
      </w:r>
      <w:r w:rsidRPr="00D00ABD">
        <w:rPr>
          <w:lang w:val="en-GB"/>
        </w:rPr>
        <w:t xml:space="preserve">he Grid Code </w:t>
      </w:r>
      <w:r w:rsidR="00422836" w:rsidRPr="00D00ABD">
        <w:rPr>
          <w:lang w:val="en-GB"/>
        </w:rPr>
        <w:t xml:space="preserve">in section </w:t>
      </w:r>
      <w:r w:rsidRPr="00D00ABD">
        <w:rPr>
          <w:lang w:val="en-GB"/>
        </w:rPr>
        <w:t xml:space="preserve">BC1.5.4 sets </w:t>
      </w:r>
      <w:r w:rsidR="00422836" w:rsidRPr="00D00ABD">
        <w:rPr>
          <w:lang w:val="en-GB"/>
        </w:rPr>
        <w:t xml:space="preserve">out </w:t>
      </w:r>
      <w:r w:rsidRPr="00D00ABD">
        <w:rPr>
          <w:lang w:val="en-GB"/>
        </w:rPr>
        <w:t>the requirements for reserve holding with BC1.5.4(b) identifying specific secured loses which must be covered</w:t>
      </w:r>
      <w:r w:rsidR="00422836" w:rsidRPr="00D00ABD">
        <w:rPr>
          <w:lang w:val="en-GB"/>
        </w:rPr>
        <w:t xml:space="preserve"> at any given time.</w:t>
      </w:r>
      <w:r w:rsidR="004C519D" w:rsidRPr="00D00ABD">
        <w:rPr>
          <w:lang w:val="en-GB"/>
        </w:rPr>
        <w:t xml:space="preserve"> </w:t>
      </w:r>
      <w:r w:rsidR="00FD6EFC" w:rsidRPr="00D00ABD">
        <w:rPr>
          <w:lang w:val="en-GB"/>
        </w:rPr>
        <w:t>Additionally, these reserves are used manage the imbalance of generation and demand in real time including market imbalance and the ramping of generators and interconnectors.</w:t>
      </w:r>
    </w:p>
    <w:p w14:paraId="20CB4034" w14:textId="56CA4A35" w:rsidR="00062C16" w:rsidRPr="00EA3F1F" w:rsidRDefault="00FD6EFC" w:rsidP="00DE04A7">
      <w:pPr>
        <w:pStyle w:val="Paragrapgh-numbered"/>
        <w:numPr>
          <w:ilvl w:val="0"/>
          <w:numId w:val="12"/>
        </w:numPr>
        <w:rPr>
          <w:lang w:val="en-GB"/>
        </w:rPr>
      </w:pPr>
      <w:r w:rsidRPr="00D00ABD">
        <w:rPr>
          <w:lang w:val="en-GB"/>
        </w:rPr>
        <w:t xml:space="preserve">At any time the ESO must ensure that the combined technical characteristic of all </w:t>
      </w:r>
      <w:r w:rsidR="00765FBA" w:rsidRPr="00D00ABD">
        <w:rPr>
          <w:lang w:val="en-GB"/>
        </w:rPr>
        <w:t xml:space="preserve">GB response </w:t>
      </w:r>
      <w:r w:rsidRPr="00D00ABD">
        <w:rPr>
          <w:lang w:val="en-GB"/>
        </w:rPr>
        <w:t xml:space="preserve">services meet the </w:t>
      </w:r>
      <w:r w:rsidR="00765FBA" w:rsidRPr="00D00ABD">
        <w:rPr>
          <w:lang w:val="en-GB"/>
        </w:rPr>
        <w:t xml:space="preserve">technical </w:t>
      </w:r>
      <w:r w:rsidRPr="00D00ABD">
        <w:rPr>
          <w:lang w:val="en-GB"/>
        </w:rPr>
        <w:t>characteristic needed to meet the FCR dimensioning requirements of SOGL article 153.</w:t>
      </w:r>
    </w:p>
    <w:p w14:paraId="6C72E76E" w14:textId="3F74D281" w:rsidR="00F60A8E" w:rsidRPr="00D00ABD" w:rsidRDefault="00FD6EFC" w:rsidP="00F60A8E">
      <w:pPr>
        <w:pStyle w:val="Paragrapgh-numbered"/>
        <w:rPr>
          <w:lang w:val="en-GB"/>
        </w:rPr>
      </w:pPr>
      <w:r w:rsidRPr="00D00ABD">
        <w:rPr>
          <w:lang w:val="en-GB"/>
        </w:rPr>
        <w:t>The ESO</w:t>
      </w:r>
      <w:r w:rsidR="00F60A8E" w:rsidRPr="00D00ABD">
        <w:rPr>
          <w:lang w:val="en-GB"/>
        </w:rPr>
        <w:t xml:space="preserve"> must ensure that there is the right level of FCR procured to meet the time varying </w:t>
      </w:r>
      <w:r w:rsidR="00765FBA" w:rsidRPr="00D00ABD">
        <w:rPr>
          <w:lang w:val="en-GB"/>
        </w:rPr>
        <w:t xml:space="preserve">FCR capacity </w:t>
      </w:r>
      <w:r w:rsidR="00F60A8E" w:rsidRPr="00D00ABD">
        <w:rPr>
          <w:lang w:val="en-GB"/>
        </w:rPr>
        <w:t>requirement.</w:t>
      </w:r>
      <w:r w:rsidR="004C519D" w:rsidRPr="00D00ABD">
        <w:rPr>
          <w:lang w:val="en-GB"/>
        </w:rPr>
        <w:t xml:space="preserve"> </w:t>
      </w:r>
      <w:r w:rsidRPr="00D00ABD">
        <w:rPr>
          <w:lang w:val="en-GB"/>
        </w:rPr>
        <w:t xml:space="preserve">The ESO </w:t>
      </w:r>
      <w:r w:rsidR="00F60A8E" w:rsidRPr="00D00ABD">
        <w:rPr>
          <w:lang w:val="en-GB"/>
        </w:rPr>
        <w:t>determines in advance the FCR requirement across the range of potential system conditions using statistical and mathematical models which are regularly reviewed.</w:t>
      </w:r>
      <w:r w:rsidR="004C519D" w:rsidRPr="00D00ABD">
        <w:rPr>
          <w:lang w:val="en-GB"/>
        </w:rPr>
        <w:t xml:space="preserve"> </w:t>
      </w:r>
      <w:r w:rsidR="00F60A8E" w:rsidRPr="00D00ABD">
        <w:rPr>
          <w:lang w:val="en-GB"/>
        </w:rPr>
        <w:t xml:space="preserve">Using this predetermined range of requirements the ENCC study the </w:t>
      </w:r>
      <w:r w:rsidR="00AE7DC2" w:rsidRPr="00D00ABD">
        <w:rPr>
          <w:lang w:val="en-GB"/>
        </w:rPr>
        <w:t>prevalent</w:t>
      </w:r>
      <w:r w:rsidR="00F60A8E" w:rsidRPr="00D00ABD">
        <w:rPr>
          <w:lang w:val="en-GB"/>
        </w:rPr>
        <w:t xml:space="preserve"> system conditions and select the relevant requirement.</w:t>
      </w:r>
      <w:r w:rsidR="004C519D" w:rsidRPr="00D00ABD">
        <w:rPr>
          <w:lang w:val="en-GB"/>
        </w:rPr>
        <w:t xml:space="preserve"> </w:t>
      </w:r>
      <w:r w:rsidR="00F60A8E" w:rsidRPr="00D00ABD">
        <w:rPr>
          <w:lang w:val="en-GB"/>
        </w:rPr>
        <w:t xml:space="preserve">This is then regularly updated to reflect changes in system conditions and </w:t>
      </w:r>
      <w:r w:rsidR="00307CA4" w:rsidRPr="00D00ABD">
        <w:rPr>
          <w:lang w:val="en-GB"/>
        </w:rPr>
        <w:t xml:space="preserve">needs </w:t>
      </w:r>
      <w:r w:rsidR="00F60A8E" w:rsidRPr="00D00ABD">
        <w:rPr>
          <w:lang w:val="en-GB"/>
        </w:rPr>
        <w:t xml:space="preserve">through to real time. </w:t>
      </w:r>
    </w:p>
    <w:p w14:paraId="6C72E76F" w14:textId="7F021693" w:rsidR="00F60A8E" w:rsidRPr="00D00ABD" w:rsidRDefault="00FD6EFC" w:rsidP="00F60A8E">
      <w:pPr>
        <w:pStyle w:val="Paragrapgh-numbered"/>
        <w:rPr>
          <w:lang w:val="en-GB"/>
        </w:rPr>
      </w:pPr>
      <w:r w:rsidRPr="00D00ABD">
        <w:rPr>
          <w:lang w:val="en-GB"/>
        </w:rPr>
        <w:t xml:space="preserve">The ESO </w:t>
      </w:r>
      <w:r w:rsidR="00097B0F">
        <w:rPr>
          <w:lang w:val="en-GB"/>
        </w:rPr>
        <w:t>requirements vary according to:</w:t>
      </w:r>
      <w:r w:rsidR="00F60A8E" w:rsidRPr="00D00ABD">
        <w:rPr>
          <w:lang w:val="en-GB"/>
        </w:rPr>
        <w:t xml:space="preserve"> system demand, system inertia, the largest potential loss of infeed &amp; demand and prevailing system conditions.</w:t>
      </w:r>
      <w:r w:rsidR="004C519D" w:rsidRPr="00D00ABD">
        <w:rPr>
          <w:lang w:val="en-GB"/>
        </w:rPr>
        <w:t xml:space="preserve"> </w:t>
      </w:r>
      <w:r w:rsidR="00F60A8E" w:rsidRPr="00D00ABD">
        <w:rPr>
          <w:lang w:val="en-GB"/>
        </w:rPr>
        <w:t xml:space="preserve">Network connectivity, congestion and inherent risks and limitations of assets may also warrant </w:t>
      </w:r>
      <w:r w:rsidR="00787613" w:rsidRPr="00D00ABD">
        <w:rPr>
          <w:lang w:val="en-GB"/>
        </w:rPr>
        <w:t>t</w:t>
      </w:r>
      <w:r w:rsidR="00D32DD5" w:rsidRPr="00D00ABD">
        <w:rPr>
          <w:lang w:val="en-GB"/>
        </w:rPr>
        <w:t>he ESO</w:t>
      </w:r>
      <w:r w:rsidR="00F60A8E" w:rsidRPr="00D00ABD">
        <w:rPr>
          <w:lang w:val="en-GB"/>
        </w:rPr>
        <w:t xml:space="preserve"> adjusting the total holding, location and distribution of holding of FCR amongst service providers.</w:t>
      </w:r>
    </w:p>
    <w:p w14:paraId="6C72E770" w14:textId="78BE6217" w:rsidR="00F60A8E" w:rsidRPr="00D00ABD" w:rsidRDefault="00F60A8E" w:rsidP="00F60A8E">
      <w:pPr>
        <w:pStyle w:val="Paragrapgh-numbered"/>
        <w:rPr>
          <w:lang w:val="en-GB"/>
        </w:rPr>
      </w:pPr>
      <w:r w:rsidRPr="00D00ABD">
        <w:rPr>
          <w:lang w:val="en-GB"/>
        </w:rPr>
        <w:t xml:space="preserve">A baseline of </w:t>
      </w:r>
      <w:r w:rsidR="00D2484B" w:rsidRPr="00D00ABD">
        <w:rPr>
          <w:lang w:val="en-GB"/>
        </w:rPr>
        <w:t>Balancing</w:t>
      </w:r>
      <w:r w:rsidRPr="00D00ABD">
        <w:rPr>
          <w:lang w:val="en-GB"/>
        </w:rPr>
        <w:t xml:space="preserve"> Services for FCR is procured ahead of real time where they can demonstrate an expected cost saving against mandatory services.</w:t>
      </w:r>
      <w:r w:rsidR="004C519D" w:rsidRPr="00D00ABD">
        <w:rPr>
          <w:lang w:val="en-GB"/>
        </w:rPr>
        <w:t xml:space="preserve"> </w:t>
      </w:r>
      <w:r w:rsidRPr="00D00ABD">
        <w:rPr>
          <w:lang w:val="en-GB"/>
        </w:rPr>
        <w:t>This includes the monthly tenders for dynamic and static Firm Frequency Response (FFR), and other optional contracts.</w:t>
      </w:r>
      <w:r w:rsidR="004C519D" w:rsidRPr="00D00ABD">
        <w:rPr>
          <w:lang w:val="en-GB"/>
        </w:rPr>
        <w:t xml:space="preserve"> </w:t>
      </w:r>
    </w:p>
    <w:p w14:paraId="6C72E771" w14:textId="5C13CAEF" w:rsidR="00F60A8E" w:rsidRPr="00D00ABD" w:rsidRDefault="00FD6EFC" w:rsidP="00F60A8E">
      <w:pPr>
        <w:pStyle w:val="Paragrapgh-numbered"/>
        <w:rPr>
          <w:lang w:val="en-GB"/>
        </w:rPr>
      </w:pPr>
      <w:r w:rsidRPr="00D00ABD">
        <w:rPr>
          <w:lang w:val="en-GB"/>
        </w:rPr>
        <w:t>Closer to</w:t>
      </w:r>
      <w:r w:rsidR="00F60A8E" w:rsidRPr="00D00ABD">
        <w:rPr>
          <w:lang w:val="en-GB"/>
        </w:rPr>
        <w:t xml:space="preserve"> real time, </w:t>
      </w:r>
      <w:r w:rsidRPr="00D00ABD">
        <w:rPr>
          <w:lang w:val="en-GB"/>
        </w:rPr>
        <w:t xml:space="preserve">the ESO </w:t>
      </w:r>
      <w:r w:rsidR="00F60A8E" w:rsidRPr="00D00ABD">
        <w:rPr>
          <w:lang w:val="en-GB"/>
        </w:rPr>
        <w:t>makes an assessment on the basis of system operability and economics of the appropriate balance between actively managing the magnitude of credible losses of infeed and demand, the amount of system inertia and the requirement for FCR.</w:t>
      </w:r>
    </w:p>
    <w:p w14:paraId="553C88AE" w14:textId="1E8D40B3" w:rsidR="00962F21" w:rsidRPr="0064407F" w:rsidRDefault="006857EA" w:rsidP="00962F21">
      <w:pPr>
        <w:pStyle w:val="Paragrapgh-numbered"/>
        <w:rPr>
          <w:rFonts w:cs="EUAlbertina"/>
          <w:color w:val="000000"/>
        </w:rPr>
      </w:pPr>
      <w:r w:rsidRPr="00D00ABD">
        <w:rPr>
          <w:lang w:val="en-GB"/>
        </w:rPr>
        <w:lastRenderedPageBreak/>
        <w:t xml:space="preserve">Market parties are made aware of the FCR capacity that </w:t>
      </w:r>
      <w:r w:rsidR="00D32DD5" w:rsidRPr="00D00ABD">
        <w:rPr>
          <w:lang w:val="en-GB"/>
        </w:rPr>
        <w:t>The ESO</w:t>
      </w:r>
      <w:r w:rsidRPr="00D00ABD">
        <w:rPr>
          <w:lang w:val="en-GB"/>
        </w:rPr>
        <w:t xml:space="preserve"> has determined through the report required as part of the E</w:t>
      </w:r>
      <w:r w:rsidR="00FD6EFC" w:rsidRPr="00D00ABD">
        <w:rPr>
          <w:lang w:val="en-GB"/>
        </w:rPr>
        <w:t xml:space="preserve">lectricity </w:t>
      </w:r>
      <w:r w:rsidRPr="00D00ABD">
        <w:rPr>
          <w:lang w:val="en-GB"/>
        </w:rPr>
        <w:t>T</w:t>
      </w:r>
      <w:r w:rsidR="00FD6EFC" w:rsidRPr="00D00ABD">
        <w:rPr>
          <w:lang w:val="en-GB"/>
        </w:rPr>
        <w:t xml:space="preserve">ransparency </w:t>
      </w:r>
      <w:r w:rsidRPr="00D00ABD">
        <w:rPr>
          <w:lang w:val="en-GB"/>
        </w:rPr>
        <w:t>R</w:t>
      </w:r>
      <w:r w:rsidR="00FD6EFC" w:rsidRPr="00D00ABD">
        <w:rPr>
          <w:lang w:val="en-GB"/>
        </w:rPr>
        <w:t>egulation</w:t>
      </w:r>
      <w:r w:rsidRPr="00D00ABD">
        <w:rPr>
          <w:lang w:val="en-GB"/>
        </w:rPr>
        <w:t xml:space="preserve"> </w:t>
      </w:r>
      <w:r w:rsidR="00FD6EFC" w:rsidRPr="00D00ABD">
        <w:rPr>
          <w:lang w:val="en-GB"/>
        </w:rPr>
        <w:t xml:space="preserve">in </w:t>
      </w:r>
      <w:r w:rsidR="00962F21">
        <w:rPr>
          <w:lang w:val="en-GB"/>
        </w:rPr>
        <w:t>A</w:t>
      </w:r>
      <w:r w:rsidR="00FD6EFC" w:rsidRPr="00D00ABD">
        <w:rPr>
          <w:lang w:val="en-GB"/>
        </w:rPr>
        <w:t>rticle</w:t>
      </w:r>
      <w:r w:rsidRPr="00D00ABD">
        <w:rPr>
          <w:lang w:val="en-GB"/>
        </w:rPr>
        <w:t xml:space="preserve"> 17(1)(b)</w:t>
      </w:r>
      <w:r w:rsidR="00FD6EFC" w:rsidRPr="00D00ABD">
        <w:rPr>
          <w:lang w:val="en-GB"/>
        </w:rPr>
        <w:t xml:space="preserve"> and through obligations to publish information coming from SOGL </w:t>
      </w:r>
      <w:r w:rsidR="00962F21">
        <w:rPr>
          <w:lang w:val="en-GB"/>
        </w:rPr>
        <w:t>A</w:t>
      </w:r>
      <w:r w:rsidR="00FD6EFC" w:rsidRPr="00D00ABD">
        <w:rPr>
          <w:lang w:val="en-GB"/>
        </w:rPr>
        <w:t>rticle 18</w:t>
      </w:r>
      <w:r w:rsidR="00962F21">
        <w:rPr>
          <w:lang w:val="en-GB"/>
        </w:rPr>
        <w:t>6</w:t>
      </w:r>
      <w:r w:rsidR="00FD6EFC" w:rsidRPr="00D00ABD">
        <w:rPr>
          <w:lang w:val="en-GB"/>
        </w:rPr>
        <w:t>.</w:t>
      </w:r>
      <w:r w:rsidR="00962F21">
        <w:rPr>
          <w:rFonts w:cs="EUAlbertina"/>
          <w:color w:val="000000"/>
          <w:lang w:val="en-GB"/>
        </w:rPr>
        <w:t xml:space="preserve"> </w:t>
      </w:r>
      <w:r w:rsidR="00962F21">
        <w:t xml:space="preserve">This information will be published on the </w:t>
      </w:r>
      <w:hyperlink r:id="rId16" w:history="1">
        <w:r w:rsidR="00962F21" w:rsidRPr="0064407F">
          <w:rPr>
            <w:rStyle w:val="Hyperlink"/>
            <w:lang w:val="en-GB"/>
          </w:rPr>
          <w:t>ENTSO-E market information transparency platform.</w:t>
        </w:r>
      </w:hyperlink>
    </w:p>
    <w:p w14:paraId="6C72E772" w14:textId="7FBC8762" w:rsidR="00F60A8E" w:rsidRPr="00D00ABD" w:rsidRDefault="0051359E" w:rsidP="00F60A8E">
      <w:pPr>
        <w:pStyle w:val="Heading2"/>
        <w:numPr>
          <w:ilvl w:val="1"/>
          <w:numId w:val="0"/>
        </w:numPr>
        <w:spacing w:before="240" w:after="120"/>
        <w:ind w:left="718" w:hanging="576"/>
        <w:jc w:val="both"/>
      </w:pPr>
      <w:bookmarkStart w:id="16" w:name="_Toc509435151"/>
      <w:bookmarkStart w:id="17" w:name="_Toc519422410"/>
      <w:r w:rsidRPr="00D00ABD">
        <w:t>SAOM</w:t>
      </w:r>
      <w:r w:rsidR="00AE7DC2" w:rsidRPr="00D00ABD">
        <w:t xml:space="preserve"> Article 4 - </w:t>
      </w:r>
      <w:r w:rsidR="00F60A8E" w:rsidRPr="00D00ABD">
        <w:t>SOGL Article 118(b)</w:t>
      </w:r>
      <w:bookmarkEnd w:id="16"/>
      <w:r w:rsidR="00AE7DC2" w:rsidRPr="00D00ABD">
        <w:t xml:space="preserve"> -</w:t>
      </w:r>
      <w:r w:rsidR="00F60A8E" w:rsidRPr="00D00ABD">
        <w:t xml:space="preserve"> “additional properties of FCR in accordance with Article 154(2);”</w:t>
      </w:r>
      <w:bookmarkEnd w:id="17"/>
    </w:p>
    <w:p w14:paraId="3EF17DC1" w14:textId="77777777" w:rsidR="00406173" w:rsidRPr="00D00ABD" w:rsidRDefault="00406173" w:rsidP="00EA3F1F">
      <w:pPr>
        <w:pStyle w:val="Paragrapgh-numbered"/>
        <w:numPr>
          <w:ilvl w:val="0"/>
          <w:numId w:val="13"/>
        </w:numPr>
        <w:rPr>
          <w:lang w:val="en-GB"/>
        </w:rPr>
      </w:pPr>
      <w:r w:rsidRPr="00EA3F1F">
        <w:rPr>
          <w:lang w:val="en-GB"/>
        </w:rPr>
        <w:t xml:space="preserve">SOGL has an architecture of reserve categories of with the concept of Minimum [common] Technical Requirements which all reserve services mapped into the FCR category must fulfil. SOGL introduces the concept of </w:t>
      </w:r>
      <w:r w:rsidRPr="00D00ABD">
        <w:rPr>
          <w:lang w:val="en-GB"/>
        </w:rPr>
        <w:t xml:space="preserve">‘FCR </w:t>
      </w:r>
      <w:r w:rsidRPr="00EA3F1F">
        <w:rPr>
          <w:lang w:val="en-GB"/>
        </w:rPr>
        <w:t xml:space="preserve">Technical </w:t>
      </w:r>
      <w:r w:rsidRPr="00D00ABD">
        <w:rPr>
          <w:lang w:val="en-GB"/>
        </w:rPr>
        <w:t xml:space="preserve">Minimum </w:t>
      </w:r>
      <w:r w:rsidRPr="00EA3F1F">
        <w:rPr>
          <w:lang w:val="en-GB"/>
        </w:rPr>
        <w:t>Requirements</w:t>
      </w:r>
      <w:r w:rsidRPr="00D00ABD">
        <w:rPr>
          <w:lang w:val="en-GB"/>
        </w:rPr>
        <w:t>’ (SOGL Article 154) and ‘Provision’ (SOGL Article 156) which may be extended or overridden</w:t>
      </w:r>
      <w:r w:rsidRPr="00EA3F1F">
        <w:rPr>
          <w:lang w:val="en-GB"/>
        </w:rPr>
        <w:t xml:space="preserve"> within </w:t>
      </w:r>
      <w:r w:rsidRPr="00D00ABD">
        <w:rPr>
          <w:lang w:val="en-GB"/>
        </w:rPr>
        <w:t xml:space="preserve">this text for each </w:t>
      </w:r>
      <w:r w:rsidRPr="00EA3F1F">
        <w:rPr>
          <w:lang w:val="en-GB"/>
        </w:rPr>
        <w:t>Synchronous Area</w:t>
      </w:r>
      <w:r w:rsidRPr="00D00ABD">
        <w:rPr>
          <w:lang w:val="en-GB"/>
        </w:rPr>
        <w:t xml:space="preserve">. </w:t>
      </w:r>
    </w:p>
    <w:p w14:paraId="5C71A09B" w14:textId="77777777" w:rsidR="00E47B3F" w:rsidRPr="00D00ABD" w:rsidRDefault="00406173">
      <w:pPr>
        <w:pStyle w:val="Paragrapgh-numbered"/>
        <w:numPr>
          <w:ilvl w:val="1"/>
          <w:numId w:val="13"/>
        </w:numPr>
        <w:rPr>
          <w:lang w:val="en-GB"/>
        </w:rPr>
      </w:pPr>
      <w:r w:rsidRPr="00D00ABD">
        <w:rPr>
          <w:lang w:val="en-GB"/>
        </w:rPr>
        <w:t>This is</w:t>
      </w:r>
      <w:r w:rsidRPr="00EA3F1F">
        <w:rPr>
          <w:lang w:val="en-GB"/>
        </w:rPr>
        <w:t xml:space="preserve"> to facilitate the coordination of control and interoperability of services defined by multiple TSOs. This methodology permits the electricity system operators of the synchronous area to agree on common additional properties for all relevant FCR services in use within the same Synchronous Area. </w:t>
      </w:r>
    </w:p>
    <w:p w14:paraId="6897D6FC" w14:textId="5FC67B36" w:rsidR="00406173" w:rsidRPr="00EA3F1F" w:rsidRDefault="00E47B3F">
      <w:pPr>
        <w:pStyle w:val="Paragrapgh-numbered"/>
        <w:numPr>
          <w:ilvl w:val="1"/>
          <w:numId w:val="13"/>
        </w:numPr>
        <w:rPr>
          <w:lang w:val="en-GB"/>
        </w:rPr>
      </w:pPr>
      <w:r w:rsidRPr="00D00ABD">
        <w:rPr>
          <w:lang w:val="en-GB"/>
        </w:rPr>
        <w:t>I</w:t>
      </w:r>
      <w:r w:rsidR="00406173" w:rsidRPr="00EA3F1F">
        <w:rPr>
          <w:lang w:val="en-GB"/>
        </w:rPr>
        <w:t xml:space="preserve">n the specific GB application, where there is only one LFC Block and one electricity system operator, it makes more sense to keep these additional properties to a minimum. This permits the maximum possible flexibility at an individual service level as today. This flexibility provides the full range of control needs of the SO. Furthermore, this approach is also more adaptable to the evolution in system requirements and technological capability changes needed as new controllable producers, consumers and storage become available and as markets and control architectures evolve. </w:t>
      </w:r>
    </w:p>
    <w:p w14:paraId="782D1575" w14:textId="5630E847" w:rsidR="00861FE3" w:rsidRPr="00D00ABD" w:rsidRDefault="00861FE3" w:rsidP="003D0E5D">
      <w:pPr>
        <w:pStyle w:val="Paragrapgh-numbered"/>
        <w:numPr>
          <w:ilvl w:val="0"/>
          <w:numId w:val="13"/>
        </w:numPr>
        <w:rPr>
          <w:lang w:val="en-GB"/>
        </w:rPr>
      </w:pPr>
      <w:r w:rsidRPr="00D00ABD">
        <w:rPr>
          <w:lang w:val="en-GB"/>
        </w:rPr>
        <w:t xml:space="preserve">At the time of </w:t>
      </w:r>
      <w:r w:rsidR="00097B0F">
        <w:rPr>
          <w:lang w:val="en-GB"/>
        </w:rPr>
        <w:t>writing this document,</w:t>
      </w:r>
      <w:r w:rsidRPr="00D00ABD">
        <w:rPr>
          <w:lang w:val="en-GB"/>
        </w:rPr>
        <w:t xml:space="preserve"> th</w:t>
      </w:r>
      <w:r w:rsidR="00097B0F">
        <w:rPr>
          <w:lang w:val="en-GB"/>
        </w:rPr>
        <w:t>e</w:t>
      </w:r>
      <w:r w:rsidRPr="00D00ABD">
        <w:rPr>
          <w:lang w:val="en-GB"/>
        </w:rPr>
        <w:t xml:space="preserve"> </w:t>
      </w:r>
      <w:r w:rsidR="00097B0F">
        <w:rPr>
          <w:lang w:val="en-GB"/>
        </w:rPr>
        <w:t xml:space="preserve">reserve services architecture </w:t>
      </w:r>
      <w:r w:rsidRPr="00D00ABD">
        <w:rPr>
          <w:lang w:val="en-GB"/>
        </w:rPr>
        <w:t>is being discussed in the Grid Code working group GC0114</w:t>
      </w:r>
      <w:r w:rsidRPr="00D00ABD">
        <w:rPr>
          <w:rStyle w:val="FootnoteReference"/>
          <w:lang w:val="en-GB"/>
        </w:rPr>
        <w:footnoteReference w:id="4"/>
      </w:r>
      <w:r w:rsidRPr="00D00ABD">
        <w:rPr>
          <w:lang w:val="en-GB"/>
        </w:rPr>
        <w:t>.  The intention of the SOGL drafting team and NGET interpretation is as follows:</w:t>
      </w:r>
    </w:p>
    <w:p w14:paraId="253D299D" w14:textId="30604468" w:rsidR="00861FE3" w:rsidRPr="00D00ABD" w:rsidRDefault="00861FE3" w:rsidP="00EA3F1F">
      <w:pPr>
        <w:pStyle w:val="Paragrapgh-numbered"/>
        <w:numPr>
          <w:ilvl w:val="1"/>
          <w:numId w:val="13"/>
        </w:numPr>
        <w:rPr>
          <w:lang w:val="en-GB"/>
        </w:rPr>
      </w:pPr>
      <w:r w:rsidRPr="00D00ABD">
        <w:rPr>
          <w:lang w:val="en-GB"/>
        </w:rPr>
        <w:t>SOGL was drafted with the concept of multiple technical reserve services delivered through EBGL defined product (commercial/market structures) at the disposal of the ESO to operate the Process Activation Structure (SOGL Article 140) and to maintain Frequency Quality (SOGL Articles 127 &amp; 128).</w:t>
      </w:r>
    </w:p>
    <w:p w14:paraId="6C72E773" w14:textId="64E4C8E0" w:rsidR="00F60A8E" w:rsidRPr="00D00ABD" w:rsidRDefault="00CA7280" w:rsidP="00EA3F1F">
      <w:pPr>
        <w:pStyle w:val="Paragrapgh-numbered"/>
        <w:numPr>
          <w:ilvl w:val="1"/>
          <w:numId w:val="13"/>
        </w:numPr>
        <w:rPr>
          <w:lang w:val="en-GB"/>
        </w:rPr>
      </w:pPr>
      <w:r w:rsidRPr="00D00ABD">
        <w:rPr>
          <w:lang w:val="en-GB"/>
        </w:rPr>
        <w:t xml:space="preserve">The ESO </w:t>
      </w:r>
      <w:r w:rsidR="00765FBA" w:rsidRPr="00D00ABD">
        <w:rPr>
          <w:lang w:val="en-GB"/>
        </w:rPr>
        <w:t xml:space="preserve">has chosen </w:t>
      </w:r>
      <w:r w:rsidRPr="00D00ABD">
        <w:rPr>
          <w:lang w:val="en-GB"/>
        </w:rPr>
        <w:t xml:space="preserve">not to define any </w:t>
      </w:r>
      <w:r w:rsidR="00F60A8E" w:rsidRPr="00D00ABD">
        <w:rPr>
          <w:lang w:val="en-GB"/>
        </w:rPr>
        <w:t xml:space="preserve">additional properties </w:t>
      </w:r>
      <w:r w:rsidRPr="00D00ABD">
        <w:rPr>
          <w:lang w:val="en-GB"/>
        </w:rPr>
        <w:t>for the F</w:t>
      </w:r>
      <w:r w:rsidR="00307CA4" w:rsidRPr="00D00ABD">
        <w:rPr>
          <w:lang w:val="en-GB"/>
        </w:rPr>
        <w:t xml:space="preserve">requency </w:t>
      </w:r>
      <w:r w:rsidRPr="00D00ABD">
        <w:rPr>
          <w:lang w:val="en-GB"/>
        </w:rPr>
        <w:t>C</w:t>
      </w:r>
      <w:r w:rsidR="00307CA4" w:rsidRPr="00D00ABD">
        <w:rPr>
          <w:lang w:val="en-GB"/>
        </w:rPr>
        <w:t xml:space="preserve">ontainment </w:t>
      </w:r>
      <w:r w:rsidRPr="00D00ABD">
        <w:rPr>
          <w:lang w:val="en-GB"/>
        </w:rPr>
        <w:t>R</w:t>
      </w:r>
      <w:r w:rsidR="00307CA4" w:rsidRPr="00D00ABD">
        <w:rPr>
          <w:lang w:val="en-GB"/>
        </w:rPr>
        <w:t>eserves (FCR)</w:t>
      </w:r>
      <w:r w:rsidRPr="00D00ABD">
        <w:rPr>
          <w:lang w:val="en-GB"/>
        </w:rPr>
        <w:t xml:space="preserve"> category </w:t>
      </w:r>
      <w:r w:rsidR="00765FBA" w:rsidRPr="00D00ABD">
        <w:rPr>
          <w:lang w:val="en-GB"/>
        </w:rPr>
        <w:t>at this time</w:t>
      </w:r>
      <w:r w:rsidR="00307CA4" w:rsidRPr="00D00ABD">
        <w:rPr>
          <w:lang w:val="en-GB"/>
        </w:rPr>
        <w:t>,</w:t>
      </w:r>
      <w:r w:rsidR="00765FBA" w:rsidRPr="00D00ABD">
        <w:rPr>
          <w:lang w:val="en-GB"/>
        </w:rPr>
        <w:t xml:space="preserve"> since the existing GB framework of reserve services sits within the broader </w:t>
      </w:r>
      <w:r w:rsidR="00073164" w:rsidRPr="00D00ABD">
        <w:rPr>
          <w:lang w:val="en-GB"/>
        </w:rPr>
        <w:t>R</w:t>
      </w:r>
      <w:r w:rsidR="00765FBA" w:rsidRPr="00D00ABD">
        <w:rPr>
          <w:lang w:val="en-GB"/>
        </w:rPr>
        <w:t>eserve categories of SOGL</w:t>
      </w:r>
      <w:r w:rsidR="00F60A8E" w:rsidRPr="00D00ABD">
        <w:rPr>
          <w:lang w:val="en-GB"/>
        </w:rPr>
        <w:t>.</w:t>
      </w:r>
      <w:r w:rsidR="00861FE3" w:rsidRPr="00D00ABD">
        <w:rPr>
          <w:lang w:val="en-GB"/>
        </w:rPr>
        <w:t xml:space="preserve"> For clarity:</w:t>
      </w:r>
    </w:p>
    <w:p w14:paraId="65BFC63F" w14:textId="2C5096AD" w:rsidR="00307CA4" w:rsidRPr="00D00ABD" w:rsidRDefault="00307CA4" w:rsidP="00EA3F1F">
      <w:pPr>
        <w:pStyle w:val="Paragrapgh-numbered"/>
        <w:numPr>
          <w:ilvl w:val="2"/>
          <w:numId w:val="13"/>
        </w:numPr>
        <w:rPr>
          <w:lang w:val="en-GB"/>
        </w:rPr>
      </w:pPr>
      <w:r w:rsidRPr="00D00ABD">
        <w:rPr>
          <w:lang w:val="en-GB"/>
        </w:rPr>
        <w:t>GB response services map into the SOGL FCR category</w:t>
      </w:r>
    </w:p>
    <w:p w14:paraId="2AB13388" w14:textId="065581FD" w:rsidR="00307CA4" w:rsidRPr="00D00ABD" w:rsidRDefault="00307CA4" w:rsidP="00EA3F1F">
      <w:pPr>
        <w:pStyle w:val="Paragrapgh-numbered"/>
        <w:numPr>
          <w:ilvl w:val="2"/>
          <w:numId w:val="13"/>
        </w:numPr>
        <w:rPr>
          <w:lang w:val="en-GB"/>
        </w:rPr>
      </w:pPr>
      <w:r w:rsidRPr="00D00ABD">
        <w:rPr>
          <w:lang w:val="en-GB"/>
        </w:rPr>
        <w:t>SOGL does not use the term ‘response’; both GB ‘reserve’ and GB ‘response’ are considered to be specific instances of SOGL reserve services.</w:t>
      </w:r>
    </w:p>
    <w:p w14:paraId="19687B96" w14:textId="177DF185" w:rsidR="00307CA4" w:rsidRPr="00D00ABD" w:rsidRDefault="00307CA4" w:rsidP="00EA3F1F">
      <w:pPr>
        <w:pStyle w:val="Paragrapgh-numbered"/>
        <w:numPr>
          <w:ilvl w:val="2"/>
          <w:numId w:val="13"/>
        </w:numPr>
        <w:rPr>
          <w:lang w:val="en-GB"/>
        </w:rPr>
      </w:pPr>
      <w:r w:rsidRPr="00D00ABD">
        <w:rPr>
          <w:lang w:val="en-GB"/>
        </w:rPr>
        <w:t xml:space="preserve">Those GB services meeting the technical characteristic requirement of SOGL FCR </w:t>
      </w:r>
      <w:r w:rsidR="00861FE3" w:rsidRPr="00D00ABD">
        <w:rPr>
          <w:lang w:val="en-GB"/>
        </w:rPr>
        <w:t>are considered to fit that category</w:t>
      </w:r>
    </w:p>
    <w:p w14:paraId="55A7274C" w14:textId="2489105D" w:rsidR="00861FE3" w:rsidRPr="00D00ABD" w:rsidRDefault="00861FE3" w:rsidP="00EA3F1F">
      <w:pPr>
        <w:pStyle w:val="Paragrapgh-numbered"/>
        <w:numPr>
          <w:ilvl w:val="2"/>
          <w:numId w:val="13"/>
        </w:numPr>
        <w:rPr>
          <w:lang w:val="en-GB"/>
        </w:rPr>
      </w:pPr>
      <w:r w:rsidRPr="00D00ABD">
        <w:rPr>
          <w:lang w:val="en-GB"/>
        </w:rPr>
        <w:lastRenderedPageBreak/>
        <w:t xml:space="preserve">The ESO may </w:t>
      </w:r>
      <w:r w:rsidR="00073164" w:rsidRPr="00D00ABD">
        <w:rPr>
          <w:lang w:val="en-GB"/>
        </w:rPr>
        <w:t>develop</w:t>
      </w:r>
      <w:r w:rsidRPr="00D00ABD">
        <w:rPr>
          <w:lang w:val="en-GB"/>
        </w:rPr>
        <w:t xml:space="preserve"> this article </w:t>
      </w:r>
      <w:r w:rsidR="00073164" w:rsidRPr="00D00ABD">
        <w:rPr>
          <w:lang w:val="en-GB"/>
        </w:rPr>
        <w:t>in</w:t>
      </w:r>
      <w:r w:rsidRPr="00D00ABD">
        <w:rPr>
          <w:lang w:val="en-GB"/>
        </w:rPr>
        <w:t xml:space="preserve"> the SAOM to </w:t>
      </w:r>
      <w:r w:rsidR="00406173" w:rsidRPr="00D00ABD">
        <w:rPr>
          <w:lang w:val="en-GB"/>
        </w:rPr>
        <w:t xml:space="preserve">permit additional services </w:t>
      </w:r>
      <w:r w:rsidR="00073164" w:rsidRPr="00D00ABD">
        <w:rPr>
          <w:lang w:val="en-GB"/>
        </w:rPr>
        <w:t xml:space="preserve">into the FCR category </w:t>
      </w:r>
      <w:r w:rsidR="00406173" w:rsidRPr="00D00ABD">
        <w:rPr>
          <w:lang w:val="en-GB"/>
        </w:rPr>
        <w:t>in the future.</w:t>
      </w:r>
    </w:p>
    <w:p w14:paraId="0B2A0DF2" w14:textId="68D10F04" w:rsidR="004C519D" w:rsidRPr="00D00ABD" w:rsidRDefault="004C519D">
      <w:pPr>
        <w:spacing w:after="0" w:line="240" w:lineRule="auto"/>
        <w:rPr>
          <w:rFonts w:ascii="Times New Roman" w:eastAsiaTheme="majorEastAsia" w:hAnsi="Times New Roman" w:cstheme="majorBidi"/>
          <w:b/>
          <w:bCs/>
          <w:color w:val="1F497D" w:themeColor="text2"/>
          <w:sz w:val="24"/>
          <w:szCs w:val="26"/>
        </w:rPr>
      </w:pPr>
      <w:bookmarkStart w:id="18" w:name="_Toc509435153"/>
    </w:p>
    <w:p w14:paraId="6C72E775" w14:textId="3739E9F7" w:rsidR="00F60A8E" w:rsidRPr="00D00ABD" w:rsidRDefault="0051359E" w:rsidP="00F60A8E">
      <w:pPr>
        <w:pStyle w:val="Heading2"/>
        <w:numPr>
          <w:ilvl w:val="1"/>
          <w:numId w:val="0"/>
        </w:numPr>
        <w:spacing w:before="240" w:after="120"/>
        <w:ind w:left="718" w:hanging="576"/>
        <w:jc w:val="both"/>
      </w:pPr>
      <w:bookmarkStart w:id="19" w:name="_Toc519422411"/>
      <w:r w:rsidRPr="00D00ABD">
        <w:t>SAOM</w:t>
      </w:r>
      <w:r w:rsidR="00AE7DC2" w:rsidRPr="00D00ABD">
        <w:t xml:space="preserve"> Article 5 - </w:t>
      </w:r>
      <w:r w:rsidR="00F60A8E" w:rsidRPr="00D00ABD">
        <w:t>SOGL Article 118</w:t>
      </w:r>
      <w:bookmarkEnd w:id="18"/>
      <w:r w:rsidR="00F60A8E" w:rsidRPr="00D00ABD">
        <w:t xml:space="preserve">(c) </w:t>
      </w:r>
      <w:r w:rsidR="00AE7DC2" w:rsidRPr="00D00ABD">
        <w:t xml:space="preserve">- </w:t>
      </w:r>
      <w:r w:rsidR="00F60A8E" w:rsidRPr="00D00ABD">
        <w:t>“the</w:t>
      </w:r>
      <w:r w:rsidR="004C519D" w:rsidRPr="00D00ABD">
        <w:t xml:space="preserve"> </w:t>
      </w:r>
      <w:r w:rsidR="00F60A8E" w:rsidRPr="00D00ABD">
        <w:t>frequency</w:t>
      </w:r>
      <w:r w:rsidR="004C519D" w:rsidRPr="00D00ABD">
        <w:t xml:space="preserve"> </w:t>
      </w:r>
      <w:r w:rsidR="00F60A8E" w:rsidRPr="00D00ABD">
        <w:t>quality</w:t>
      </w:r>
      <w:r w:rsidR="004C519D" w:rsidRPr="00D00ABD">
        <w:t xml:space="preserve"> </w:t>
      </w:r>
      <w:r w:rsidR="00F60A8E" w:rsidRPr="00D00ABD">
        <w:t>defining</w:t>
      </w:r>
      <w:r w:rsidR="004C519D" w:rsidRPr="00D00ABD">
        <w:t xml:space="preserve"> </w:t>
      </w:r>
      <w:r w:rsidR="00F60A8E" w:rsidRPr="00D00ABD">
        <w:t>parameters</w:t>
      </w:r>
      <w:r w:rsidR="004C519D" w:rsidRPr="00D00ABD">
        <w:t xml:space="preserve"> </w:t>
      </w:r>
      <w:r w:rsidR="00F60A8E" w:rsidRPr="00D00ABD">
        <w:t>and</w:t>
      </w:r>
      <w:r w:rsidR="004C519D" w:rsidRPr="00D00ABD">
        <w:t xml:space="preserve"> </w:t>
      </w:r>
      <w:r w:rsidR="00F60A8E" w:rsidRPr="00D00ABD">
        <w:t>the</w:t>
      </w:r>
      <w:r w:rsidR="004C519D" w:rsidRPr="00D00ABD">
        <w:t xml:space="preserve"> </w:t>
      </w:r>
      <w:r w:rsidR="00F60A8E" w:rsidRPr="00D00ABD">
        <w:t>frequency</w:t>
      </w:r>
      <w:r w:rsidR="004C519D" w:rsidRPr="00D00ABD">
        <w:t xml:space="preserve"> </w:t>
      </w:r>
      <w:r w:rsidR="00F60A8E" w:rsidRPr="00D00ABD">
        <w:t>quality</w:t>
      </w:r>
      <w:r w:rsidR="004C519D" w:rsidRPr="00D00ABD">
        <w:t xml:space="preserve"> </w:t>
      </w:r>
      <w:r w:rsidR="00F60A8E" w:rsidRPr="00D00ABD">
        <w:t>target parameters in accordance with Article 127;”</w:t>
      </w:r>
      <w:bookmarkEnd w:id="19"/>
    </w:p>
    <w:p w14:paraId="32001302" w14:textId="77777777" w:rsidR="00073164" w:rsidRPr="00D00ABD" w:rsidRDefault="00073164" w:rsidP="003D0E5D">
      <w:pPr>
        <w:pStyle w:val="Paragrapgh-numbered"/>
        <w:numPr>
          <w:ilvl w:val="0"/>
          <w:numId w:val="14"/>
        </w:numPr>
        <w:rPr>
          <w:lang w:val="en-GB"/>
        </w:rPr>
      </w:pPr>
      <w:r w:rsidRPr="00D00ABD">
        <w:rPr>
          <w:lang w:val="en-GB"/>
        </w:rPr>
        <w:t xml:space="preserve">This Article of the SAOM defines the frequency quality target values which the ESO must endeavour to meet and to maintain. </w:t>
      </w:r>
    </w:p>
    <w:p w14:paraId="481086FD" w14:textId="3DDC1DCB" w:rsidR="00E47B3F" w:rsidRPr="00D00ABD" w:rsidRDefault="00073164" w:rsidP="00EA3F1F">
      <w:pPr>
        <w:pStyle w:val="Paragrapgh-numbered"/>
        <w:numPr>
          <w:ilvl w:val="1"/>
          <w:numId w:val="14"/>
        </w:numPr>
        <w:rPr>
          <w:lang w:val="en-GB"/>
        </w:rPr>
      </w:pPr>
      <w:r w:rsidRPr="00D00ABD">
        <w:rPr>
          <w:lang w:val="en-GB"/>
        </w:rPr>
        <w:t>This Article permits the ESO to override t</w:t>
      </w:r>
      <w:r w:rsidR="00E47B3F" w:rsidRPr="00D00ABD">
        <w:rPr>
          <w:lang w:val="en-GB"/>
        </w:rPr>
        <w:t>he default values are found</w:t>
      </w:r>
      <w:r w:rsidR="00C25749" w:rsidRPr="00D00ABD">
        <w:rPr>
          <w:lang w:val="en-GB"/>
        </w:rPr>
        <w:t xml:space="preserve"> in SOGL </w:t>
      </w:r>
      <w:r w:rsidR="00E47B3F" w:rsidRPr="00D00ABD">
        <w:rPr>
          <w:lang w:val="en-GB"/>
        </w:rPr>
        <w:t xml:space="preserve">Article </w:t>
      </w:r>
      <w:r w:rsidR="00C25749" w:rsidRPr="00D00ABD">
        <w:rPr>
          <w:lang w:val="en-GB"/>
        </w:rPr>
        <w:t>127 and the associated SOGL Annex III</w:t>
      </w:r>
      <w:r w:rsidR="00E47B3F" w:rsidRPr="00D00ABD">
        <w:rPr>
          <w:lang w:val="en-GB"/>
        </w:rPr>
        <w:t xml:space="preserve"> table</w:t>
      </w:r>
      <w:r w:rsidRPr="00D00ABD">
        <w:rPr>
          <w:lang w:val="en-GB"/>
        </w:rPr>
        <w:t>, that were developed in drafting</w:t>
      </w:r>
      <w:r w:rsidR="00C25749" w:rsidRPr="00D00ABD">
        <w:rPr>
          <w:lang w:val="en-GB"/>
        </w:rPr>
        <w:t>.</w:t>
      </w:r>
    </w:p>
    <w:p w14:paraId="054A4C74" w14:textId="73C215EF" w:rsidR="00073164" w:rsidRPr="00D00ABD" w:rsidRDefault="00073164" w:rsidP="00EA3F1F">
      <w:pPr>
        <w:pStyle w:val="Paragrapgh-numbered"/>
        <w:numPr>
          <w:ilvl w:val="1"/>
          <w:numId w:val="14"/>
        </w:numPr>
        <w:rPr>
          <w:lang w:val="en-GB"/>
        </w:rPr>
      </w:pPr>
      <w:r w:rsidRPr="00D00ABD">
        <w:rPr>
          <w:lang w:val="en-GB"/>
        </w:rPr>
        <w:t>Evolving system conditions of the electricity system may require these values to be changed.</w:t>
      </w:r>
    </w:p>
    <w:p w14:paraId="00608276" w14:textId="191217C6" w:rsidR="002B2FC8" w:rsidRPr="00D00ABD" w:rsidRDefault="00C25749" w:rsidP="003D0E5D">
      <w:pPr>
        <w:pStyle w:val="Paragrapgh-numbered"/>
        <w:numPr>
          <w:ilvl w:val="0"/>
          <w:numId w:val="14"/>
        </w:numPr>
        <w:rPr>
          <w:lang w:val="en-GB"/>
        </w:rPr>
      </w:pPr>
      <w:r w:rsidRPr="00D00ABD">
        <w:rPr>
          <w:lang w:val="en-GB"/>
        </w:rPr>
        <w:t>The</w:t>
      </w:r>
      <w:r w:rsidR="00E47B3F" w:rsidRPr="00D00ABD">
        <w:rPr>
          <w:lang w:val="en-GB"/>
        </w:rPr>
        <w:t xml:space="preserve"> </w:t>
      </w:r>
      <w:r w:rsidRPr="00D00ABD">
        <w:rPr>
          <w:lang w:val="en-GB"/>
        </w:rPr>
        <w:t xml:space="preserve">values </w:t>
      </w:r>
      <w:r w:rsidR="00E47B3F" w:rsidRPr="00D00ABD">
        <w:rPr>
          <w:lang w:val="en-GB"/>
        </w:rPr>
        <w:t xml:space="preserve">in this Article </w:t>
      </w:r>
      <w:r w:rsidRPr="00D00ABD">
        <w:rPr>
          <w:lang w:val="en-GB"/>
        </w:rPr>
        <w:t>agree and align with operating practices and targets originating for the NETS SQSS and Grid Code that pre-date the SOGL regulation.  Not all of the detail expressed within the SOGL is explicitly stated within the GB codes; however the operational processes and practices that GB codes require and inspire, are fully aligned with SOGL (indeed SOGL was drafted from the perspective of the exi</w:t>
      </w:r>
      <w:r w:rsidR="00BE2F42" w:rsidRPr="00D00ABD">
        <w:rPr>
          <w:lang w:val="en-GB"/>
        </w:rPr>
        <w:t>s</w:t>
      </w:r>
      <w:r w:rsidRPr="00D00ABD">
        <w:rPr>
          <w:lang w:val="en-GB"/>
        </w:rPr>
        <w:t>ting practice which was deemed effective and appropriate).</w:t>
      </w:r>
    </w:p>
    <w:p w14:paraId="5D3700D1" w14:textId="786DA692" w:rsidR="00BE2F42" w:rsidRPr="00D00ABD" w:rsidRDefault="00BE2F42" w:rsidP="003D0E5D">
      <w:pPr>
        <w:pStyle w:val="Paragrapgh-numbered"/>
        <w:numPr>
          <w:ilvl w:val="0"/>
          <w:numId w:val="14"/>
        </w:numPr>
        <w:rPr>
          <w:lang w:val="en-GB"/>
        </w:rPr>
      </w:pPr>
      <w:r w:rsidRPr="00D00ABD">
        <w:rPr>
          <w:lang w:val="en-GB"/>
        </w:rPr>
        <w:t xml:space="preserve">The design of existing GB electricity codes and the SOGL sets frequency control targets for the ESO and these become the drivers for the resultant </w:t>
      </w:r>
      <w:r w:rsidR="00683E51" w:rsidRPr="00D00ABD">
        <w:rPr>
          <w:lang w:val="en-GB"/>
        </w:rPr>
        <w:t xml:space="preserve">SOGL, “Basic Structure” in article 139, 140 and referenced articles.  The Process Activation Structure of the Synchronous Area and the specific Capacity and Dimensioning needs in each reserve category </w:t>
      </w:r>
      <w:r w:rsidR="00073164" w:rsidRPr="00D00ABD">
        <w:rPr>
          <w:lang w:val="en-GB"/>
        </w:rPr>
        <w:t>must be developed to meet these requirements</w:t>
      </w:r>
      <w:r w:rsidR="00683E51" w:rsidRPr="00D00ABD">
        <w:rPr>
          <w:lang w:val="en-GB"/>
        </w:rPr>
        <w:t>.</w:t>
      </w:r>
    </w:p>
    <w:p w14:paraId="6C72E776" w14:textId="425B6D33" w:rsidR="00F60A8E" w:rsidRPr="00D00ABD" w:rsidRDefault="00F60A8E" w:rsidP="003D0E5D">
      <w:pPr>
        <w:pStyle w:val="Paragrapgh-numbered"/>
        <w:numPr>
          <w:ilvl w:val="0"/>
          <w:numId w:val="14"/>
        </w:numPr>
        <w:rPr>
          <w:lang w:val="en-GB"/>
        </w:rPr>
      </w:pPr>
      <w:r w:rsidRPr="00D00ABD">
        <w:rPr>
          <w:lang w:val="en-GB"/>
        </w:rPr>
        <w:t xml:space="preserve">The Frequency Quality defining parameters and frequency quality target parameters for GB </w:t>
      </w:r>
      <w:r w:rsidR="00073164" w:rsidRPr="00D00ABD">
        <w:rPr>
          <w:lang w:val="en-GB"/>
        </w:rPr>
        <w:t xml:space="preserve">are shown in the table </w:t>
      </w:r>
      <w:r w:rsidRPr="00D00ABD">
        <w:rPr>
          <w:lang w:val="en-GB"/>
        </w:rPr>
        <w:t>below</w:t>
      </w:r>
      <w:r w:rsidR="00073164" w:rsidRPr="00D00ABD">
        <w:rPr>
          <w:lang w:val="en-GB"/>
        </w:rPr>
        <w:t>. These are</w:t>
      </w:r>
      <w:r w:rsidR="00E56354" w:rsidRPr="00D00ABD">
        <w:rPr>
          <w:lang w:val="en-GB"/>
        </w:rPr>
        <w:t xml:space="preserve"> aligned with regulatory parameters also found in the NETS SQSS</w:t>
      </w:r>
      <w:r w:rsidRPr="00D00ABD">
        <w:rPr>
          <w:lang w:val="en-GB"/>
        </w:rPr>
        <w:t>.</w:t>
      </w:r>
    </w:p>
    <w:p w14:paraId="0A5D16A4" w14:textId="315EE16D" w:rsidR="004C519D" w:rsidRPr="00D00ABD" w:rsidRDefault="004C519D" w:rsidP="007B437F">
      <w:pPr>
        <w:pStyle w:val="Paragrapgh-numbered"/>
        <w:numPr>
          <w:ilvl w:val="1"/>
          <w:numId w:val="14"/>
        </w:numPr>
        <w:rPr>
          <w:lang w:val="en-GB"/>
        </w:rPr>
      </w:pPr>
      <w:r w:rsidRPr="00D00ABD">
        <w:rPr>
          <w:lang w:val="en-GB"/>
        </w:rPr>
        <w:t>The NETS SQSS specifies in the Terms and Definitions of section 11 many of the ‘Una</w:t>
      </w:r>
      <w:r w:rsidR="008A71AD" w:rsidRPr="00D00ABD">
        <w:rPr>
          <w:lang w:val="en-GB"/>
        </w:rPr>
        <w:t>cceptable Frequency Conditions’; such an unacceptable condition exists if</w:t>
      </w:r>
      <w:r w:rsidR="00C25749" w:rsidRPr="00D00ABD">
        <w:rPr>
          <w:lang w:val="en-GB"/>
        </w:rPr>
        <w:t xml:space="preserve"> </w:t>
      </w:r>
      <w:r w:rsidR="008A71AD" w:rsidRPr="00D00ABD">
        <w:rPr>
          <w:lang w:val="en-GB"/>
        </w:rPr>
        <w:t xml:space="preserve">“a transient frequency deviation on the MITS [Main Interconnected Transmission System] persists outside the above statutory limits and does not recover to within 49.5Hz to 50.5Hz within 60 seconds.”  This states that under normal conditions the frequency should be within these limits of </w:t>
      </w:r>
      <w:r w:rsidR="008A71AD" w:rsidRPr="00D00ABD">
        <w:rPr>
          <w:rFonts w:cs="Arial"/>
          <w:lang w:val="en-GB"/>
        </w:rPr>
        <w:t>±</w:t>
      </w:r>
      <w:r w:rsidR="008A71AD" w:rsidRPr="00D00ABD">
        <w:rPr>
          <w:lang w:val="en-GB"/>
        </w:rPr>
        <w:t>500mHz and when an imbalance occurs the frequency should be brought back inside this range within 1 minute.  This has been re-encoded within the SOGL.</w:t>
      </w:r>
    </w:p>
    <w:p w14:paraId="2D6A064A" w14:textId="38D766E2" w:rsidR="00121340" w:rsidRPr="00D00ABD" w:rsidRDefault="00121340" w:rsidP="007B437F">
      <w:pPr>
        <w:pStyle w:val="Paragrapgh-numbered"/>
        <w:numPr>
          <w:ilvl w:val="1"/>
          <w:numId w:val="14"/>
        </w:numPr>
        <w:rPr>
          <w:lang w:val="en-GB"/>
        </w:rPr>
      </w:pPr>
      <w:r w:rsidRPr="00EA3F1F">
        <w:rPr>
          <w:lang w:val="en-GB"/>
        </w:rPr>
        <w:t>The Grid Code in CC.6.1.2 stipulates that “The Frequency of the National Electricity Transmission System shall be nominally 50Hz and shall be controlled within the limits of 49.5 - 50.5Hz unless exceptional circumstances prevail.”</w:t>
      </w:r>
      <w:r w:rsidR="008A71AD" w:rsidRPr="00EA3F1F">
        <w:rPr>
          <w:lang w:val="en-GB"/>
        </w:rPr>
        <w:t xml:space="preserve"> A parallel statement in the NETS SQSS states the GB has “statutory limits of 49.5Hz to 50.5Hz” </w:t>
      </w:r>
      <w:r w:rsidR="008A71AD" w:rsidRPr="00D00ABD">
        <w:rPr>
          <w:lang w:val="en-GB"/>
        </w:rPr>
        <w:t>These gives the time-to-recover-frequency limit and the 49.5Hz and 50.5Hz limits which under SOGL become both the ‘maximum Steady-state frequency deviation’ and the ‘Frequency Recovery Range’ targets.</w:t>
      </w:r>
      <w:r w:rsidR="008A71AD" w:rsidRPr="00EA3F1F">
        <w:rPr>
          <w:lang w:val="en-GB"/>
        </w:rPr>
        <w:t xml:space="preserve"> </w:t>
      </w:r>
      <w:r w:rsidR="00663730" w:rsidRPr="00EA3F1F">
        <w:rPr>
          <w:lang w:val="en-GB"/>
        </w:rPr>
        <w:t>Whiles in SOGL the nominal frequency is also stated to be 50Hz .</w:t>
      </w:r>
    </w:p>
    <w:p w14:paraId="6C72E777" w14:textId="184E1923" w:rsidR="00E56354" w:rsidRPr="00D00ABD" w:rsidRDefault="00AB4CCB" w:rsidP="007B437F">
      <w:pPr>
        <w:pStyle w:val="Heading3"/>
      </w:pPr>
      <w:bookmarkStart w:id="20" w:name="_Toc519422412"/>
      <w:r w:rsidRPr="00D00ABD">
        <w:lastRenderedPageBreak/>
        <w:t xml:space="preserve">SOGL - </w:t>
      </w:r>
      <w:r w:rsidR="00E56354" w:rsidRPr="00D00ABD">
        <w:t>ANNEX III</w:t>
      </w:r>
      <w:bookmarkEnd w:id="20"/>
      <w:r w:rsidRPr="00D00ABD">
        <w:t xml:space="preserve"> </w:t>
      </w:r>
    </w:p>
    <w:tbl>
      <w:tblPr>
        <w:tblW w:w="9007" w:type="dxa"/>
        <w:tblInd w:w="486" w:type="dxa"/>
        <w:tblLayout w:type="fixed"/>
        <w:tblCellMar>
          <w:left w:w="60" w:type="dxa"/>
          <w:right w:w="60" w:type="dxa"/>
        </w:tblCellMar>
        <w:tblLook w:val="0000" w:firstRow="0" w:lastRow="0" w:firstColumn="0" w:lastColumn="0" w:noHBand="0" w:noVBand="0"/>
      </w:tblPr>
      <w:tblGrid>
        <w:gridCol w:w="4612"/>
        <w:gridCol w:w="1418"/>
        <w:gridCol w:w="2977"/>
      </w:tblGrid>
      <w:tr w:rsidR="004C519D" w:rsidRPr="00D00ABD" w14:paraId="6C72E77A" w14:textId="7F6489AC" w:rsidTr="007B437F">
        <w:trPr>
          <w:trHeight w:val="105"/>
        </w:trPr>
        <w:tc>
          <w:tcPr>
            <w:tcW w:w="4612" w:type="dxa"/>
            <w:tcBorders>
              <w:top w:val="single" w:sz="4" w:space="0" w:color="000000"/>
              <w:left w:val="single" w:sz="4" w:space="0" w:color="000000"/>
              <w:bottom w:val="single" w:sz="4" w:space="0" w:color="000000"/>
              <w:right w:val="single" w:sz="4" w:space="0" w:color="000000"/>
            </w:tcBorders>
          </w:tcPr>
          <w:p w14:paraId="6C72E778" w14:textId="4BCA379F" w:rsidR="004C519D" w:rsidRPr="00D00ABD" w:rsidRDefault="004C519D" w:rsidP="00AE7DC2">
            <w:pPr>
              <w:rPr>
                <w:b/>
                <w:sz w:val="20"/>
                <w:szCs w:val="20"/>
              </w:rPr>
            </w:pPr>
            <w:r w:rsidRPr="00D00ABD">
              <w:rPr>
                <w:b/>
              </w:rPr>
              <w:t xml:space="preserve">Frequency quality defining parameters referred to in Article 127: </w:t>
            </w:r>
          </w:p>
        </w:tc>
        <w:tc>
          <w:tcPr>
            <w:tcW w:w="1418" w:type="dxa"/>
            <w:tcBorders>
              <w:top w:val="single" w:sz="4" w:space="0" w:color="000000"/>
              <w:left w:val="single" w:sz="4" w:space="0" w:color="000000"/>
              <w:bottom w:val="single" w:sz="4" w:space="0" w:color="000000"/>
              <w:right w:val="single" w:sz="4" w:space="0" w:color="000000"/>
            </w:tcBorders>
          </w:tcPr>
          <w:p w14:paraId="6C72E779" w14:textId="77777777" w:rsidR="004C519D" w:rsidRPr="00D00ABD" w:rsidRDefault="004C519D" w:rsidP="00AB4CCB">
            <w:pPr>
              <w:spacing w:before="56" w:after="0" w:line="240" w:lineRule="auto"/>
              <w:ind w:left="369"/>
              <w:rPr>
                <w:sz w:val="20"/>
                <w:szCs w:val="20"/>
              </w:rPr>
            </w:pPr>
            <w:r w:rsidRPr="00D00ABD">
              <w:rPr>
                <w:rFonts w:ascii="Times New Roman" w:hAnsi="Times New Roman"/>
                <w:b/>
                <w:bCs/>
              </w:rPr>
              <w:t xml:space="preserve">GB </w:t>
            </w:r>
          </w:p>
        </w:tc>
        <w:tc>
          <w:tcPr>
            <w:tcW w:w="2977" w:type="dxa"/>
            <w:tcBorders>
              <w:top w:val="single" w:sz="4" w:space="0" w:color="000000"/>
              <w:left w:val="single" w:sz="4" w:space="0" w:color="000000"/>
              <w:bottom w:val="single" w:sz="4" w:space="0" w:color="000000"/>
              <w:right w:val="single" w:sz="4" w:space="0" w:color="000000"/>
            </w:tcBorders>
          </w:tcPr>
          <w:p w14:paraId="4F027EA6" w14:textId="66A81987" w:rsidR="004C519D" w:rsidRPr="00D00ABD" w:rsidRDefault="004C519D" w:rsidP="00AB4CCB">
            <w:pPr>
              <w:spacing w:before="56" w:after="0" w:line="240" w:lineRule="auto"/>
              <w:ind w:left="223"/>
              <w:rPr>
                <w:rFonts w:ascii="Times New Roman" w:hAnsi="Times New Roman"/>
                <w:b/>
                <w:bCs/>
              </w:rPr>
            </w:pPr>
            <w:r w:rsidRPr="00D00ABD">
              <w:rPr>
                <w:rFonts w:ascii="Times New Roman" w:hAnsi="Times New Roman"/>
                <w:b/>
                <w:bCs/>
              </w:rPr>
              <w:t>Present in NETS SQSS</w:t>
            </w:r>
            <w:r w:rsidR="00AB4CCB" w:rsidRPr="00D00ABD">
              <w:rPr>
                <w:rFonts w:ascii="Times New Roman" w:hAnsi="Times New Roman"/>
                <w:b/>
                <w:bCs/>
              </w:rPr>
              <w:t xml:space="preserve"> or Grid Code</w:t>
            </w:r>
          </w:p>
        </w:tc>
      </w:tr>
      <w:tr w:rsidR="004C519D" w:rsidRPr="00D00ABD" w14:paraId="6C72E77D" w14:textId="2DC18730" w:rsidTr="007B437F">
        <w:trPr>
          <w:trHeight w:val="255"/>
        </w:trPr>
        <w:tc>
          <w:tcPr>
            <w:tcW w:w="4612" w:type="dxa"/>
            <w:tcBorders>
              <w:top w:val="single" w:sz="4" w:space="0" w:color="000000"/>
              <w:left w:val="single" w:sz="4" w:space="0" w:color="000000"/>
              <w:bottom w:val="single" w:sz="4" w:space="0" w:color="000000"/>
              <w:right w:val="single" w:sz="4" w:space="0" w:color="000000"/>
            </w:tcBorders>
          </w:tcPr>
          <w:p w14:paraId="6C72E77B" w14:textId="77777777" w:rsidR="004C519D" w:rsidRPr="00D00ABD" w:rsidRDefault="004C519D" w:rsidP="00AE7DC2">
            <w:pPr>
              <w:spacing w:before="56" w:after="0" w:line="240" w:lineRule="auto"/>
              <w:ind w:left="365"/>
              <w:rPr>
                <w:sz w:val="20"/>
                <w:szCs w:val="20"/>
              </w:rPr>
            </w:pPr>
            <w:r w:rsidRPr="00D00ABD">
              <w:rPr>
                <w:rFonts w:ascii="Times New Roman" w:hAnsi="Times New Roman"/>
                <w:bCs/>
              </w:rPr>
              <w:t xml:space="preserve">standard frequency range </w:t>
            </w:r>
          </w:p>
        </w:tc>
        <w:tc>
          <w:tcPr>
            <w:tcW w:w="1418" w:type="dxa"/>
            <w:tcBorders>
              <w:top w:val="single" w:sz="4" w:space="0" w:color="000000"/>
              <w:left w:val="single" w:sz="4" w:space="0" w:color="000000"/>
              <w:bottom w:val="single" w:sz="4" w:space="0" w:color="000000"/>
              <w:right w:val="single" w:sz="4" w:space="0" w:color="000000"/>
            </w:tcBorders>
          </w:tcPr>
          <w:p w14:paraId="6C72E77C" w14:textId="77777777" w:rsidR="004C519D" w:rsidRPr="00D00ABD" w:rsidRDefault="004C519D" w:rsidP="00AE7DC2">
            <w:pPr>
              <w:spacing w:before="56" w:after="0" w:line="240" w:lineRule="auto"/>
              <w:ind w:left="223"/>
              <w:jc w:val="center"/>
              <w:rPr>
                <w:sz w:val="20"/>
                <w:szCs w:val="20"/>
              </w:rPr>
            </w:pPr>
            <w:r w:rsidRPr="00D00ABD">
              <w:rPr>
                <w:rFonts w:ascii="Times New Roman" w:hAnsi="Times New Roman"/>
              </w:rPr>
              <w:t>±200 mHz</w:t>
            </w:r>
          </w:p>
        </w:tc>
        <w:tc>
          <w:tcPr>
            <w:tcW w:w="2977" w:type="dxa"/>
            <w:tcBorders>
              <w:top w:val="single" w:sz="4" w:space="0" w:color="000000"/>
              <w:left w:val="single" w:sz="4" w:space="0" w:color="000000"/>
              <w:bottom w:val="single" w:sz="4" w:space="0" w:color="000000"/>
              <w:right w:val="single" w:sz="4" w:space="0" w:color="000000"/>
            </w:tcBorders>
          </w:tcPr>
          <w:p w14:paraId="746C10F4" w14:textId="77777777" w:rsidR="004C519D" w:rsidRPr="00D00ABD" w:rsidRDefault="004C519D" w:rsidP="00AE7DC2">
            <w:pPr>
              <w:spacing w:before="56" w:after="0" w:line="240" w:lineRule="auto"/>
              <w:ind w:left="223"/>
              <w:jc w:val="center"/>
              <w:rPr>
                <w:rFonts w:ascii="Times New Roman" w:hAnsi="Times New Roman"/>
              </w:rPr>
            </w:pPr>
          </w:p>
        </w:tc>
      </w:tr>
      <w:tr w:rsidR="004C519D" w:rsidRPr="00D00ABD" w14:paraId="6C72E780" w14:textId="70D35CA5" w:rsidTr="007B437F">
        <w:trPr>
          <w:trHeight w:val="390"/>
        </w:trPr>
        <w:tc>
          <w:tcPr>
            <w:tcW w:w="4612" w:type="dxa"/>
            <w:tcBorders>
              <w:top w:val="single" w:sz="4" w:space="0" w:color="000000"/>
              <w:left w:val="single" w:sz="4" w:space="0" w:color="000000"/>
              <w:bottom w:val="single" w:sz="4" w:space="0" w:color="000000"/>
              <w:right w:val="single" w:sz="4" w:space="0" w:color="000000"/>
            </w:tcBorders>
          </w:tcPr>
          <w:p w14:paraId="6C72E77E" w14:textId="77777777" w:rsidR="004C519D" w:rsidRPr="00085E82" w:rsidRDefault="004C519D" w:rsidP="00AE7DC2">
            <w:pPr>
              <w:spacing w:before="56" w:after="0" w:line="240" w:lineRule="auto"/>
              <w:ind w:left="365"/>
              <w:rPr>
                <w:sz w:val="20"/>
                <w:szCs w:val="20"/>
              </w:rPr>
            </w:pPr>
            <w:r w:rsidRPr="00085E82">
              <w:rPr>
                <w:rFonts w:ascii="Times New Roman" w:hAnsi="Times New Roman"/>
                <w:bCs/>
              </w:rPr>
              <w:t xml:space="preserve">maximum instantaneous frequency deviation </w:t>
            </w:r>
          </w:p>
        </w:tc>
        <w:tc>
          <w:tcPr>
            <w:tcW w:w="1418" w:type="dxa"/>
            <w:tcBorders>
              <w:top w:val="single" w:sz="4" w:space="0" w:color="000000"/>
              <w:left w:val="single" w:sz="4" w:space="0" w:color="000000"/>
              <w:bottom w:val="single" w:sz="4" w:space="0" w:color="000000"/>
              <w:right w:val="single" w:sz="4" w:space="0" w:color="000000"/>
            </w:tcBorders>
          </w:tcPr>
          <w:p w14:paraId="6C72E77F" w14:textId="27C4B112" w:rsidR="004C519D" w:rsidRPr="00085E82" w:rsidRDefault="00740F15" w:rsidP="00AE7DC2">
            <w:pPr>
              <w:spacing w:before="56" w:after="0" w:line="240" w:lineRule="auto"/>
              <w:ind w:left="223"/>
              <w:jc w:val="center"/>
              <w:rPr>
                <w:sz w:val="20"/>
                <w:szCs w:val="20"/>
              </w:rPr>
            </w:pPr>
            <w:r w:rsidRPr="00085E82">
              <w:rPr>
                <w:rFonts w:ascii="Times New Roman" w:hAnsi="Times New Roman"/>
              </w:rPr>
              <w:t>800</w:t>
            </w:r>
            <w:r w:rsidR="004C519D" w:rsidRPr="00085E82">
              <w:rPr>
                <w:rFonts w:ascii="Times New Roman" w:hAnsi="Times New Roman"/>
              </w:rPr>
              <w:t>mHz</w:t>
            </w:r>
          </w:p>
        </w:tc>
        <w:tc>
          <w:tcPr>
            <w:tcW w:w="2977" w:type="dxa"/>
            <w:tcBorders>
              <w:top w:val="single" w:sz="4" w:space="0" w:color="000000"/>
              <w:left w:val="single" w:sz="4" w:space="0" w:color="000000"/>
              <w:bottom w:val="single" w:sz="4" w:space="0" w:color="000000"/>
              <w:right w:val="single" w:sz="4" w:space="0" w:color="000000"/>
            </w:tcBorders>
          </w:tcPr>
          <w:p w14:paraId="77961774" w14:textId="77777777" w:rsidR="004C519D" w:rsidRPr="00D00ABD" w:rsidRDefault="004C519D" w:rsidP="00AE7DC2">
            <w:pPr>
              <w:spacing w:before="56" w:after="0" w:line="240" w:lineRule="auto"/>
              <w:ind w:left="223"/>
              <w:jc w:val="center"/>
              <w:rPr>
                <w:rFonts w:ascii="Times New Roman" w:hAnsi="Times New Roman"/>
                <w:highlight w:val="yellow"/>
              </w:rPr>
            </w:pPr>
          </w:p>
        </w:tc>
      </w:tr>
      <w:tr w:rsidR="004C519D" w:rsidRPr="00D00ABD" w14:paraId="6C72E783" w14:textId="540EC489" w:rsidTr="007B437F">
        <w:trPr>
          <w:trHeight w:val="390"/>
        </w:trPr>
        <w:tc>
          <w:tcPr>
            <w:tcW w:w="4612" w:type="dxa"/>
            <w:tcBorders>
              <w:top w:val="single" w:sz="4" w:space="0" w:color="000000"/>
              <w:left w:val="single" w:sz="4" w:space="0" w:color="000000"/>
              <w:bottom w:val="single" w:sz="4" w:space="0" w:color="000000"/>
              <w:right w:val="single" w:sz="4" w:space="0" w:color="000000"/>
            </w:tcBorders>
          </w:tcPr>
          <w:p w14:paraId="6C72E781" w14:textId="77777777" w:rsidR="004C519D" w:rsidRPr="00D00ABD" w:rsidRDefault="004C519D" w:rsidP="00AE7DC2">
            <w:pPr>
              <w:spacing w:before="56" w:after="0" w:line="240" w:lineRule="auto"/>
              <w:ind w:left="365"/>
              <w:rPr>
                <w:sz w:val="20"/>
                <w:szCs w:val="20"/>
              </w:rPr>
            </w:pPr>
            <w:r w:rsidRPr="00D00ABD">
              <w:rPr>
                <w:rFonts w:ascii="Times New Roman" w:hAnsi="Times New Roman"/>
                <w:bCs/>
              </w:rPr>
              <w:t xml:space="preserve">maximum Steady-state frequency deviation </w:t>
            </w:r>
          </w:p>
        </w:tc>
        <w:tc>
          <w:tcPr>
            <w:tcW w:w="1418" w:type="dxa"/>
            <w:tcBorders>
              <w:top w:val="single" w:sz="4" w:space="0" w:color="000000"/>
              <w:left w:val="single" w:sz="4" w:space="0" w:color="000000"/>
              <w:bottom w:val="single" w:sz="4" w:space="0" w:color="000000"/>
              <w:right w:val="single" w:sz="4" w:space="0" w:color="000000"/>
            </w:tcBorders>
          </w:tcPr>
          <w:p w14:paraId="6C72E782" w14:textId="77777777" w:rsidR="004C519D" w:rsidRPr="00D00ABD" w:rsidRDefault="004C519D" w:rsidP="00AE7DC2">
            <w:pPr>
              <w:spacing w:before="56" w:after="0" w:line="240" w:lineRule="auto"/>
              <w:ind w:left="223"/>
              <w:jc w:val="center"/>
              <w:rPr>
                <w:sz w:val="20"/>
                <w:szCs w:val="20"/>
              </w:rPr>
            </w:pPr>
            <w:r w:rsidRPr="00D00ABD">
              <w:rPr>
                <w:rFonts w:ascii="Times New Roman" w:hAnsi="Times New Roman"/>
              </w:rPr>
              <w:t>500 mHz</w:t>
            </w:r>
          </w:p>
        </w:tc>
        <w:tc>
          <w:tcPr>
            <w:tcW w:w="2977" w:type="dxa"/>
            <w:tcBorders>
              <w:top w:val="single" w:sz="4" w:space="0" w:color="000000"/>
              <w:left w:val="single" w:sz="4" w:space="0" w:color="000000"/>
              <w:bottom w:val="single" w:sz="4" w:space="0" w:color="000000"/>
              <w:right w:val="single" w:sz="4" w:space="0" w:color="000000"/>
            </w:tcBorders>
          </w:tcPr>
          <w:p w14:paraId="146EEBD0" w14:textId="52008205" w:rsidR="004C519D" w:rsidRPr="00D00ABD" w:rsidRDefault="00AB4CCB" w:rsidP="004C519D">
            <w:pPr>
              <w:spacing w:before="56" w:after="0" w:line="240" w:lineRule="auto"/>
              <w:ind w:left="223"/>
              <w:jc w:val="center"/>
              <w:rPr>
                <w:rFonts w:ascii="Times New Roman" w:hAnsi="Times New Roman"/>
              </w:rPr>
            </w:pPr>
            <w:r w:rsidRPr="00D00ABD">
              <w:rPr>
                <w:rFonts w:ascii="Times New Roman" w:hAnsi="Times New Roman"/>
              </w:rPr>
              <w:t xml:space="preserve">NETS SQSS </w:t>
            </w:r>
            <w:r w:rsidR="004C519D" w:rsidRPr="00D00ABD">
              <w:rPr>
                <w:rFonts w:ascii="Times New Roman" w:hAnsi="Times New Roman"/>
              </w:rPr>
              <w:t>Section 11 Unacceptable Frequency</w:t>
            </w:r>
          </w:p>
          <w:p w14:paraId="34B5A126" w14:textId="41A936BC" w:rsidR="004C519D" w:rsidRPr="00D00ABD" w:rsidRDefault="004C519D" w:rsidP="004C519D">
            <w:pPr>
              <w:spacing w:before="56" w:after="0" w:line="240" w:lineRule="auto"/>
              <w:ind w:left="223"/>
              <w:jc w:val="center"/>
              <w:rPr>
                <w:rFonts w:ascii="Times New Roman" w:hAnsi="Times New Roman"/>
              </w:rPr>
            </w:pPr>
            <w:r w:rsidRPr="00D00ABD">
              <w:rPr>
                <w:rFonts w:ascii="Times New Roman" w:hAnsi="Times New Roman"/>
              </w:rPr>
              <w:t>Conditions</w:t>
            </w:r>
            <w:r w:rsidR="00AB4CCB" w:rsidRPr="00D00ABD">
              <w:rPr>
                <w:rFonts w:ascii="Times New Roman" w:hAnsi="Times New Roman"/>
              </w:rPr>
              <w:t>;</w:t>
            </w:r>
          </w:p>
          <w:p w14:paraId="13A59634" w14:textId="63CC38B2" w:rsidR="00121340" w:rsidRPr="00D00ABD" w:rsidRDefault="00121340" w:rsidP="004C519D">
            <w:pPr>
              <w:spacing w:before="56" w:after="0" w:line="240" w:lineRule="auto"/>
              <w:ind w:left="223"/>
              <w:jc w:val="center"/>
              <w:rPr>
                <w:rFonts w:ascii="Times New Roman" w:hAnsi="Times New Roman"/>
              </w:rPr>
            </w:pPr>
            <w:r w:rsidRPr="00D00ABD">
              <w:rPr>
                <w:rFonts w:ascii="Times New Roman" w:hAnsi="Times New Roman"/>
              </w:rPr>
              <w:t>Grid Code</w:t>
            </w:r>
          </w:p>
          <w:p w14:paraId="55969E4D" w14:textId="21FAE027" w:rsidR="00AB4CCB" w:rsidRPr="00D00ABD" w:rsidRDefault="00AB4CCB" w:rsidP="004C519D">
            <w:pPr>
              <w:spacing w:before="56" w:after="0" w:line="240" w:lineRule="auto"/>
              <w:ind w:left="223"/>
              <w:jc w:val="center"/>
              <w:rPr>
                <w:rFonts w:ascii="Times New Roman" w:hAnsi="Times New Roman"/>
              </w:rPr>
            </w:pPr>
            <w:r w:rsidRPr="00D00ABD">
              <w:t>CC.6.1.2</w:t>
            </w:r>
          </w:p>
        </w:tc>
      </w:tr>
      <w:tr w:rsidR="004C519D" w:rsidRPr="00D00ABD" w14:paraId="6C72E786" w14:textId="0E43C458" w:rsidTr="007B437F">
        <w:trPr>
          <w:trHeight w:val="255"/>
        </w:trPr>
        <w:tc>
          <w:tcPr>
            <w:tcW w:w="4612" w:type="dxa"/>
            <w:tcBorders>
              <w:top w:val="single" w:sz="4" w:space="0" w:color="000000"/>
              <w:left w:val="single" w:sz="4" w:space="0" w:color="000000"/>
              <w:bottom w:val="single" w:sz="4" w:space="0" w:color="000000"/>
              <w:right w:val="single" w:sz="4" w:space="0" w:color="000000"/>
            </w:tcBorders>
          </w:tcPr>
          <w:p w14:paraId="6C72E784" w14:textId="77777777" w:rsidR="004C519D" w:rsidRPr="00D00ABD" w:rsidRDefault="004C519D" w:rsidP="00AE7DC2">
            <w:pPr>
              <w:spacing w:before="56" w:after="0" w:line="240" w:lineRule="auto"/>
              <w:ind w:left="365"/>
              <w:rPr>
                <w:sz w:val="20"/>
                <w:szCs w:val="20"/>
              </w:rPr>
            </w:pPr>
            <w:r w:rsidRPr="00D00ABD">
              <w:rPr>
                <w:rFonts w:ascii="Times New Roman" w:hAnsi="Times New Roman"/>
                <w:bCs/>
              </w:rPr>
              <w:t xml:space="preserve">time to recover frequency </w:t>
            </w:r>
          </w:p>
        </w:tc>
        <w:tc>
          <w:tcPr>
            <w:tcW w:w="1418" w:type="dxa"/>
            <w:tcBorders>
              <w:top w:val="single" w:sz="4" w:space="0" w:color="000000"/>
              <w:left w:val="single" w:sz="4" w:space="0" w:color="000000"/>
              <w:bottom w:val="single" w:sz="4" w:space="0" w:color="000000"/>
              <w:right w:val="single" w:sz="4" w:space="0" w:color="000000"/>
            </w:tcBorders>
          </w:tcPr>
          <w:p w14:paraId="6C72E785" w14:textId="77777777" w:rsidR="004C519D" w:rsidRPr="00D00ABD" w:rsidRDefault="004C519D" w:rsidP="00AE7DC2">
            <w:pPr>
              <w:spacing w:before="56" w:after="0" w:line="240" w:lineRule="auto"/>
              <w:ind w:left="223"/>
              <w:jc w:val="center"/>
              <w:rPr>
                <w:sz w:val="20"/>
                <w:szCs w:val="20"/>
              </w:rPr>
            </w:pPr>
            <w:r w:rsidRPr="00D00ABD">
              <w:rPr>
                <w:rFonts w:ascii="Times New Roman" w:hAnsi="Times New Roman"/>
              </w:rPr>
              <w:t>1 minute</w:t>
            </w:r>
          </w:p>
        </w:tc>
        <w:tc>
          <w:tcPr>
            <w:tcW w:w="2977" w:type="dxa"/>
            <w:tcBorders>
              <w:top w:val="single" w:sz="4" w:space="0" w:color="000000"/>
              <w:left w:val="single" w:sz="4" w:space="0" w:color="000000"/>
              <w:bottom w:val="single" w:sz="4" w:space="0" w:color="000000"/>
              <w:right w:val="single" w:sz="4" w:space="0" w:color="000000"/>
            </w:tcBorders>
          </w:tcPr>
          <w:p w14:paraId="2949FF7E" w14:textId="1C42DB30" w:rsidR="00AB4CCB" w:rsidRPr="00D00ABD" w:rsidRDefault="00AB4CCB" w:rsidP="004C519D">
            <w:pPr>
              <w:spacing w:before="56" w:after="0" w:line="240" w:lineRule="auto"/>
              <w:ind w:left="223"/>
              <w:jc w:val="center"/>
              <w:rPr>
                <w:rFonts w:ascii="Times New Roman" w:hAnsi="Times New Roman"/>
              </w:rPr>
            </w:pPr>
            <w:r w:rsidRPr="00D00ABD">
              <w:rPr>
                <w:rFonts w:ascii="Times New Roman" w:hAnsi="Times New Roman"/>
              </w:rPr>
              <w:t>NETS SQSS</w:t>
            </w:r>
          </w:p>
          <w:p w14:paraId="7C85F6C2" w14:textId="788534DD" w:rsidR="004C519D" w:rsidRPr="00D00ABD" w:rsidRDefault="004C519D" w:rsidP="004C519D">
            <w:pPr>
              <w:spacing w:before="56" w:after="0" w:line="240" w:lineRule="auto"/>
              <w:ind w:left="223"/>
              <w:jc w:val="center"/>
              <w:rPr>
                <w:rFonts w:ascii="Times New Roman" w:hAnsi="Times New Roman"/>
              </w:rPr>
            </w:pPr>
            <w:r w:rsidRPr="00D00ABD">
              <w:rPr>
                <w:rFonts w:ascii="Times New Roman" w:hAnsi="Times New Roman"/>
              </w:rPr>
              <w:t>Section 11 Unacceptable Frequency</w:t>
            </w:r>
          </w:p>
          <w:p w14:paraId="58D02BAD" w14:textId="3A587061" w:rsidR="004C519D" w:rsidRPr="00D00ABD" w:rsidRDefault="004C519D" w:rsidP="004C519D">
            <w:pPr>
              <w:spacing w:before="56" w:after="0" w:line="240" w:lineRule="auto"/>
              <w:ind w:left="223"/>
              <w:jc w:val="center"/>
              <w:rPr>
                <w:rFonts w:ascii="Times New Roman" w:hAnsi="Times New Roman"/>
              </w:rPr>
            </w:pPr>
            <w:r w:rsidRPr="00D00ABD">
              <w:rPr>
                <w:rFonts w:ascii="Times New Roman" w:hAnsi="Times New Roman"/>
              </w:rPr>
              <w:t>Conditions</w:t>
            </w:r>
          </w:p>
        </w:tc>
      </w:tr>
      <w:tr w:rsidR="004C519D" w:rsidRPr="00D00ABD" w14:paraId="6C72E789" w14:textId="45285F2B" w:rsidTr="007B437F">
        <w:trPr>
          <w:trHeight w:val="255"/>
        </w:trPr>
        <w:tc>
          <w:tcPr>
            <w:tcW w:w="4612" w:type="dxa"/>
            <w:tcBorders>
              <w:top w:val="single" w:sz="4" w:space="0" w:color="000000"/>
              <w:left w:val="single" w:sz="4" w:space="0" w:color="000000"/>
              <w:bottom w:val="single" w:sz="4" w:space="0" w:color="000000"/>
              <w:right w:val="single" w:sz="4" w:space="0" w:color="000000"/>
            </w:tcBorders>
          </w:tcPr>
          <w:p w14:paraId="6C72E787" w14:textId="77777777" w:rsidR="004C519D" w:rsidRPr="00D00ABD" w:rsidRDefault="004C519D" w:rsidP="00AE7DC2">
            <w:pPr>
              <w:spacing w:before="56" w:after="0" w:line="240" w:lineRule="auto"/>
              <w:ind w:left="365"/>
              <w:rPr>
                <w:sz w:val="20"/>
                <w:szCs w:val="20"/>
              </w:rPr>
            </w:pPr>
            <w:r w:rsidRPr="00D00ABD">
              <w:rPr>
                <w:rFonts w:ascii="Times New Roman" w:hAnsi="Times New Roman"/>
                <w:bCs/>
              </w:rPr>
              <w:t xml:space="preserve">Frequency Recovery Range </w:t>
            </w:r>
          </w:p>
        </w:tc>
        <w:tc>
          <w:tcPr>
            <w:tcW w:w="1418" w:type="dxa"/>
            <w:tcBorders>
              <w:top w:val="single" w:sz="4" w:space="0" w:color="000000"/>
              <w:left w:val="single" w:sz="4" w:space="0" w:color="000000"/>
              <w:bottom w:val="single" w:sz="4" w:space="0" w:color="000000"/>
              <w:right w:val="single" w:sz="4" w:space="0" w:color="000000"/>
            </w:tcBorders>
          </w:tcPr>
          <w:p w14:paraId="6C72E788" w14:textId="77777777" w:rsidR="004C519D" w:rsidRPr="00D00ABD" w:rsidRDefault="004C519D" w:rsidP="00AE7DC2">
            <w:pPr>
              <w:spacing w:before="56" w:after="0" w:line="240" w:lineRule="auto"/>
              <w:ind w:left="223"/>
              <w:jc w:val="center"/>
              <w:rPr>
                <w:sz w:val="20"/>
                <w:szCs w:val="20"/>
              </w:rPr>
            </w:pPr>
            <w:r w:rsidRPr="00D00ABD">
              <w:rPr>
                <w:rFonts w:ascii="Times New Roman" w:hAnsi="Times New Roman"/>
              </w:rPr>
              <w:t>±500 mHz</w:t>
            </w:r>
          </w:p>
        </w:tc>
        <w:tc>
          <w:tcPr>
            <w:tcW w:w="2977" w:type="dxa"/>
            <w:tcBorders>
              <w:top w:val="single" w:sz="4" w:space="0" w:color="000000"/>
              <w:left w:val="single" w:sz="4" w:space="0" w:color="000000"/>
              <w:bottom w:val="single" w:sz="4" w:space="0" w:color="000000"/>
              <w:right w:val="single" w:sz="4" w:space="0" w:color="000000"/>
            </w:tcBorders>
          </w:tcPr>
          <w:p w14:paraId="6E8095F2" w14:textId="77777777" w:rsidR="00AB4CCB" w:rsidRPr="00D00ABD" w:rsidRDefault="00AB4CCB" w:rsidP="004C519D">
            <w:pPr>
              <w:spacing w:before="56" w:after="0" w:line="240" w:lineRule="auto"/>
              <w:ind w:left="223"/>
              <w:jc w:val="center"/>
              <w:rPr>
                <w:rFonts w:ascii="Times New Roman" w:hAnsi="Times New Roman"/>
              </w:rPr>
            </w:pPr>
            <w:r w:rsidRPr="00D00ABD">
              <w:rPr>
                <w:rFonts w:ascii="Times New Roman" w:hAnsi="Times New Roman"/>
              </w:rPr>
              <w:t xml:space="preserve">NETS SQSS </w:t>
            </w:r>
          </w:p>
          <w:p w14:paraId="46F971E9" w14:textId="77777777" w:rsidR="00AB4CCB" w:rsidRPr="00D00ABD" w:rsidRDefault="004C519D" w:rsidP="004C519D">
            <w:pPr>
              <w:spacing w:before="56" w:after="0" w:line="240" w:lineRule="auto"/>
              <w:ind w:left="223"/>
              <w:jc w:val="center"/>
              <w:rPr>
                <w:rFonts w:ascii="Times New Roman" w:hAnsi="Times New Roman"/>
              </w:rPr>
            </w:pPr>
            <w:r w:rsidRPr="00D00ABD">
              <w:rPr>
                <w:rFonts w:ascii="Times New Roman" w:hAnsi="Times New Roman"/>
              </w:rPr>
              <w:t xml:space="preserve">Section 11 </w:t>
            </w:r>
          </w:p>
          <w:p w14:paraId="54AA5647" w14:textId="07118A75" w:rsidR="004C519D" w:rsidRPr="00D00ABD" w:rsidRDefault="004C519D" w:rsidP="004C519D">
            <w:pPr>
              <w:spacing w:before="56" w:after="0" w:line="240" w:lineRule="auto"/>
              <w:ind w:left="223"/>
              <w:jc w:val="center"/>
              <w:rPr>
                <w:rFonts w:ascii="Times New Roman" w:hAnsi="Times New Roman"/>
              </w:rPr>
            </w:pPr>
            <w:r w:rsidRPr="00D00ABD">
              <w:rPr>
                <w:rFonts w:ascii="Times New Roman" w:hAnsi="Times New Roman"/>
              </w:rPr>
              <w:t>Unacceptable Frequency</w:t>
            </w:r>
          </w:p>
          <w:p w14:paraId="38D7CDDD" w14:textId="25BCB4BE" w:rsidR="004C519D" w:rsidRPr="00D00ABD" w:rsidRDefault="004C519D" w:rsidP="004C519D">
            <w:pPr>
              <w:spacing w:before="56" w:after="0" w:line="240" w:lineRule="auto"/>
              <w:ind w:left="223"/>
              <w:jc w:val="center"/>
              <w:rPr>
                <w:rFonts w:ascii="Times New Roman" w:hAnsi="Times New Roman"/>
              </w:rPr>
            </w:pPr>
            <w:r w:rsidRPr="00D00ABD">
              <w:rPr>
                <w:rFonts w:ascii="Times New Roman" w:hAnsi="Times New Roman"/>
              </w:rPr>
              <w:t>Conditions</w:t>
            </w:r>
          </w:p>
        </w:tc>
      </w:tr>
      <w:tr w:rsidR="004C519D" w:rsidRPr="00D00ABD" w14:paraId="6C72E78C" w14:textId="4A015793" w:rsidTr="007B437F">
        <w:trPr>
          <w:trHeight w:val="255"/>
        </w:trPr>
        <w:tc>
          <w:tcPr>
            <w:tcW w:w="4612" w:type="dxa"/>
            <w:tcBorders>
              <w:top w:val="single" w:sz="4" w:space="0" w:color="000000"/>
              <w:left w:val="single" w:sz="4" w:space="0" w:color="000000"/>
              <w:bottom w:val="single" w:sz="4" w:space="0" w:color="000000"/>
              <w:right w:val="single" w:sz="4" w:space="0" w:color="000000"/>
            </w:tcBorders>
          </w:tcPr>
          <w:p w14:paraId="6C72E78A" w14:textId="77777777" w:rsidR="004C519D" w:rsidRPr="00D00ABD" w:rsidRDefault="004C519D" w:rsidP="00AE7DC2">
            <w:pPr>
              <w:spacing w:before="56" w:after="0" w:line="240" w:lineRule="auto"/>
              <w:ind w:left="365"/>
              <w:rPr>
                <w:sz w:val="20"/>
                <w:szCs w:val="20"/>
              </w:rPr>
            </w:pPr>
            <w:r w:rsidRPr="00D00ABD">
              <w:rPr>
                <w:rFonts w:ascii="Times New Roman" w:hAnsi="Times New Roman"/>
                <w:bCs/>
              </w:rPr>
              <w:t xml:space="preserve">time to restore frequency </w:t>
            </w:r>
          </w:p>
        </w:tc>
        <w:tc>
          <w:tcPr>
            <w:tcW w:w="1418" w:type="dxa"/>
            <w:tcBorders>
              <w:top w:val="single" w:sz="4" w:space="0" w:color="000000"/>
              <w:left w:val="single" w:sz="4" w:space="0" w:color="000000"/>
              <w:bottom w:val="single" w:sz="4" w:space="0" w:color="000000"/>
              <w:right w:val="single" w:sz="4" w:space="0" w:color="000000"/>
            </w:tcBorders>
          </w:tcPr>
          <w:p w14:paraId="6C72E78B" w14:textId="77777777" w:rsidR="004C519D" w:rsidRPr="00D00ABD" w:rsidRDefault="004C519D" w:rsidP="00AE7DC2">
            <w:pPr>
              <w:spacing w:before="56" w:after="0" w:line="240" w:lineRule="auto"/>
              <w:ind w:left="223"/>
              <w:jc w:val="center"/>
              <w:rPr>
                <w:sz w:val="20"/>
                <w:szCs w:val="20"/>
              </w:rPr>
            </w:pPr>
            <w:r w:rsidRPr="00D00ABD">
              <w:rPr>
                <w:rFonts w:ascii="Times New Roman" w:hAnsi="Times New Roman"/>
              </w:rPr>
              <w:t>15 minutes</w:t>
            </w:r>
          </w:p>
        </w:tc>
        <w:tc>
          <w:tcPr>
            <w:tcW w:w="2977" w:type="dxa"/>
            <w:tcBorders>
              <w:top w:val="single" w:sz="4" w:space="0" w:color="000000"/>
              <w:left w:val="single" w:sz="4" w:space="0" w:color="000000"/>
              <w:bottom w:val="single" w:sz="4" w:space="0" w:color="000000"/>
              <w:right w:val="single" w:sz="4" w:space="0" w:color="000000"/>
            </w:tcBorders>
          </w:tcPr>
          <w:p w14:paraId="30897666" w14:textId="77777777" w:rsidR="004C519D" w:rsidRPr="00D00ABD" w:rsidRDefault="004C519D" w:rsidP="00AE7DC2">
            <w:pPr>
              <w:spacing w:before="56" w:after="0" w:line="240" w:lineRule="auto"/>
              <w:ind w:left="223"/>
              <w:jc w:val="center"/>
              <w:rPr>
                <w:rFonts w:ascii="Times New Roman" w:hAnsi="Times New Roman"/>
              </w:rPr>
            </w:pPr>
          </w:p>
        </w:tc>
      </w:tr>
      <w:tr w:rsidR="004C519D" w:rsidRPr="00D00ABD" w14:paraId="6C72E78F" w14:textId="248FF249" w:rsidTr="007B437F">
        <w:trPr>
          <w:trHeight w:val="255"/>
        </w:trPr>
        <w:tc>
          <w:tcPr>
            <w:tcW w:w="4612" w:type="dxa"/>
            <w:tcBorders>
              <w:top w:val="single" w:sz="4" w:space="0" w:color="000000"/>
              <w:left w:val="single" w:sz="4" w:space="0" w:color="000000"/>
              <w:bottom w:val="single" w:sz="4" w:space="0" w:color="000000"/>
              <w:right w:val="single" w:sz="4" w:space="0" w:color="000000"/>
            </w:tcBorders>
          </w:tcPr>
          <w:p w14:paraId="6C72E78D" w14:textId="77777777" w:rsidR="004C519D" w:rsidRPr="00D00ABD" w:rsidRDefault="004C519D" w:rsidP="00AE7DC2">
            <w:pPr>
              <w:spacing w:before="56" w:after="0" w:line="240" w:lineRule="auto"/>
              <w:ind w:left="365"/>
              <w:rPr>
                <w:sz w:val="20"/>
                <w:szCs w:val="20"/>
              </w:rPr>
            </w:pPr>
            <w:r w:rsidRPr="00D00ABD">
              <w:rPr>
                <w:rFonts w:ascii="Times New Roman" w:hAnsi="Times New Roman"/>
                <w:bCs/>
              </w:rPr>
              <w:t xml:space="preserve">frequency restoration range </w:t>
            </w:r>
          </w:p>
        </w:tc>
        <w:tc>
          <w:tcPr>
            <w:tcW w:w="1418" w:type="dxa"/>
            <w:tcBorders>
              <w:top w:val="single" w:sz="4" w:space="0" w:color="000000"/>
              <w:left w:val="single" w:sz="4" w:space="0" w:color="000000"/>
              <w:bottom w:val="single" w:sz="4" w:space="0" w:color="000000"/>
              <w:right w:val="single" w:sz="4" w:space="0" w:color="000000"/>
            </w:tcBorders>
          </w:tcPr>
          <w:p w14:paraId="6C72E78E" w14:textId="77777777" w:rsidR="004C519D" w:rsidRPr="00D00ABD" w:rsidRDefault="004C519D" w:rsidP="00AE7DC2">
            <w:pPr>
              <w:spacing w:before="56" w:after="0" w:line="240" w:lineRule="auto"/>
              <w:ind w:left="223"/>
              <w:jc w:val="center"/>
              <w:rPr>
                <w:sz w:val="20"/>
                <w:szCs w:val="20"/>
              </w:rPr>
            </w:pPr>
            <w:r w:rsidRPr="00D00ABD">
              <w:rPr>
                <w:rFonts w:ascii="Times New Roman" w:hAnsi="Times New Roman"/>
              </w:rPr>
              <w:t>±200 mHz</w:t>
            </w:r>
          </w:p>
        </w:tc>
        <w:tc>
          <w:tcPr>
            <w:tcW w:w="2977" w:type="dxa"/>
            <w:tcBorders>
              <w:top w:val="single" w:sz="4" w:space="0" w:color="000000"/>
              <w:left w:val="single" w:sz="4" w:space="0" w:color="000000"/>
              <w:bottom w:val="single" w:sz="4" w:space="0" w:color="000000"/>
              <w:right w:val="single" w:sz="4" w:space="0" w:color="000000"/>
            </w:tcBorders>
          </w:tcPr>
          <w:p w14:paraId="414E9C15" w14:textId="77777777" w:rsidR="004C519D" w:rsidRPr="00D00ABD" w:rsidRDefault="004C519D" w:rsidP="00AE7DC2">
            <w:pPr>
              <w:spacing w:before="56" w:after="0" w:line="240" w:lineRule="auto"/>
              <w:ind w:left="223"/>
              <w:jc w:val="center"/>
              <w:rPr>
                <w:rFonts w:ascii="Times New Roman" w:hAnsi="Times New Roman"/>
              </w:rPr>
            </w:pPr>
          </w:p>
        </w:tc>
      </w:tr>
      <w:tr w:rsidR="004C519D" w:rsidRPr="00D00ABD" w14:paraId="6C72E792" w14:textId="7FC6A8FE" w:rsidTr="007B437F">
        <w:trPr>
          <w:trHeight w:val="255"/>
        </w:trPr>
        <w:tc>
          <w:tcPr>
            <w:tcW w:w="4612" w:type="dxa"/>
            <w:tcBorders>
              <w:top w:val="single" w:sz="4" w:space="0" w:color="000000"/>
              <w:left w:val="single" w:sz="4" w:space="0" w:color="000000"/>
              <w:bottom w:val="single" w:sz="4" w:space="0" w:color="000000"/>
              <w:right w:val="single" w:sz="4" w:space="0" w:color="000000"/>
            </w:tcBorders>
          </w:tcPr>
          <w:p w14:paraId="6C72E790" w14:textId="77777777" w:rsidR="004C519D" w:rsidRPr="00D00ABD" w:rsidRDefault="004C519D" w:rsidP="00AE7DC2">
            <w:pPr>
              <w:spacing w:before="56" w:after="0" w:line="240" w:lineRule="auto"/>
              <w:ind w:left="365"/>
              <w:rPr>
                <w:sz w:val="20"/>
                <w:szCs w:val="20"/>
              </w:rPr>
            </w:pPr>
            <w:r w:rsidRPr="00D00ABD">
              <w:rPr>
                <w:rFonts w:ascii="Times New Roman" w:hAnsi="Times New Roman"/>
                <w:bCs/>
              </w:rPr>
              <w:t xml:space="preserve">alert state trigger time </w:t>
            </w:r>
          </w:p>
        </w:tc>
        <w:tc>
          <w:tcPr>
            <w:tcW w:w="1418" w:type="dxa"/>
            <w:tcBorders>
              <w:top w:val="single" w:sz="4" w:space="0" w:color="000000"/>
              <w:left w:val="single" w:sz="4" w:space="0" w:color="000000"/>
              <w:bottom w:val="single" w:sz="4" w:space="0" w:color="000000"/>
              <w:right w:val="single" w:sz="4" w:space="0" w:color="000000"/>
            </w:tcBorders>
          </w:tcPr>
          <w:p w14:paraId="6C72E791" w14:textId="77777777" w:rsidR="004C519D" w:rsidRPr="00D00ABD" w:rsidRDefault="004C519D" w:rsidP="00AE7DC2">
            <w:pPr>
              <w:spacing w:before="56" w:after="0" w:line="240" w:lineRule="auto"/>
              <w:ind w:left="223"/>
              <w:jc w:val="center"/>
              <w:rPr>
                <w:sz w:val="20"/>
                <w:szCs w:val="20"/>
              </w:rPr>
            </w:pPr>
            <w:r w:rsidRPr="00D00ABD">
              <w:rPr>
                <w:rFonts w:ascii="Times New Roman" w:hAnsi="Times New Roman"/>
              </w:rPr>
              <w:t>10 minutes</w:t>
            </w:r>
          </w:p>
        </w:tc>
        <w:tc>
          <w:tcPr>
            <w:tcW w:w="2977" w:type="dxa"/>
            <w:tcBorders>
              <w:top w:val="single" w:sz="4" w:space="0" w:color="000000"/>
              <w:left w:val="single" w:sz="4" w:space="0" w:color="000000"/>
              <w:bottom w:val="single" w:sz="4" w:space="0" w:color="000000"/>
              <w:right w:val="single" w:sz="4" w:space="0" w:color="000000"/>
            </w:tcBorders>
          </w:tcPr>
          <w:p w14:paraId="034E108A" w14:textId="77777777" w:rsidR="004C519D" w:rsidRPr="00D00ABD" w:rsidRDefault="004C519D" w:rsidP="00AE7DC2">
            <w:pPr>
              <w:spacing w:before="56" w:after="0" w:line="240" w:lineRule="auto"/>
              <w:ind w:left="223"/>
              <w:jc w:val="center"/>
              <w:rPr>
                <w:rFonts w:ascii="Times New Roman" w:hAnsi="Times New Roman"/>
              </w:rPr>
            </w:pPr>
          </w:p>
        </w:tc>
      </w:tr>
    </w:tbl>
    <w:p w14:paraId="6C72E793" w14:textId="77777777" w:rsidR="00F60A8E" w:rsidRPr="00D00ABD" w:rsidRDefault="00F60A8E" w:rsidP="00F60A8E">
      <w:pPr>
        <w:spacing w:before="56" w:after="0" w:line="240" w:lineRule="auto"/>
        <w:ind w:left="720"/>
        <w:rPr>
          <w:sz w:val="20"/>
          <w:szCs w:val="20"/>
        </w:rPr>
      </w:pPr>
      <w:r w:rsidRPr="00D00ABD">
        <w:rPr>
          <w:rFonts w:ascii="Times New Roman" w:hAnsi="Times New Roman"/>
        </w:rPr>
        <w:t>Table 1 Frequency quality defining parameters of the GB synchronous area</w:t>
      </w:r>
    </w:p>
    <w:p w14:paraId="6C72E794" w14:textId="77777777" w:rsidR="00F60A8E" w:rsidRPr="00D00ABD" w:rsidRDefault="00F60A8E" w:rsidP="00F60A8E">
      <w:pPr>
        <w:spacing w:before="56" w:after="0" w:line="240" w:lineRule="auto"/>
        <w:ind w:left="720"/>
        <w:rPr>
          <w:sz w:val="20"/>
          <w:szCs w:val="20"/>
        </w:rPr>
      </w:pPr>
    </w:p>
    <w:tbl>
      <w:tblPr>
        <w:tblW w:w="9007" w:type="dxa"/>
        <w:tblInd w:w="486" w:type="dxa"/>
        <w:tblLayout w:type="fixed"/>
        <w:tblCellMar>
          <w:left w:w="60" w:type="dxa"/>
          <w:right w:w="60" w:type="dxa"/>
        </w:tblCellMar>
        <w:tblLook w:val="0000" w:firstRow="0" w:lastRow="0" w:firstColumn="0" w:lastColumn="0" w:noHBand="0" w:noVBand="0"/>
      </w:tblPr>
      <w:tblGrid>
        <w:gridCol w:w="6237"/>
        <w:gridCol w:w="2770"/>
      </w:tblGrid>
      <w:tr w:rsidR="00F60A8E" w:rsidRPr="00D00ABD" w14:paraId="6C72E797" w14:textId="77777777" w:rsidTr="00EA3F1F">
        <w:trPr>
          <w:trHeight w:val="105"/>
        </w:trPr>
        <w:tc>
          <w:tcPr>
            <w:tcW w:w="6237" w:type="dxa"/>
            <w:tcBorders>
              <w:top w:val="single" w:sz="4" w:space="0" w:color="000000"/>
              <w:left w:val="single" w:sz="4" w:space="0" w:color="000000"/>
              <w:bottom w:val="single" w:sz="4" w:space="0" w:color="000000"/>
              <w:right w:val="single" w:sz="4" w:space="0" w:color="000000"/>
            </w:tcBorders>
          </w:tcPr>
          <w:p w14:paraId="6C72E795" w14:textId="39B15D6F" w:rsidR="00F60A8E" w:rsidRPr="00D00ABD" w:rsidRDefault="00F60A8E" w:rsidP="00AE7DC2">
            <w:pPr>
              <w:spacing w:before="56" w:after="0" w:line="240" w:lineRule="auto"/>
              <w:rPr>
                <w:sz w:val="20"/>
                <w:szCs w:val="20"/>
              </w:rPr>
            </w:pPr>
            <w:r w:rsidRPr="00D00ABD">
              <w:rPr>
                <w:rFonts w:ascii="Times New Roman" w:hAnsi="Times New Roman"/>
              </w:rPr>
              <w:t>Frequency quality target parameters referred to in Article 127.</w:t>
            </w:r>
            <w:r w:rsidR="004C519D" w:rsidRPr="00D00ABD">
              <w:rPr>
                <w:rFonts w:ascii="Times New Roman" w:hAnsi="Times New Roman"/>
              </w:rPr>
              <w:t xml:space="preserve"> </w:t>
            </w:r>
          </w:p>
        </w:tc>
        <w:tc>
          <w:tcPr>
            <w:tcW w:w="2770" w:type="dxa"/>
            <w:tcBorders>
              <w:top w:val="single" w:sz="4" w:space="0" w:color="000000"/>
              <w:left w:val="single" w:sz="4" w:space="0" w:color="000000"/>
              <w:bottom w:val="single" w:sz="4" w:space="0" w:color="000000"/>
              <w:right w:val="single" w:sz="4" w:space="0" w:color="000000"/>
            </w:tcBorders>
          </w:tcPr>
          <w:p w14:paraId="6C72E796" w14:textId="77777777" w:rsidR="00F60A8E" w:rsidRPr="00D00ABD" w:rsidRDefault="00F60A8E" w:rsidP="00AE7DC2">
            <w:pPr>
              <w:spacing w:before="56" w:after="0" w:line="240" w:lineRule="auto"/>
              <w:ind w:left="720"/>
              <w:rPr>
                <w:sz w:val="20"/>
                <w:szCs w:val="20"/>
              </w:rPr>
            </w:pPr>
            <w:r w:rsidRPr="00D00ABD">
              <w:rPr>
                <w:rFonts w:ascii="Times New Roman" w:hAnsi="Times New Roman"/>
                <w:b/>
                <w:bCs/>
              </w:rPr>
              <w:t xml:space="preserve">GB </w:t>
            </w:r>
          </w:p>
        </w:tc>
      </w:tr>
      <w:tr w:rsidR="00F60A8E" w:rsidRPr="00D00ABD" w14:paraId="6C72E79A" w14:textId="77777777" w:rsidTr="00EA3F1F">
        <w:trPr>
          <w:trHeight w:val="390"/>
        </w:trPr>
        <w:tc>
          <w:tcPr>
            <w:tcW w:w="6237" w:type="dxa"/>
            <w:tcBorders>
              <w:top w:val="single" w:sz="4" w:space="0" w:color="000000"/>
              <w:left w:val="single" w:sz="4" w:space="0" w:color="000000"/>
              <w:bottom w:val="single" w:sz="4" w:space="0" w:color="000000"/>
              <w:right w:val="single" w:sz="4" w:space="0" w:color="000000"/>
            </w:tcBorders>
          </w:tcPr>
          <w:p w14:paraId="6C72E798" w14:textId="6B97CF5C" w:rsidR="00F60A8E" w:rsidRPr="00D00ABD" w:rsidRDefault="00F60A8E" w:rsidP="00AE7DC2">
            <w:pPr>
              <w:spacing w:before="56" w:after="0" w:line="240" w:lineRule="auto"/>
              <w:ind w:left="365"/>
              <w:rPr>
                <w:sz w:val="20"/>
                <w:szCs w:val="20"/>
              </w:rPr>
            </w:pPr>
            <w:r w:rsidRPr="00D00ABD">
              <w:rPr>
                <w:rFonts w:ascii="Times New Roman" w:hAnsi="Times New Roman"/>
                <w:bCs/>
              </w:rPr>
              <w:t xml:space="preserve">maximum number of minutes outside the standard frequency range </w:t>
            </w:r>
            <w:r w:rsidR="00683E51" w:rsidRPr="00D00ABD">
              <w:rPr>
                <w:rFonts w:ascii="Times New Roman" w:hAnsi="Times New Roman"/>
                <w:bCs/>
              </w:rPr>
              <w:t>[per year based on a frequency measurements at a one second resolution].</w:t>
            </w:r>
          </w:p>
        </w:tc>
        <w:tc>
          <w:tcPr>
            <w:tcW w:w="2770" w:type="dxa"/>
            <w:tcBorders>
              <w:top w:val="single" w:sz="4" w:space="0" w:color="000000"/>
              <w:left w:val="single" w:sz="4" w:space="0" w:color="000000"/>
              <w:bottom w:val="single" w:sz="4" w:space="0" w:color="000000"/>
              <w:right w:val="single" w:sz="4" w:space="0" w:color="000000"/>
            </w:tcBorders>
          </w:tcPr>
          <w:p w14:paraId="6C72E799" w14:textId="77777777" w:rsidR="00F60A8E" w:rsidRPr="00D00ABD" w:rsidRDefault="00F60A8E" w:rsidP="00AE7DC2">
            <w:pPr>
              <w:spacing w:before="56" w:after="0" w:line="240" w:lineRule="auto"/>
              <w:ind w:left="720"/>
              <w:rPr>
                <w:sz w:val="20"/>
                <w:szCs w:val="20"/>
              </w:rPr>
            </w:pPr>
            <w:r w:rsidRPr="00D00ABD">
              <w:rPr>
                <w:rFonts w:ascii="Times New Roman" w:hAnsi="Times New Roman"/>
              </w:rPr>
              <w:t>15000</w:t>
            </w:r>
          </w:p>
        </w:tc>
      </w:tr>
    </w:tbl>
    <w:p w14:paraId="6C72E79B" w14:textId="77777777" w:rsidR="00F60A8E" w:rsidRPr="00D00ABD" w:rsidRDefault="00F60A8E" w:rsidP="00F60A8E">
      <w:pPr>
        <w:spacing w:before="56" w:after="0" w:line="240" w:lineRule="auto"/>
        <w:ind w:left="720"/>
        <w:rPr>
          <w:sz w:val="20"/>
          <w:szCs w:val="20"/>
        </w:rPr>
      </w:pPr>
      <w:r w:rsidRPr="00D00ABD">
        <w:rPr>
          <w:rFonts w:ascii="Times New Roman" w:hAnsi="Times New Roman"/>
        </w:rPr>
        <w:t xml:space="preserve">Table 2 Frequency quality target parameters of the GB synchronous area </w:t>
      </w:r>
    </w:p>
    <w:p w14:paraId="6C72E79C" w14:textId="77777777" w:rsidR="00F60A8E" w:rsidRPr="00D00ABD" w:rsidRDefault="00F60A8E" w:rsidP="00F60A8E">
      <w:pPr>
        <w:spacing w:before="56" w:after="0" w:line="240" w:lineRule="auto"/>
        <w:ind w:left="720"/>
        <w:rPr>
          <w:sz w:val="20"/>
          <w:szCs w:val="20"/>
        </w:rPr>
      </w:pPr>
    </w:p>
    <w:p w14:paraId="3FF68DE4" w14:textId="77777777" w:rsidR="00F6635D" w:rsidRPr="00D00ABD" w:rsidRDefault="00663730" w:rsidP="00F60A8E">
      <w:pPr>
        <w:spacing w:before="56" w:after="0" w:line="240" w:lineRule="auto"/>
        <w:ind w:left="720"/>
        <w:rPr>
          <w:rFonts w:ascii="Times New Roman" w:hAnsi="Times New Roman"/>
        </w:rPr>
      </w:pPr>
      <w:r w:rsidRPr="00946F21">
        <w:rPr>
          <w:rFonts w:ascii="Times New Roman" w:hAnsi="Times New Roman"/>
          <w:noProof/>
          <w:lang w:val="en-US" w:eastAsia="zh-CN"/>
        </w:rPr>
        <w:lastRenderedPageBreak/>
        <w:drawing>
          <wp:inline distT="0" distB="0" distL="0" distR="0" wp14:anchorId="017C4F6C" wp14:editId="3246A737">
            <wp:extent cx="5311518" cy="3328752"/>
            <wp:effectExtent l="0" t="0" r="381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8712" cy="3333260"/>
                    </a:xfrm>
                    <a:prstGeom prst="rect">
                      <a:avLst/>
                    </a:prstGeom>
                    <a:noFill/>
                  </pic:spPr>
                </pic:pic>
              </a:graphicData>
            </a:graphic>
          </wp:inline>
        </w:drawing>
      </w:r>
    </w:p>
    <w:p w14:paraId="0A26DA46" w14:textId="77777777" w:rsidR="00F6635D" w:rsidRPr="00EA3F1F" w:rsidRDefault="00F6635D" w:rsidP="007B437F">
      <w:pPr>
        <w:pStyle w:val="Paragrapgh-numbered"/>
        <w:numPr>
          <w:ilvl w:val="0"/>
          <w:numId w:val="14"/>
        </w:numPr>
        <w:rPr>
          <w:lang w:val="en-GB"/>
        </w:rPr>
      </w:pPr>
      <w:r w:rsidRPr="00EA3F1F">
        <w:rPr>
          <w:lang w:val="en-GB"/>
        </w:rPr>
        <w:t>The above diagram shows an illustration of frequency behaviour that obeys the rules of SOGL and GB electricity codes.</w:t>
      </w:r>
    </w:p>
    <w:p w14:paraId="3A15922B" w14:textId="77453976" w:rsidR="00F6635D" w:rsidRPr="00EA3F1F" w:rsidRDefault="00F6635D" w:rsidP="007B437F">
      <w:pPr>
        <w:pStyle w:val="Paragrapgh-numbered"/>
        <w:numPr>
          <w:ilvl w:val="1"/>
          <w:numId w:val="14"/>
        </w:numPr>
        <w:rPr>
          <w:lang w:val="en-GB"/>
        </w:rPr>
      </w:pPr>
      <w:r w:rsidRPr="00EA3F1F">
        <w:rPr>
          <w:lang w:val="en-GB"/>
        </w:rPr>
        <w:t xml:space="preserve">The </w:t>
      </w:r>
      <w:r w:rsidR="00B957D6" w:rsidRPr="00EA3F1F">
        <w:rPr>
          <w:lang w:val="en-GB"/>
        </w:rPr>
        <w:t>illustrative hypothetical</w:t>
      </w:r>
      <w:r w:rsidRPr="00EA3F1F">
        <w:rPr>
          <w:lang w:val="en-GB"/>
        </w:rPr>
        <w:t xml:space="preserve"> incident </w:t>
      </w:r>
      <w:r w:rsidR="00B957D6" w:rsidRPr="00EA3F1F">
        <w:rPr>
          <w:lang w:val="en-GB"/>
        </w:rPr>
        <w:t xml:space="preserve">shown </w:t>
      </w:r>
      <w:r w:rsidRPr="00EA3F1F">
        <w:rPr>
          <w:lang w:val="en-GB"/>
        </w:rPr>
        <w:t>is less than the largest infeed loss that could occur</w:t>
      </w:r>
      <w:r w:rsidR="009021D0" w:rsidRPr="00EA3F1F">
        <w:rPr>
          <w:lang w:val="en-GB"/>
        </w:rPr>
        <w:t xml:space="preserve"> (we know this since the frequency moved less than 800mHz; assuming that there was not any other reason to dimension higher than covering the largest-loss).</w:t>
      </w:r>
      <w:r w:rsidRPr="00EA3F1F">
        <w:rPr>
          <w:lang w:val="en-GB"/>
        </w:rPr>
        <w:t xml:space="preserve"> </w:t>
      </w:r>
      <w:r w:rsidR="009021D0" w:rsidRPr="00EA3F1F">
        <w:rPr>
          <w:lang w:val="en-GB"/>
        </w:rPr>
        <w:t xml:space="preserve">The largest infeed loss is </w:t>
      </w:r>
      <w:r w:rsidRPr="00EA3F1F">
        <w:rPr>
          <w:lang w:val="en-GB"/>
        </w:rPr>
        <w:t xml:space="preserve">known under SOGL as the “Reference Incident” </w:t>
      </w:r>
      <w:r w:rsidR="009021D0" w:rsidRPr="00EA3F1F">
        <w:rPr>
          <w:lang w:val="en-GB"/>
        </w:rPr>
        <w:t xml:space="preserve">when considering FCR (and Dimensioning incident when considering FRR and RR) </w:t>
      </w:r>
      <w:r w:rsidRPr="00EA3F1F">
        <w:rPr>
          <w:lang w:val="en-GB"/>
        </w:rPr>
        <w:t>since the SO is obliged to size its FCR holding with the correct technical response characteristics so as to contain, such a MW loss with a fall of 800mHz.</w:t>
      </w:r>
    </w:p>
    <w:p w14:paraId="6C72E7A9" w14:textId="2F555094" w:rsidR="00F60A8E" w:rsidRPr="00EA3F1F" w:rsidRDefault="00F6635D" w:rsidP="007B437F">
      <w:pPr>
        <w:pStyle w:val="Paragrapgh-numbered"/>
        <w:numPr>
          <w:ilvl w:val="1"/>
          <w:numId w:val="14"/>
        </w:numPr>
        <w:rPr>
          <w:lang w:val="en-GB"/>
        </w:rPr>
      </w:pPr>
      <w:r w:rsidRPr="00EA3F1F">
        <w:rPr>
          <w:lang w:val="en-GB"/>
        </w:rPr>
        <w:t xml:space="preserve">The </w:t>
      </w:r>
      <w:r w:rsidR="00740F15" w:rsidRPr="00EA3F1F">
        <w:rPr>
          <w:lang w:val="en-GB"/>
        </w:rPr>
        <w:t>8</w:t>
      </w:r>
      <w:r w:rsidRPr="00EA3F1F">
        <w:rPr>
          <w:lang w:val="en-GB"/>
        </w:rPr>
        <w:t xml:space="preserve">00mHz </w:t>
      </w:r>
      <w:r w:rsidR="001D131B" w:rsidRPr="00EA3F1F">
        <w:rPr>
          <w:lang w:val="en-GB"/>
        </w:rPr>
        <w:t xml:space="preserve">“maximum steady state </w:t>
      </w:r>
      <w:r w:rsidRPr="00EA3F1F">
        <w:rPr>
          <w:lang w:val="en-GB"/>
        </w:rPr>
        <w:t>deviation</w:t>
      </w:r>
      <w:r w:rsidR="001D131B" w:rsidRPr="00EA3F1F">
        <w:rPr>
          <w:lang w:val="en-GB"/>
        </w:rPr>
        <w:t>”</w:t>
      </w:r>
      <w:r w:rsidR="009021D0" w:rsidRPr="00EA3F1F">
        <w:rPr>
          <w:lang w:val="en-GB"/>
        </w:rPr>
        <w:t xml:space="preserve"> measured from the nominal frequency of 50Hz defines limits of 49.2Hz for the lower bound and 50.8Hz at the upper bound.</w:t>
      </w:r>
      <w:r w:rsidR="00985404" w:rsidRPr="00EA3F1F">
        <w:rPr>
          <w:lang w:val="en-GB"/>
        </w:rPr>
        <w:t xml:space="preserve">  It is the Frequency Containment Process utilizing Frequency Containment Reserve Services</w:t>
      </w:r>
      <w:r w:rsidR="009021D0" w:rsidRPr="00EA3F1F">
        <w:rPr>
          <w:lang w:val="en-GB"/>
        </w:rPr>
        <w:t>, operated by the ESO,</w:t>
      </w:r>
      <w:r w:rsidR="00985404" w:rsidRPr="00EA3F1F">
        <w:rPr>
          <w:lang w:val="en-GB"/>
        </w:rPr>
        <w:t xml:space="preserve"> that </w:t>
      </w:r>
      <w:r w:rsidR="009021D0" w:rsidRPr="00EA3F1F">
        <w:rPr>
          <w:lang w:val="en-GB"/>
        </w:rPr>
        <w:t xml:space="preserve">slows and stops this frequency disturbance </w:t>
      </w:r>
      <w:r w:rsidR="00985404" w:rsidRPr="00EA3F1F">
        <w:rPr>
          <w:lang w:val="en-GB"/>
        </w:rPr>
        <w:t xml:space="preserve">(this can be any number of GB or cross-border </w:t>
      </w:r>
      <w:r w:rsidR="009021D0" w:rsidRPr="00EA3F1F">
        <w:rPr>
          <w:lang w:val="en-GB"/>
        </w:rPr>
        <w:t xml:space="preserve">response </w:t>
      </w:r>
      <w:r w:rsidR="00985404" w:rsidRPr="00EA3F1F">
        <w:rPr>
          <w:lang w:val="en-GB"/>
        </w:rPr>
        <w:t xml:space="preserve">services which when combined meet the </w:t>
      </w:r>
      <w:r w:rsidR="009021D0" w:rsidRPr="00EA3F1F">
        <w:rPr>
          <w:lang w:val="en-GB"/>
        </w:rPr>
        <w:t xml:space="preserve">overall FCR </w:t>
      </w:r>
      <w:r w:rsidR="00985404" w:rsidRPr="00EA3F1F">
        <w:rPr>
          <w:lang w:val="en-GB"/>
        </w:rPr>
        <w:t xml:space="preserve">technical requirements that act to arrest the frequency movement following </w:t>
      </w:r>
      <w:r w:rsidR="009021D0" w:rsidRPr="00EA3F1F">
        <w:rPr>
          <w:lang w:val="en-GB"/>
        </w:rPr>
        <w:t xml:space="preserve">an </w:t>
      </w:r>
      <w:r w:rsidR="00985404" w:rsidRPr="00EA3F1F">
        <w:rPr>
          <w:lang w:val="en-GB"/>
        </w:rPr>
        <w:t>incident).</w:t>
      </w:r>
      <w:r w:rsidR="009617E2" w:rsidRPr="00EA3F1F">
        <w:rPr>
          <w:lang w:val="en-GB"/>
        </w:rPr>
        <w:t xml:space="preserve">  This </w:t>
      </w:r>
      <w:r w:rsidR="009021D0" w:rsidRPr="00EA3F1F">
        <w:rPr>
          <w:lang w:val="en-GB"/>
        </w:rPr>
        <w:t xml:space="preserve">SOGL compliance practice </w:t>
      </w:r>
      <w:r w:rsidR="009617E2" w:rsidRPr="00EA3F1F">
        <w:rPr>
          <w:lang w:val="en-GB"/>
        </w:rPr>
        <w:t xml:space="preserve">is </w:t>
      </w:r>
      <w:r w:rsidR="009021D0" w:rsidRPr="00EA3F1F">
        <w:rPr>
          <w:lang w:val="en-GB"/>
        </w:rPr>
        <w:t xml:space="preserve">also </w:t>
      </w:r>
      <w:r w:rsidR="009617E2" w:rsidRPr="00EA3F1F">
        <w:rPr>
          <w:lang w:val="en-GB"/>
        </w:rPr>
        <w:t>in-line with GB electricity codes and ESO operational practice</w:t>
      </w:r>
      <w:r w:rsidR="009021D0" w:rsidRPr="00EA3F1F">
        <w:rPr>
          <w:lang w:val="en-GB"/>
        </w:rPr>
        <w:t xml:space="preserve"> which pre-dates the SOGL</w:t>
      </w:r>
      <w:r w:rsidR="009617E2" w:rsidRPr="00EA3F1F">
        <w:rPr>
          <w:lang w:val="en-GB"/>
        </w:rPr>
        <w:t>.</w:t>
      </w:r>
    </w:p>
    <w:p w14:paraId="596155D2" w14:textId="7DC8F815" w:rsidR="00985404" w:rsidRPr="00EA3F1F" w:rsidRDefault="00985404" w:rsidP="007B437F">
      <w:pPr>
        <w:pStyle w:val="Paragrapgh-numbered"/>
        <w:numPr>
          <w:ilvl w:val="1"/>
          <w:numId w:val="14"/>
        </w:numPr>
        <w:rPr>
          <w:lang w:val="en-GB"/>
        </w:rPr>
      </w:pPr>
      <w:r w:rsidRPr="00EA3F1F">
        <w:rPr>
          <w:lang w:val="en-GB"/>
        </w:rPr>
        <w:t>The next frequency target obligation is to bring the frequency inside the Frequency Recovery Range within 1 minute, Time-to-recover-frequency. The Frequency Containment Process and Frequency Restoration Process together achieve this target.</w:t>
      </w:r>
    </w:p>
    <w:p w14:paraId="707A19EE" w14:textId="139AFEC7" w:rsidR="00985404" w:rsidRPr="00EA3F1F" w:rsidRDefault="00985404" w:rsidP="007B437F">
      <w:pPr>
        <w:pStyle w:val="Paragrapgh-numbered"/>
        <w:numPr>
          <w:ilvl w:val="1"/>
          <w:numId w:val="14"/>
        </w:numPr>
        <w:rPr>
          <w:lang w:val="en-GB"/>
        </w:rPr>
      </w:pPr>
      <w:r w:rsidRPr="00EA3F1F">
        <w:rPr>
          <w:lang w:val="en-GB"/>
        </w:rPr>
        <w:t xml:space="preserve">The next target is to bring the frequency inside the Frequency Restoration Range within the 15-minutes, Time-to-Restore-Frequency.  The Frequency Restoration Process utilizing Frequency Restoration Reserve services (and ultimately products) is used to do this. </w:t>
      </w:r>
    </w:p>
    <w:p w14:paraId="626F9429" w14:textId="1E65212B" w:rsidR="00985404" w:rsidRPr="00EA3F1F" w:rsidRDefault="000C5E2C" w:rsidP="007B437F">
      <w:pPr>
        <w:pStyle w:val="Paragrapgh-numbered"/>
        <w:numPr>
          <w:ilvl w:val="1"/>
          <w:numId w:val="14"/>
        </w:numPr>
        <w:rPr>
          <w:lang w:val="en-GB"/>
        </w:rPr>
      </w:pPr>
      <w:r w:rsidRPr="00EA3F1F">
        <w:rPr>
          <w:lang w:val="en-GB"/>
        </w:rPr>
        <w:lastRenderedPageBreak/>
        <w:t xml:space="preserve">The last element in the process chain is to correct the background Energy Balance and relieving activated FCR and FRR reserves by the Reserve Replacement process utilizing Replacement Reserve services. </w:t>
      </w:r>
    </w:p>
    <w:p w14:paraId="28B641CB" w14:textId="731A74DD" w:rsidR="000C5E2C" w:rsidRPr="00EA3F1F" w:rsidRDefault="000C5E2C" w:rsidP="007B437F">
      <w:pPr>
        <w:pStyle w:val="Paragrapgh-numbered"/>
        <w:numPr>
          <w:ilvl w:val="0"/>
          <w:numId w:val="14"/>
        </w:numPr>
        <w:rPr>
          <w:lang w:val="en-GB"/>
        </w:rPr>
      </w:pPr>
      <w:r w:rsidRPr="00EA3F1F">
        <w:rPr>
          <w:lang w:val="en-GB"/>
        </w:rPr>
        <w:t>The Frequency quality target parameters from SOGL article 127, set a general measure of frequency quality in that the total number of aggregated seconds for which the system frequency is outside of the standard frequency range should not exceed 15000 minutes per calendar year.</w:t>
      </w:r>
    </w:p>
    <w:p w14:paraId="5902347A" w14:textId="372D2157" w:rsidR="000C5E2C" w:rsidRPr="00EA3F1F" w:rsidRDefault="000C5E2C" w:rsidP="007B437F">
      <w:pPr>
        <w:pStyle w:val="Paragrapgh-numbered"/>
        <w:numPr>
          <w:ilvl w:val="1"/>
          <w:numId w:val="14"/>
        </w:numPr>
        <w:rPr>
          <w:lang w:val="en-GB"/>
        </w:rPr>
      </w:pPr>
      <w:r w:rsidRPr="00EA3F1F">
        <w:rPr>
          <w:lang w:val="en-GB"/>
        </w:rPr>
        <w:t>A number of factors related to the general performance of connected generation, demand, interconnectors etc</w:t>
      </w:r>
      <w:r w:rsidR="005D012E" w:rsidRPr="00EA3F1F">
        <w:rPr>
          <w:lang w:val="en-GB"/>
        </w:rPr>
        <w:t>.</w:t>
      </w:r>
      <w:r w:rsidRPr="00EA3F1F">
        <w:rPr>
          <w:lang w:val="en-GB"/>
        </w:rPr>
        <w:t xml:space="preserve"> combined with the equipment trips, </w:t>
      </w:r>
      <w:r w:rsidR="005D012E" w:rsidRPr="00EA3F1F">
        <w:rPr>
          <w:lang w:val="en-GB"/>
        </w:rPr>
        <w:t xml:space="preserve">the choice of </w:t>
      </w:r>
      <w:r w:rsidRPr="00EA3F1F">
        <w:rPr>
          <w:lang w:val="en-GB"/>
        </w:rPr>
        <w:t>control actions of the SO as well as the effective performance of reserve providers all influence statistical frequency quality.</w:t>
      </w:r>
    </w:p>
    <w:p w14:paraId="7C6FCE0A" w14:textId="59CC2555" w:rsidR="000C5E2C" w:rsidRPr="00EA3F1F" w:rsidRDefault="000C5E2C" w:rsidP="007B437F">
      <w:pPr>
        <w:pStyle w:val="Paragrapgh-numbered"/>
        <w:numPr>
          <w:ilvl w:val="1"/>
          <w:numId w:val="14"/>
        </w:numPr>
        <w:rPr>
          <w:lang w:val="en-GB"/>
        </w:rPr>
      </w:pPr>
      <w:r w:rsidRPr="00EA3F1F">
        <w:rPr>
          <w:lang w:val="en-GB"/>
        </w:rPr>
        <w:t xml:space="preserve">The </w:t>
      </w:r>
      <w:r w:rsidR="000B0602" w:rsidRPr="00EA3F1F">
        <w:rPr>
          <w:lang w:val="en-GB"/>
        </w:rPr>
        <w:t>E</w:t>
      </w:r>
      <w:r w:rsidRPr="00EA3F1F">
        <w:rPr>
          <w:lang w:val="en-GB"/>
        </w:rPr>
        <w:t xml:space="preserve">SO </w:t>
      </w:r>
      <w:r w:rsidR="000B0602" w:rsidRPr="00EA3F1F">
        <w:rPr>
          <w:lang w:val="en-GB"/>
        </w:rPr>
        <w:t xml:space="preserve">will monitor </w:t>
      </w:r>
      <w:r w:rsidR="00E63521" w:rsidRPr="00EA3F1F">
        <w:rPr>
          <w:lang w:val="en-GB"/>
        </w:rPr>
        <w:t>fulfilment</w:t>
      </w:r>
      <w:r w:rsidR="000B0602" w:rsidRPr="00EA3F1F">
        <w:rPr>
          <w:lang w:val="en-GB"/>
        </w:rPr>
        <w:t xml:space="preserve"> of these quality criteria at least annually (SOGL Article 127(9)).</w:t>
      </w:r>
    </w:p>
    <w:p w14:paraId="52ABD385" w14:textId="6B34443E" w:rsidR="000C5E2C" w:rsidRPr="00EA3F1F" w:rsidRDefault="000C5E2C" w:rsidP="007B437F">
      <w:pPr>
        <w:pStyle w:val="Paragrapgh-numbered"/>
        <w:numPr>
          <w:ilvl w:val="1"/>
          <w:numId w:val="14"/>
        </w:numPr>
        <w:rPr>
          <w:lang w:val="en-GB"/>
        </w:rPr>
      </w:pPr>
      <w:r w:rsidRPr="00EA3F1F">
        <w:rPr>
          <w:lang w:val="en-GB"/>
        </w:rPr>
        <w:t xml:space="preserve">Where these target values are not met the </w:t>
      </w:r>
      <w:r w:rsidR="005D012E" w:rsidRPr="00EA3F1F">
        <w:rPr>
          <w:lang w:val="en-GB"/>
        </w:rPr>
        <w:t>‘</w:t>
      </w:r>
      <w:r w:rsidRPr="00EA3F1F">
        <w:rPr>
          <w:lang w:val="en-GB"/>
        </w:rPr>
        <w:t>Mitigation Process</w:t>
      </w:r>
      <w:r w:rsidR="005D012E" w:rsidRPr="00EA3F1F">
        <w:rPr>
          <w:lang w:val="en-GB"/>
        </w:rPr>
        <w:t>’</w:t>
      </w:r>
      <w:r w:rsidRPr="00EA3F1F">
        <w:rPr>
          <w:lang w:val="en-GB"/>
        </w:rPr>
        <w:t xml:space="preserve"> </w:t>
      </w:r>
      <w:r w:rsidR="000B0602" w:rsidRPr="00EA3F1F">
        <w:rPr>
          <w:lang w:val="en-GB"/>
        </w:rPr>
        <w:t xml:space="preserve">(SOGL Article 138) </w:t>
      </w:r>
      <w:r w:rsidRPr="00EA3F1F">
        <w:rPr>
          <w:lang w:val="en-GB"/>
        </w:rPr>
        <w:t>will be triggered to consider causing factors and what if anything in the control structures and obligations on industry parties, including the SO, might need to change.</w:t>
      </w:r>
      <w:r w:rsidR="000B0602" w:rsidRPr="00EA3F1F">
        <w:rPr>
          <w:lang w:val="en-GB"/>
        </w:rPr>
        <w:t xml:space="preserve"> Any measures taken will also be published under SOGL Article 16(e).</w:t>
      </w:r>
    </w:p>
    <w:p w14:paraId="6C72E7AA" w14:textId="4F2AFD30" w:rsidR="00F60A8E" w:rsidRPr="00D00ABD" w:rsidRDefault="0051359E" w:rsidP="00AE7DC2">
      <w:pPr>
        <w:pStyle w:val="Heading2"/>
        <w:numPr>
          <w:ilvl w:val="1"/>
          <w:numId w:val="0"/>
        </w:numPr>
        <w:spacing w:before="240" w:after="120"/>
        <w:ind w:left="718" w:hanging="576"/>
        <w:jc w:val="both"/>
      </w:pPr>
      <w:bookmarkStart w:id="21" w:name="_Toc509435155"/>
      <w:bookmarkStart w:id="22" w:name="_Toc519422413"/>
      <w:r w:rsidRPr="00D00ABD">
        <w:t>SAOM</w:t>
      </w:r>
      <w:r w:rsidR="00AE7DC2" w:rsidRPr="00D00ABD">
        <w:t xml:space="preserve"> Article 6 - SOGL </w:t>
      </w:r>
      <w:r w:rsidR="00F60A8E" w:rsidRPr="00D00ABD">
        <w:t>Article 118(m)</w:t>
      </w:r>
      <w:bookmarkEnd w:id="21"/>
      <w:r w:rsidR="00AE7DC2" w:rsidRPr="00D00ABD">
        <w:t xml:space="preserve"> - </w:t>
      </w:r>
      <w:r w:rsidR="00F60A8E" w:rsidRPr="00D00ABD">
        <w:t xml:space="preserve">“for the GB </w:t>
      </w:r>
      <w:r w:rsidR="00CA7280" w:rsidRPr="00D00ABD">
        <w:t>s</w:t>
      </w:r>
      <w:r w:rsidR="00F60A8E" w:rsidRPr="00D00ABD">
        <w:t>ynchronous areas, measures to ensure the recovery of energy reservoirs in accordance with to Article 156(6)(b);”</w:t>
      </w:r>
      <w:bookmarkEnd w:id="22"/>
    </w:p>
    <w:p w14:paraId="0DBC1293" w14:textId="77777777" w:rsidR="00151973" w:rsidRPr="00EA3F1F" w:rsidRDefault="00C70F5C" w:rsidP="007B437F">
      <w:pPr>
        <w:pStyle w:val="Paragrapgh-numbered"/>
        <w:numPr>
          <w:ilvl w:val="0"/>
          <w:numId w:val="51"/>
        </w:numPr>
        <w:rPr>
          <w:lang w:val="en-GB"/>
        </w:rPr>
      </w:pPr>
      <w:r w:rsidRPr="00D00ABD">
        <w:rPr>
          <w:lang w:val="en-GB"/>
        </w:rPr>
        <w:t>The specific SOGL subject matter for this article is not crystal clear</w:t>
      </w:r>
      <w:r w:rsidR="00151973" w:rsidRPr="00D00ABD">
        <w:rPr>
          <w:lang w:val="en-GB"/>
        </w:rPr>
        <w:t xml:space="preserve"> and for this reason the ESO has sought to answer the points raised by SOGL article 118(m), 156(6) and 156(6)(b)</w:t>
      </w:r>
      <w:r w:rsidRPr="00D00ABD">
        <w:rPr>
          <w:lang w:val="en-GB"/>
        </w:rPr>
        <w:t>.</w:t>
      </w:r>
    </w:p>
    <w:p w14:paraId="0E042864" w14:textId="2FF2E969" w:rsidR="00151973" w:rsidRPr="00EA3F1F" w:rsidRDefault="00151973" w:rsidP="007B437F">
      <w:pPr>
        <w:pStyle w:val="Paragrapgh-numbered"/>
        <w:numPr>
          <w:ilvl w:val="1"/>
          <w:numId w:val="51"/>
        </w:numPr>
        <w:rPr>
          <w:lang w:val="en-GB"/>
        </w:rPr>
      </w:pPr>
      <w:r w:rsidRPr="00D00ABD">
        <w:rPr>
          <w:lang w:val="en-GB"/>
        </w:rPr>
        <w:t>SOGL article 156(6)(b) requires the SO to “exclude the FCR providing unit defining the reference incident… from the dimensioning process”.</w:t>
      </w:r>
      <w:r w:rsidR="007365AD" w:rsidRPr="00D00ABD">
        <w:rPr>
          <w:lang w:val="en-GB"/>
        </w:rPr>
        <w:t xml:space="preserve"> </w:t>
      </w:r>
      <w:r w:rsidRPr="00D00ABD">
        <w:rPr>
          <w:lang w:val="en-GB"/>
        </w:rPr>
        <w:t>Because the disconnection of this unit would cause the largest frequency loss, ensuring that there</w:t>
      </w:r>
      <w:r w:rsidR="007D0FA2" w:rsidRPr="00D00ABD">
        <w:rPr>
          <w:lang w:val="en-GB"/>
        </w:rPr>
        <w:t xml:space="preserve"> is</w:t>
      </w:r>
      <w:r w:rsidRPr="00D00ABD">
        <w:rPr>
          <w:lang w:val="en-GB"/>
        </w:rPr>
        <w:t xml:space="preserve"> sufficient capacity from Frequency Containment Reserve services </w:t>
      </w:r>
      <w:r w:rsidR="006D69B8" w:rsidRPr="00D00ABD">
        <w:rPr>
          <w:lang w:val="en-GB"/>
        </w:rPr>
        <w:t xml:space="preserve">such that the Frequency Containment Process, can contain endeavour to ensure that the electricity system frequency does not go outside the maximum instantaneous frequency deviation of </w:t>
      </w:r>
      <w:r w:rsidR="00740F15" w:rsidRPr="00D00ABD">
        <w:rPr>
          <w:lang w:val="en-GB"/>
        </w:rPr>
        <w:t>8</w:t>
      </w:r>
      <w:r w:rsidR="006D69B8" w:rsidRPr="00D00ABD">
        <w:rPr>
          <w:lang w:val="en-GB"/>
        </w:rPr>
        <w:t xml:space="preserve">00mHz. The requirement is for the unit to be excluded from the dimensioning process, and not for it to be excluded from FCR provision, so it can still be used during this period to cover frequency </w:t>
      </w:r>
      <w:r w:rsidR="007365AD" w:rsidRPr="00D00ABD">
        <w:rPr>
          <w:lang w:val="en-GB"/>
        </w:rPr>
        <w:t>deviations</w:t>
      </w:r>
      <w:r w:rsidR="006D69B8" w:rsidRPr="00D00ABD">
        <w:rPr>
          <w:lang w:val="en-GB"/>
        </w:rPr>
        <w:t xml:space="preserve"> caused by other contingencies.</w:t>
      </w:r>
    </w:p>
    <w:p w14:paraId="34AE5BFC" w14:textId="5253A8A1" w:rsidR="006D69B8" w:rsidRPr="00EA3F1F" w:rsidRDefault="006D69B8" w:rsidP="007B437F">
      <w:pPr>
        <w:pStyle w:val="Paragrapgh-numbered"/>
        <w:numPr>
          <w:ilvl w:val="1"/>
          <w:numId w:val="51"/>
        </w:numPr>
        <w:rPr>
          <w:lang w:val="en-GB"/>
        </w:rPr>
      </w:pPr>
      <w:r w:rsidRPr="00D00ABD">
        <w:rPr>
          <w:lang w:val="en-GB"/>
        </w:rPr>
        <w:t xml:space="preserve">Article 156(6) more generally, requires the ESO to ensure that the loss of an FCR providing unit does not endanger the system.  The loss of the FCR providing unit will in and of itself cause an energy imbalance in the system and result in the frequency to move, depending on whether this was providing infeed or offtake.  The other active FCR service providers will cover this contingency and contain the frequency. However, if the capacity and </w:t>
      </w:r>
      <w:r w:rsidR="007365AD" w:rsidRPr="00D00ABD">
        <w:rPr>
          <w:lang w:val="en-GB"/>
        </w:rPr>
        <w:t>overall technical characteristic of the remaining group of FCR service providers no longer meets the dimensioning requirements, the ESO will need to contact one or more other providers to actively make up the short-fall in FCR provision.  This corrective moves offline FCR capacity into an armed/active mode to meet the real-time dimensioning requirements of the system.</w:t>
      </w:r>
    </w:p>
    <w:p w14:paraId="6E790F83" w14:textId="099158BD" w:rsidR="007365AD" w:rsidRPr="00EA3F1F" w:rsidRDefault="007365AD" w:rsidP="007B437F">
      <w:pPr>
        <w:pStyle w:val="Paragrapgh-numbered"/>
        <w:numPr>
          <w:ilvl w:val="1"/>
          <w:numId w:val="51"/>
        </w:numPr>
        <w:rPr>
          <w:lang w:val="en-GB"/>
        </w:rPr>
      </w:pPr>
      <w:r w:rsidRPr="00D00ABD">
        <w:rPr>
          <w:lang w:val="en-GB"/>
        </w:rPr>
        <w:lastRenderedPageBreak/>
        <w:t>Article 118(m) considers the risk of there no longer being enough response capability from providers that have an active FCR service, but which have no remaining technical capability to deliver. Two examples</w:t>
      </w:r>
      <w:r w:rsidR="001B77E1" w:rsidRPr="00D00ABD">
        <w:rPr>
          <w:lang w:val="en-GB"/>
        </w:rPr>
        <w:t xml:space="preserve"> of providers running out of energy should they or the ESO not manage the state of charge would be conditions such as</w:t>
      </w:r>
      <w:r w:rsidRPr="00D00ABD">
        <w:rPr>
          <w:lang w:val="en-GB"/>
        </w:rPr>
        <w:t xml:space="preserve"> batteries that had run out of charge or hydro-stations with no more available water</w:t>
      </w:r>
      <w:r w:rsidR="002F12C0" w:rsidRPr="00D00ABD">
        <w:rPr>
          <w:lang w:val="en-GB"/>
        </w:rPr>
        <w:t>.  Within the SOGL the ability to back up service provision for a period of time is described in terms of the ‘energy reservoir’.</w:t>
      </w:r>
      <w:r w:rsidR="00487AC6" w:rsidRPr="00D00ABD">
        <w:rPr>
          <w:lang w:val="en-GB"/>
        </w:rPr>
        <w:t xml:space="preserve">  In some industry texts this is also described as ‘state of charge management’, especially in the context of batteries.</w:t>
      </w:r>
    </w:p>
    <w:p w14:paraId="751D5FCD" w14:textId="77777777" w:rsidR="00067A7E" w:rsidRDefault="002F12C0" w:rsidP="007B437F">
      <w:pPr>
        <w:pStyle w:val="Paragrapgh-numbered"/>
        <w:numPr>
          <w:ilvl w:val="2"/>
          <w:numId w:val="51"/>
        </w:numPr>
        <w:rPr>
          <w:lang w:val="en-GB"/>
        </w:rPr>
      </w:pPr>
      <w:r w:rsidRPr="00D00ABD">
        <w:rPr>
          <w:lang w:val="en-GB"/>
        </w:rPr>
        <w:t>In GB these energy reservoirs are managed by the service provider</w:t>
      </w:r>
      <w:r w:rsidR="0018599B" w:rsidRPr="00D00ABD">
        <w:rPr>
          <w:lang w:val="en-GB"/>
        </w:rPr>
        <w:t>s</w:t>
      </w:r>
      <w:r w:rsidRPr="00D00ABD">
        <w:rPr>
          <w:lang w:val="en-GB"/>
        </w:rPr>
        <w:t>.</w:t>
      </w:r>
      <w:r w:rsidR="00487AC6" w:rsidRPr="00D00ABD">
        <w:rPr>
          <w:lang w:val="en-GB"/>
        </w:rPr>
        <w:t xml:space="preserve">  Service providers </w:t>
      </w:r>
      <w:r w:rsidR="00B15F55" w:rsidRPr="00D00ABD">
        <w:rPr>
          <w:lang w:val="en-GB"/>
        </w:rPr>
        <w:t xml:space="preserve">must </w:t>
      </w:r>
      <w:r w:rsidR="00487AC6" w:rsidRPr="00D00ABD">
        <w:rPr>
          <w:lang w:val="en-GB"/>
        </w:rPr>
        <w:t xml:space="preserve">factor </w:t>
      </w:r>
      <w:r w:rsidR="00B15F55" w:rsidRPr="00D00ABD">
        <w:rPr>
          <w:lang w:val="en-GB"/>
        </w:rPr>
        <w:t xml:space="preserve">limitations such as limited energy reserves </w:t>
      </w:r>
      <w:r w:rsidR="00487AC6" w:rsidRPr="00D00ABD">
        <w:rPr>
          <w:lang w:val="en-GB"/>
        </w:rPr>
        <w:t>into their service offering to the ESO.</w:t>
      </w:r>
      <w:r w:rsidR="00295441">
        <w:rPr>
          <w:lang w:val="en-GB"/>
        </w:rPr>
        <w:t xml:space="preserve">  </w:t>
      </w:r>
    </w:p>
    <w:p w14:paraId="606B97E4" w14:textId="7BCFEBAA" w:rsidR="002F12C0" w:rsidRPr="00EA3F1F" w:rsidRDefault="00067A7E" w:rsidP="00EA3F1F">
      <w:pPr>
        <w:pStyle w:val="Paragrapgh-numbered"/>
        <w:numPr>
          <w:ilvl w:val="3"/>
          <w:numId w:val="51"/>
        </w:numPr>
        <w:rPr>
          <w:lang w:val="en-GB"/>
        </w:rPr>
      </w:pPr>
      <w:r w:rsidRPr="00EA3F1F">
        <w:rPr>
          <w:lang w:val="en-GB"/>
        </w:rPr>
        <w:t xml:space="preserve">For Grid users/plant covered by </w:t>
      </w:r>
      <w:r w:rsidRPr="00660E65">
        <w:rPr>
          <w:lang w:val="en-GB"/>
        </w:rPr>
        <w:t xml:space="preserve">Grid Code </w:t>
      </w:r>
      <w:r w:rsidRPr="00EA3F1F">
        <w:rPr>
          <w:lang w:val="en-GB"/>
        </w:rPr>
        <w:t xml:space="preserve">CC.A.3.1 then </w:t>
      </w:r>
      <w:r w:rsidR="00295441" w:rsidRPr="00EA3F1F">
        <w:rPr>
          <w:lang w:val="en-GB"/>
        </w:rPr>
        <w:t>CC.A.3.5 states</w:t>
      </w:r>
      <w:r>
        <w:rPr>
          <w:lang w:val="en-GB"/>
        </w:rPr>
        <w:t xml:space="preserve"> -</w:t>
      </w:r>
      <w:r w:rsidR="00295441" w:rsidRPr="00EA3F1F">
        <w:rPr>
          <w:lang w:val="en-GB"/>
        </w:rPr>
        <w:t xml:space="preserve"> </w:t>
      </w:r>
      <w:r w:rsidRPr="009B6FE2">
        <w:rPr>
          <w:color w:val="4F81BD" w:themeColor="accent1"/>
          <w:lang w:val="en-GB"/>
        </w:rPr>
        <w:t>“When a Generating Unit or CCGT Module or Power Park Module or DC Converter has responded to a significant Frequency disturbance, its response capability must be fully restored as soon as technically possible. Full response capability should be restored no later than 20 minutes after the initial change of System Frequency arising from the Frequency disturbance”.</w:t>
      </w:r>
      <w:r w:rsidR="006F2AAD" w:rsidRPr="009B6FE2">
        <w:rPr>
          <w:color w:val="4F81BD" w:themeColor="accent1"/>
          <w:lang w:val="en-GB"/>
        </w:rPr>
        <w:t xml:space="preserve"> </w:t>
      </w:r>
      <w:r w:rsidR="006F2AAD">
        <w:rPr>
          <w:lang w:val="en-GB"/>
        </w:rPr>
        <w:t>[Quote from Grid Code, Issue 5, revision 22].</w:t>
      </w:r>
    </w:p>
    <w:p w14:paraId="6C72E7AC" w14:textId="4A7D06B8" w:rsidR="00F60A8E" w:rsidRPr="00D00ABD" w:rsidRDefault="00F60A8E" w:rsidP="007B437F">
      <w:pPr>
        <w:pStyle w:val="Paragrapgh-numbered"/>
        <w:numPr>
          <w:ilvl w:val="2"/>
          <w:numId w:val="51"/>
        </w:numPr>
        <w:rPr>
          <w:lang w:val="en-GB"/>
        </w:rPr>
      </w:pPr>
      <w:r w:rsidRPr="00D00ABD">
        <w:rPr>
          <w:lang w:val="en-GB"/>
        </w:rPr>
        <w:t xml:space="preserve">For new services and changes to existing services, </w:t>
      </w:r>
      <w:r w:rsidR="00D32DD5" w:rsidRPr="00D00ABD">
        <w:rPr>
          <w:lang w:val="en-GB"/>
        </w:rPr>
        <w:t>the ESO</w:t>
      </w:r>
      <w:r w:rsidRPr="00D00ABD">
        <w:rPr>
          <w:lang w:val="en-GB"/>
        </w:rPr>
        <w:t xml:space="preserve"> works with the industry to ensure that service design allows for the service provider to manage energy reservoirs and so minimise the risk of depletion.</w:t>
      </w:r>
      <w:r w:rsidR="004C519D" w:rsidRPr="00D00ABD">
        <w:rPr>
          <w:lang w:val="en-GB"/>
        </w:rPr>
        <w:t xml:space="preserve"> </w:t>
      </w:r>
      <w:r w:rsidRPr="00D00ABD">
        <w:rPr>
          <w:lang w:val="en-GB"/>
        </w:rPr>
        <w:t>In unforeseen circumstances a provider would communicate a depletion of the service to us.</w:t>
      </w:r>
      <w:r w:rsidR="004C519D" w:rsidRPr="00D00ABD">
        <w:rPr>
          <w:lang w:val="en-GB"/>
        </w:rPr>
        <w:t xml:space="preserve"> </w:t>
      </w:r>
      <w:r w:rsidR="00D32DD5" w:rsidRPr="00D00ABD">
        <w:rPr>
          <w:lang w:val="en-GB"/>
        </w:rPr>
        <w:t>The ESO</w:t>
      </w:r>
      <w:r w:rsidRPr="00D00ABD">
        <w:rPr>
          <w:lang w:val="en-GB"/>
        </w:rPr>
        <w:t xml:space="preserve"> will replace the depleted service with an equivalent while the energy reservoir is in recovery.</w:t>
      </w:r>
    </w:p>
    <w:p w14:paraId="6C72E7AD" w14:textId="39778A93" w:rsidR="00F60A8E" w:rsidRPr="00D00ABD" w:rsidRDefault="00F60A8E" w:rsidP="007B437F">
      <w:pPr>
        <w:pStyle w:val="Paragrapgh-numbered"/>
        <w:numPr>
          <w:ilvl w:val="2"/>
          <w:numId w:val="51"/>
        </w:numPr>
        <w:rPr>
          <w:lang w:val="en-GB"/>
        </w:rPr>
      </w:pPr>
      <w:r w:rsidRPr="00D00ABD">
        <w:rPr>
          <w:lang w:val="en-GB"/>
        </w:rPr>
        <w:t xml:space="preserve">In procuring against </w:t>
      </w:r>
      <w:r w:rsidR="002F12C0" w:rsidRPr="00D00ABD">
        <w:rPr>
          <w:lang w:val="en-GB"/>
        </w:rPr>
        <w:t>the GB</w:t>
      </w:r>
      <w:r w:rsidR="00487AC6" w:rsidRPr="00D00ABD">
        <w:rPr>
          <w:lang w:val="en-GB"/>
        </w:rPr>
        <w:t xml:space="preserve"> dimensioning </w:t>
      </w:r>
      <w:r w:rsidRPr="00D00ABD">
        <w:rPr>
          <w:lang w:val="en-GB"/>
        </w:rPr>
        <w:t>requirement</w:t>
      </w:r>
      <w:r w:rsidR="002F12C0" w:rsidRPr="00D00ABD">
        <w:rPr>
          <w:lang w:val="en-GB"/>
        </w:rPr>
        <w:t>s for FCR services,</w:t>
      </w:r>
      <w:r w:rsidRPr="00D00ABD">
        <w:rPr>
          <w:lang w:val="en-GB"/>
        </w:rPr>
        <w:t xml:space="preserve"> </w:t>
      </w:r>
      <w:r w:rsidR="002F12C0" w:rsidRPr="00D00ABD">
        <w:rPr>
          <w:lang w:val="en-GB"/>
        </w:rPr>
        <w:t>t</w:t>
      </w:r>
      <w:r w:rsidR="00D32DD5" w:rsidRPr="00D00ABD">
        <w:rPr>
          <w:lang w:val="en-GB"/>
        </w:rPr>
        <w:t>he ESO</w:t>
      </w:r>
      <w:r w:rsidRPr="00D00ABD">
        <w:rPr>
          <w:lang w:val="en-GB"/>
        </w:rPr>
        <w:t xml:space="preserve"> takes into account the potential unavailability, caused by factors such as breakdown or depletion of energy reservoirs, to ensure there is sufficient FCR to ensure operational security.</w:t>
      </w:r>
      <w:r w:rsidR="004C519D" w:rsidRPr="00D00ABD">
        <w:rPr>
          <w:lang w:val="en-GB"/>
        </w:rPr>
        <w:t xml:space="preserve"> </w:t>
      </w:r>
      <w:r w:rsidRPr="00D00ABD">
        <w:rPr>
          <w:lang w:val="en-GB"/>
        </w:rPr>
        <w:t xml:space="preserve"> </w:t>
      </w:r>
    </w:p>
    <w:p w14:paraId="706E6780" w14:textId="3A0BF90D" w:rsidR="00D765AB" w:rsidRPr="00D00ABD" w:rsidRDefault="0051359E" w:rsidP="002F12C0">
      <w:pPr>
        <w:pStyle w:val="Heading2"/>
        <w:numPr>
          <w:ilvl w:val="1"/>
          <w:numId w:val="0"/>
        </w:numPr>
        <w:spacing w:before="240" w:after="120"/>
        <w:ind w:hanging="9"/>
        <w:jc w:val="both"/>
      </w:pPr>
      <w:bookmarkStart w:id="23" w:name="_Toc519422414"/>
      <w:bookmarkStart w:id="24" w:name="_Toc509435157"/>
      <w:r w:rsidRPr="00D00ABD">
        <w:t>SAOM</w:t>
      </w:r>
      <w:r w:rsidR="00D765AB" w:rsidRPr="00D00ABD">
        <w:t xml:space="preserve"> Article 7 – for the CE and Nordic synchronous areas, the minimum activation period to be ensured by FCR providers in accordance with Article 156(10);</w:t>
      </w:r>
      <w:bookmarkEnd w:id="23"/>
    </w:p>
    <w:p w14:paraId="635AD90B" w14:textId="2E812050" w:rsidR="00D765AB" w:rsidRPr="00EA3F1F" w:rsidRDefault="00D765AB" w:rsidP="00EA3F1F">
      <w:pPr>
        <w:pStyle w:val="Paragrapgh-numbered"/>
        <w:numPr>
          <w:ilvl w:val="0"/>
          <w:numId w:val="55"/>
        </w:numPr>
        <w:rPr>
          <w:lang w:val="en-GB"/>
        </w:rPr>
      </w:pPr>
      <w:r w:rsidRPr="00D00ABD">
        <w:rPr>
          <w:lang w:val="en-GB"/>
        </w:rPr>
        <w:t>This article is not applicable to</w:t>
      </w:r>
      <w:r w:rsidR="007D0FA2" w:rsidRPr="00D00ABD">
        <w:rPr>
          <w:lang w:val="en-GB"/>
        </w:rPr>
        <w:t xml:space="preserve"> the GB SAOM defining no requirements for the GB synchronous area.</w:t>
      </w:r>
      <w:r w:rsidR="00881D87" w:rsidRPr="00EA3F1F">
        <w:rPr>
          <w:color w:val="FF0000"/>
          <w:lang w:val="en-GB"/>
        </w:rPr>
        <w:t xml:space="preserve"> </w:t>
      </w:r>
    </w:p>
    <w:p w14:paraId="607D4180" w14:textId="77777777" w:rsidR="00B15F55" w:rsidRPr="00EA3F1F" w:rsidRDefault="00B15F55" w:rsidP="00EA3F1F">
      <w:pPr>
        <w:pStyle w:val="Paragrapgh-numbered"/>
        <w:numPr>
          <w:ilvl w:val="0"/>
          <w:numId w:val="0"/>
        </w:numPr>
        <w:ind w:left="720"/>
        <w:rPr>
          <w:lang w:val="en-GB"/>
        </w:rPr>
      </w:pPr>
    </w:p>
    <w:p w14:paraId="70367938" w14:textId="2AC15C01" w:rsidR="00D765AB" w:rsidRPr="00D00ABD" w:rsidRDefault="0051359E" w:rsidP="00DE04A7">
      <w:r w:rsidRPr="00D00ABD">
        <w:rPr>
          <w:rFonts w:ascii="Times New Roman" w:eastAsiaTheme="majorEastAsia" w:hAnsi="Times New Roman" w:cstheme="majorBidi"/>
          <w:b/>
          <w:bCs/>
          <w:color w:val="1F497D" w:themeColor="text2"/>
          <w:sz w:val="24"/>
          <w:szCs w:val="26"/>
        </w:rPr>
        <w:t>SAOM</w:t>
      </w:r>
      <w:r w:rsidR="00D765AB" w:rsidRPr="00D00ABD">
        <w:rPr>
          <w:rFonts w:ascii="Times New Roman" w:eastAsiaTheme="majorEastAsia" w:hAnsi="Times New Roman" w:cstheme="majorBidi"/>
          <w:b/>
          <w:bCs/>
          <w:color w:val="1F497D" w:themeColor="text2"/>
          <w:sz w:val="24"/>
          <w:szCs w:val="26"/>
        </w:rPr>
        <w:t xml:space="preserve"> Article 8 – for the CE and Nordic synchronous areas, the assumptions and methodology for a cost-benefit analysis in accordance with Article 156(11);</w:t>
      </w:r>
    </w:p>
    <w:p w14:paraId="4E914321" w14:textId="1D7F6DEF" w:rsidR="007D0FA2" w:rsidRPr="00D00ABD" w:rsidRDefault="007D0FA2" w:rsidP="007D0FA2">
      <w:pPr>
        <w:pStyle w:val="Paragrapgh-numbered"/>
        <w:numPr>
          <w:ilvl w:val="0"/>
          <w:numId w:val="57"/>
        </w:numPr>
        <w:rPr>
          <w:lang w:val="en-GB"/>
        </w:rPr>
      </w:pPr>
      <w:r w:rsidRPr="00D00ABD">
        <w:rPr>
          <w:lang w:val="en-GB"/>
        </w:rPr>
        <w:t>This article is not applicable to the GB SAOM defining no requirements for the GB synchronous area.</w:t>
      </w:r>
    </w:p>
    <w:p w14:paraId="1B325DD3" w14:textId="7662D972" w:rsidR="00B15F55" w:rsidRPr="00D00ABD" w:rsidRDefault="00B15F55" w:rsidP="00EA3F1F">
      <w:pPr>
        <w:pStyle w:val="Paragrapgh-numbered"/>
        <w:numPr>
          <w:ilvl w:val="0"/>
          <w:numId w:val="0"/>
        </w:numPr>
        <w:ind w:left="360"/>
        <w:rPr>
          <w:lang w:val="en-GB"/>
        </w:rPr>
      </w:pPr>
    </w:p>
    <w:p w14:paraId="6C72E7AE" w14:textId="493CDD5B" w:rsidR="00AE7DC2" w:rsidRPr="00D00ABD" w:rsidRDefault="0051359E" w:rsidP="002F12C0">
      <w:pPr>
        <w:pStyle w:val="Heading2"/>
        <w:numPr>
          <w:ilvl w:val="1"/>
          <w:numId w:val="0"/>
        </w:numPr>
        <w:spacing w:before="240" w:after="120"/>
        <w:ind w:hanging="9"/>
        <w:jc w:val="both"/>
      </w:pPr>
      <w:bookmarkStart w:id="25" w:name="_Toc519422415"/>
      <w:r w:rsidRPr="00D00ABD">
        <w:lastRenderedPageBreak/>
        <w:t>SAOM</w:t>
      </w:r>
      <w:r w:rsidR="00AE7DC2" w:rsidRPr="00D00ABD">
        <w:t xml:space="preserve"> Article </w:t>
      </w:r>
      <w:r w:rsidR="00D765AB" w:rsidRPr="00D00ABD">
        <w:t>9</w:t>
      </w:r>
      <w:r w:rsidR="00AE7DC2" w:rsidRPr="00D00ABD">
        <w:t xml:space="preserve"> – SOGL Article 118(t) – “if applicable, for synchronous areas other than CE, limits for the exchange of FCR between the TSOs </w:t>
      </w:r>
      <w:r w:rsidR="008D5AA7" w:rsidRPr="00D00ABD">
        <w:t xml:space="preserve">within the same synchronous area </w:t>
      </w:r>
      <w:r w:rsidR="00AE7DC2" w:rsidRPr="00D00ABD">
        <w:t xml:space="preserve">in accordance with </w:t>
      </w:r>
      <w:r w:rsidR="002F12C0" w:rsidRPr="00D00ABD">
        <w:t xml:space="preserve">SOGL </w:t>
      </w:r>
      <w:r w:rsidR="00AE7DC2" w:rsidRPr="00D00ABD">
        <w:t>Article 163(2);”</w:t>
      </w:r>
      <w:bookmarkEnd w:id="25"/>
    </w:p>
    <w:p w14:paraId="2D73816B" w14:textId="2BBCB8CF" w:rsidR="008D5AA7" w:rsidRPr="00EA3F1F" w:rsidRDefault="008D5AA7" w:rsidP="008D5AA7">
      <w:pPr>
        <w:pStyle w:val="Paragrapgh-numbered"/>
        <w:numPr>
          <w:ilvl w:val="0"/>
          <w:numId w:val="56"/>
        </w:numPr>
        <w:rPr>
          <w:lang w:val="en-GB"/>
        </w:rPr>
      </w:pPr>
      <w:r w:rsidRPr="00EA3F1F">
        <w:rPr>
          <w:lang w:val="en-GB"/>
        </w:rPr>
        <w:t xml:space="preserve">Since there is a single GB ESO, there are by definition no other control areas and no other operators with which to setup exchange FCR with.  </w:t>
      </w:r>
    </w:p>
    <w:p w14:paraId="6C72E7AF" w14:textId="18065163" w:rsidR="001538D8" w:rsidRPr="00EA3F1F" w:rsidRDefault="001538D8" w:rsidP="00EA3F1F">
      <w:pPr>
        <w:pStyle w:val="Paragrapgh-numbered"/>
        <w:numPr>
          <w:ilvl w:val="1"/>
          <w:numId w:val="56"/>
        </w:numPr>
        <w:rPr>
          <w:lang w:val="en-GB"/>
        </w:rPr>
      </w:pPr>
      <w:r w:rsidRPr="00EA3F1F">
        <w:rPr>
          <w:lang w:val="en-GB"/>
        </w:rPr>
        <w:t xml:space="preserve">This </w:t>
      </w:r>
      <w:r w:rsidR="000222DE" w:rsidRPr="00EA3F1F">
        <w:rPr>
          <w:lang w:val="en-GB"/>
        </w:rPr>
        <w:t>Article</w:t>
      </w:r>
      <w:r w:rsidRPr="00EA3F1F">
        <w:rPr>
          <w:lang w:val="en-GB"/>
        </w:rPr>
        <w:t xml:space="preserve"> does not apply in GB because of the LFC Block structure where there is a single TSO with the responsibility of being the GB electricity system operator for a single LFC Area that is contiguous with the LFC Block and Synchronous Area.</w:t>
      </w:r>
    </w:p>
    <w:p w14:paraId="231C2C93" w14:textId="5FBB106E" w:rsidR="002D2CCF" w:rsidRPr="00EA3F1F" w:rsidRDefault="001D1595" w:rsidP="00EA3F1F">
      <w:pPr>
        <w:pStyle w:val="Paragrapgh-numbered"/>
        <w:numPr>
          <w:ilvl w:val="1"/>
          <w:numId w:val="8"/>
        </w:numPr>
        <w:rPr>
          <w:lang w:val="en-GB"/>
        </w:rPr>
      </w:pPr>
      <w:r w:rsidRPr="00EA3F1F">
        <w:rPr>
          <w:lang w:val="en-GB"/>
        </w:rPr>
        <w:t xml:space="preserve">The complexity in the structure of the SOGL code with regards separation of aspects to the ESO roles for vertical and horizontal coordination is required to cater for continental European operations. This is </w:t>
      </w:r>
      <w:r w:rsidR="002D2CCF" w:rsidRPr="00EA3F1F">
        <w:rPr>
          <w:lang w:val="en-GB"/>
        </w:rPr>
        <w:t>explained in the</w:t>
      </w:r>
      <w:r w:rsidRPr="00EA3F1F">
        <w:rPr>
          <w:lang w:val="en-GB"/>
        </w:rPr>
        <w:t xml:space="preserve"> separate methodology for the </w:t>
      </w:r>
      <w:r w:rsidR="002D2CCF" w:rsidRPr="00EA3F1F">
        <w:rPr>
          <w:lang w:val="en-GB"/>
        </w:rPr>
        <w:t>“Determination of LFC Blocks for the synchronous area, GB”, to allow for the complex coordination effort required between system operators of the Continental Europe and Nordic areas, responsibilities are spread across geographical regions and in hierarchical structures using the terminologies of LFC Area, LFC Block and Synchronous Area.  Within GB however all structures are concurrent.  There is a single ESO responsible for all operational security decision functions arising from the SOGL and from GB industry codes.</w:t>
      </w:r>
    </w:p>
    <w:p w14:paraId="26724340" w14:textId="5073375F" w:rsidR="001D1595" w:rsidRPr="00EA3F1F" w:rsidRDefault="001D1595" w:rsidP="00EA3F1F">
      <w:pPr>
        <w:pStyle w:val="Paragrapgh-numbered"/>
        <w:numPr>
          <w:ilvl w:val="1"/>
          <w:numId w:val="8"/>
        </w:numPr>
        <w:rPr>
          <w:lang w:val="en-GB"/>
        </w:rPr>
      </w:pPr>
      <w:r w:rsidRPr="00EA3F1F">
        <w:rPr>
          <w:lang w:val="en-GB"/>
        </w:rPr>
        <w:t>GB does exchange FCR with other LFC Blocks of other Synchronous Areas and security limits do apply to that activity; but this is not the scope and subject of this Article and hence not included here.</w:t>
      </w:r>
    </w:p>
    <w:p w14:paraId="225DB2E8" w14:textId="1FBE7A4C" w:rsidR="00151098" w:rsidRPr="00D00ABD" w:rsidRDefault="0051359E" w:rsidP="00DE04A7">
      <w:pPr>
        <w:pStyle w:val="Heading2"/>
        <w:spacing w:line="240" w:lineRule="auto"/>
        <w:ind w:left="11"/>
      </w:pPr>
      <w:bookmarkStart w:id="26" w:name="_Toc519422416"/>
      <w:bookmarkEnd w:id="24"/>
      <w:r w:rsidRPr="00D00ABD">
        <w:t>SAOM</w:t>
      </w:r>
      <w:r w:rsidR="00151098" w:rsidRPr="00D00ABD">
        <w:t xml:space="preserve"> Article 10 - SOGL Article 118 (y)</w:t>
      </w:r>
      <w:r w:rsidR="004C519D" w:rsidRPr="00D00ABD">
        <w:t xml:space="preserve"> </w:t>
      </w:r>
      <w:r w:rsidR="00151098" w:rsidRPr="00D00ABD">
        <w:t>for</w:t>
      </w:r>
      <w:r w:rsidR="004C519D" w:rsidRPr="00D00ABD">
        <w:t xml:space="preserve"> </w:t>
      </w:r>
      <w:r w:rsidR="00151098" w:rsidRPr="00D00ABD">
        <w:t>the</w:t>
      </w:r>
      <w:r w:rsidR="004C519D" w:rsidRPr="00D00ABD">
        <w:t xml:space="preserve"> </w:t>
      </w:r>
      <w:r w:rsidR="00151098" w:rsidRPr="00D00ABD">
        <w:t>GB</w:t>
      </w:r>
      <w:r w:rsidR="004C519D" w:rsidRPr="00D00ABD">
        <w:t xml:space="preserve"> </w:t>
      </w:r>
      <w:r w:rsidR="00151098" w:rsidRPr="00D00ABD">
        <w:t>synchronous</w:t>
      </w:r>
      <w:r w:rsidR="004C519D" w:rsidRPr="00D00ABD">
        <w:t xml:space="preserve"> </w:t>
      </w:r>
      <w:r w:rsidR="00151098" w:rsidRPr="00D00ABD">
        <w:t>areas,</w:t>
      </w:r>
      <w:r w:rsidR="004C519D" w:rsidRPr="00D00ABD">
        <w:t xml:space="preserve"> </w:t>
      </w:r>
      <w:r w:rsidR="00151098" w:rsidRPr="00D00ABD">
        <w:t>the</w:t>
      </w:r>
      <w:r w:rsidR="004C519D" w:rsidRPr="00D00ABD">
        <w:t xml:space="preserve"> </w:t>
      </w:r>
      <w:r w:rsidR="00151098" w:rsidRPr="00D00ABD">
        <w:t>methodology</w:t>
      </w:r>
      <w:r w:rsidR="004C519D" w:rsidRPr="00D00ABD">
        <w:t xml:space="preserve"> </w:t>
      </w:r>
      <w:r w:rsidR="00151098" w:rsidRPr="00D00ABD">
        <w:t>to</w:t>
      </w:r>
      <w:r w:rsidR="004C519D" w:rsidRPr="00D00ABD">
        <w:t xml:space="preserve"> </w:t>
      </w:r>
      <w:r w:rsidR="00151098" w:rsidRPr="00D00ABD">
        <w:t>determine</w:t>
      </w:r>
      <w:r w:rsidR="004C519D" w:rsidRPr="00D00ABD">
        <w:t xml:space="preserve"> </w:t>
      </w:r>
      <w:r w:rsidR="00151098" w:rsidRPr="00D00ABD">
        <w:t>the minimum</w:t>
      </w:r>
      <w:r w:rsidR="004C519D" w:rsidRPr="00D00ABD">
        <w:t xml:space="preserve"> </w:t>
      </w:r>
      <w:r w:rsidR="00151098" w:rsidRPr="00D00ABD">
        <w:t>provision</w:t>
      </w:r>
      <w:r w:rsidR="004C519D" w:rsidRPr="00D00ABD">
        <w:t xml:space="preserve"> </w:t>
      </w:r>
      <w:r w:rsidR="00151098" w:rsidRPr="00D00ABD">
        <w:t>of</w:t>
      </w:r>
      <w:r w:rsidR="004C519D" w:rsidRPr="00D00ABD">
        <w:t xml:space="preserve"> </w:t>
      </w:r>
      <w:r w:rsidR="00151098" w:rsidRPr="00D00ABD">
        <w:t>reserve</w:t>
      </w:r>
      <w:r w:rsidR="004C519D" w:rsidRPr="00D00ABD">
        <w:t xml:space="preserve"> </w:t>
      </w:r>
      <w:r w:rsidR="00151098" w:rsidRPr="00D00ABD">
        <w:t>capacity</w:t>
      </w:r>
      <w:r w:rsidR="004C519D" w:rsidRPr="00D00ABD">
        <w:t xml:space="preserve"> </w:t>
      </w:r>
      <w:r w:rsidR="007D0FA2" w:rsidRPr="00D00ABD">
        <w:t xml:space="preserve">[within the GB synchronous area] </w:t>
      </w:r>
      <w:r w:rsidR="00151098" w:rsidRPr="00D00ABD">
        <w:t>on</w:t>
      </w:r>
      <w:r w:rsidR="004C519D" w:rsidRPr="00D00ABD">
        <w:t xml:space="preserve"> </w:t>
      </w:r>
      <w:r w:rsidR="00151098" w:rsidRPr="00D00ABD">
        <w:t>FCR</w:t>
      </w:r>
      <w:r w:rsidR="004C519D" w:rsidRPr="00D00ABD">
        <w:t xml:space="preserve"> </w:t>
      </w:r>
      <w:r w:rsidR="00151098" w:rsidRPr="00D00ABD">
        <w:t>in</w:t>
      </w:r>
      <w:r w:rsidR="004C519D" w:rsidRPr="00D00ABD">
        <w:t xml:space="preserve"> </w:t>
      </w:r>
      <w:r w:rsidR="00151098" w:rsidRPr="00D00ABD">
        <w:t>accordance</w:t>
      </w:r>
      <w:r w:rsidR="004C519D" w:rsidRPr="00D00ABD">
        <w:t xml:space="preserve"> </w:t>
      </w:r>
      <w:r w:rsidR="00151098" w:rsidRPr="00D00ABD">
        <w:t>with</w:t>
      </w:r>
      <w:r w:rsidR="004C519D" w:rsidRPr="00D00ABD">
        <w:t xml:space="preserve"> </w:t>
      </w:r>
      <w:r w:rsidR="002F12C0" w:rsidRPr="00D00ABD">
        <w:t xml:space="preserve">SOGL </w:t>
      </w:r>
      <w:r w:rsidR="00151098" w:rsidRPr="00D00ABD">
        <w:t>Article 174(2)(b);</w:t>
      </w:r>
      <w:bookmarkEnd w:id="26"/>
    </w:p>
    <w:p w14:paraId="45DFB23D" w14:textId="77777777" w:rsidR="002867DA" w:rsidRPr="00946F21" w:rsidRDefault="002867DA" w:rsidP="00EA3F1F"/>
    <w:p w14:paraId="4B09C1B0" w14:textId="3ED9ACB6" w:rsidR="00D00ABD" w:rsidRPr="00EA3F1F" w:rsidRDefault="00D00ABD" w:rsidP="00EA3F1F">
      <w:pPr>
        <w:pStyle w:val="Paragrapgh-numbered"/>
        <w:numPr>
          <w:ilvl w:val="0"/>
          <w:numId w:val="58"/>
        </w:numPr>
        <w:rPr>
          <w:lang w:val="en-GB"/>
        </w:rPr>
      </w:pPr>
      <w:r w:rsidRPr="00EA3F1F">
        <w:rPr>
          <w:lang w:val="en-GB"/>
        </w:rPr>
        <w:t>Article 174(2) requires the ESO (the single operator TSO in GB) to have method or approach that ensures that it does not overly rely on ‘shared’ or ‘exchanged’ FCR provision from other synchronous areas.  Equipment failures that might interrupt delivery; infrequent but hypothetical simultaneous need for the same reserve capacity to be activated in both areas (should the system operators of either area reduce the local holding substantially due to sharing); utilization of GB FCR to help correct a frequency deviation will under sharing reduce the response technical capability of the total reserves to manage a GB issue. The GB ESO evaluated each of these issues in determining the scale of service that it is appropriate to share/exchange and hence how much capacity must be provided from within GB.</w:t>
      </w:r>
    </w:p>
    <w:p w14:paraId="6CA3B224" w14:textId="3BBAD05C" w:rsidR="00D00ABD" w:rsidRPr="00EA3F1F" w:rsidRDefault="00D00ABD" w:rsidP="00EA3F1F">
      <w:pPr>
        <w:pStyle w:val="Paragrapgh-numbered"/>
        <w:numPr>
          <w:ilvl w:val="0"/>
          <w:numId w:val="58"/>
        </w:numPr>
        <w:rPr>
          <w:lang w:val="en-GB"/>
        </w:rPr>
      </w:pPr>
      <w:r w:rsidRPr="00EA3F1F">
        <w:rPr>
          <w:lang w:val="en-GB"/>
        </w:rPr>
        <w:t>The security principles required from SOGL relating to determining the secure limits to sharing and exchange and GB reserve/response holding are not different from current practice derived from GB industry codes.  The SO must consider the availability and reliability of the provider and impact of its other operational activities on the effectiveness of delivery and in the ESO being able to meet the frequency standards. The SAOM thus describes both current practice and how this meets the SOGL requirements.</w:t>
      </w:r>
    </w:p>
    <w:p w14:paraId="553BDE3F" w14:textId="0DC6431B" w:rsidR="007C4B18" w:rsidRPr="00D00ABD" w:rsidRDefault="00D00ABD" w:rsidP="00EA3F1F">
      <w:pPr>
        <w:pStyle w:val="Paragrapgh-numbered"/>
        <w:numPr>
          <w:ilvl w:val="0"/>
          <w:numId w:val="58"/>
        </w:numPr>
        <w:rPr>
          <w:lang w:val="en-GB"/>
        </w:rPr>
      </w:pPr>
      <w:r w:rsidRPr="00D00ABD">
        <w:t>T</w:t>
      </w:r>
      <w:r w:rsidRPr="00D00ABD">
        <w:rPr>
          <w:lang w:val="en-GB"/>
        </w:rPr>
        <w:t>he referenced SOGL A</w:t>
      </w:r>
      <w:r w:rsidR="00CA14BB" w:rsidRPr="00D00ABD">
        <w:rPr>
          <w:lang w:val="en-GB"/>
        </w:rPr>
        <w:t xml:space="preserve">rticle asks us to specify a value or rule for determining the minimum amount of FCR that </w:t>
      </w:r>
      <w:r w:rsidR="007C4B18" w:rsidRPr="00D00ABD">
        <w:rPr>
          <w:lang w:val="en-GB"/>
        </w:rPr>
        <w:t>must</w:t>
      </w:r>
      <w:r w:rsidR="00CA14BB" w:rsidRPr="00D00ABD">
        <w:rPr>
          <w:lang w:val="en-GB"/>
        </w:rPr>
        <w:t xml:space="preserve"> be provided </w:t>
      </w:r>
      <w:r w:rsidR="007C4B18" w:rsidRPr="00D00ABD">
        <w:rPr>
          <w:lang w:val="en-GB"/>
        </w:rPr>
        <w:t xml:space="preserve">from within the Synchronous Area for security </w:t>
      </w:r>
      <w:r w:rsidR="007C4B18" w:rsidRPr="00D00ABD">
        <w:rPr>
          <w:lang w:val="en-GB"/>
        </w:rPr>
        <w:lastRenderedPageBreak/>
        <w:t>standards to be met for secure and reliable delivery of the Frequency Containment Process within GB.</w:t>
      </w:r>
    </w:p>
    <w:p w14:paraId="7E3FB9F8" w14:textId="5F9A89D7" w:rsidR="00CA14BB" w:rsidRPr="00EA3F1F" w:rsidRDefault="007C4B18" w:rsidP="00EA3F1F">
      <w:pPr>
        <w:pStyle w:val="Paragrapgh-numbered"/>
        <w:numPr>
          <w:ilvl w:val="1"/>
          <w:numId w:val="37"/>
        </w:numPr>
        <w:rPr>
          <w:lang w:val="en-GB"/>
        </w:rPr>
      </w:pPr>
      <w:r w:rsidRPr="00EA3F1F">
        <w:rPr>
          <w:lang w:val="en-GB"/>
        </w:rPr>
        <w:t xml:space="preserve">For dynamic </w:t>
      </w:r>
      <w:r w:rsidR="00A17D47" w:rsidRPr="00EA3F1F">
        <w:rPr>
          <w:lang w:val="en-GB"/>
        </w:rPr>
        <w:t>operations,</w:t>
      </w:r>
      <w:r w:rsidRPr="00EA3F1F">
        <w:rPr>
          <w:lang w:val="en-GB"/>
        </w:rPr>
        <w:t xml:space="preserve"> it is more logical to determine how much FCR capacity is required; to look at the physical and security limits on FCR exchange and sharing, from which a residual amount within GB remains.</w:t>
      </w:r>
      <w:r w:rsidR="002867DA" w:rsidRPr="00EA3F1F">
        <w:rPr>
          <w:lang w:val="en-GB"/>
        </w:rPr>
        <w:t xml:space="preserve"> The Article i</w:t>
      </w:r>
      <w:r w:rsidR="00D00ABD" w:rsidRPr="00EA3F1F">
        <w:rPr>
          <w:lang w:val="en-GB"/>
        </w:rPr>
        <w:t xml:space="preserve">s written from this perspective. </w:t>
      </w:r>
      <w:r w:rsidRPr="00EA3F1F">
        <w:rPr>
          <w:lang w:val="en-GB"/>
        </w:rPr>
        <w:t>The structure of the text in the SAOM lays out the above</w:t>
      </w:r>
      <w:r w:rsidR="00A17D47" w:rsidRPr="00EA3F1F">
        <w:rPr>
          <w:lang w:val="en-GB"/>
        </w:rPr>
        <w:t xml:space="preserve"> in paragraph 2 of this Article to explain that it is in-fact a residual number.</w:t>
      </w:r>
    </w:p>
    <w:p w14:paraId="2099D9F9" w14:textId="77777777" w:rsidR="00A17D47" w:rsidRPr="00EA3F1F" w:rsidRDefault="00A17D47" w:rsidP="00EA3F1F">
      <w:pPr>
        <w:pStyle w:val="Paragrapgh-numbered"/>
        <w:numPr>
          <w:ilvl w:val="1"/>
          <w:numId w:val="37"/>
        </w:numPr>
        <w:rPr>
          <w:lang w:val="en-GB"/>
        </w:rPr>
      </w:pPr>
      <w:r w:rsidRPr="00EA3F1F">
        <w:rPr>
          <w:lang w:val="en-GB"/>
        </w:rPr>
        <w:t xml:space="preserve">The limits for exchange and sharing on each interconnector is considered in paragraph 3. This stipulates that each service on each interconnector is considered in terms of: </w:t>
      </w:r>
    </w:p>
    <w:p w14:paraId="6FA95DDB" w14:textId="1D741470" w:rsidR="00E7585F" w:rsidRPr="00EA3F1F" w:rsidRDefault="00E7585F" w:rsidP="00EA3F1F">
      <w:pPr>
        <w:pStyle w:val="Paragrapgh-numbered"/>
        <w:numPr>
          <w:ilvl w:val="3"/>
          <w:numId w:val="37"/>
        </w:numPr>
        <w:rPr>
          <w:lang w:val="en-GB"/>
        </w:rPr>
      </w:pPr>
      <w:r w:rsidRPr="00EA3F1F">
        <w:rPr>
          <w:lang w:val="en-GB"/>
        </w:rPr>
        <w:t>Aspects of the NETS SQSS (and also rules set-forth in SOGL dimensioning) that would require the ESO to limit use of the cross-border service, such as whether the interconnector is the largest-loss. (the links to these parts of NETS SQSS are provided this document’s explanation of FCR dimensioning).</w:t>
      </w:r>
    </w:p>
    <w:p w14:paraId="3FE62123" w14:textId="1F715FE2" w:rsidR="00CB5624" w:rsidRPr="00EA3F1F" w:rsidRDefault="00A17D47" w:rsidP="00EA3F1F">
      <w:pPr>
        <w:pStyle w:val="Paragrapgh-numbered"/>
        <w:numPr>
          <w:ilvl w:val="3"/>
          <w:numId w:val="37"/>
        </w:numPr>
        <w:rPr>
          <w:lang w:val="en-GB"/>
        </w:rPr>
      </w:pPr>
      <w:r w:rsidRPr="00EA3F1F">
        <w:rPr>
          <w:lang w:val="en-GB"/>
        </w:rPr>
        <w:t>the limitations preventing delivery of the service</w:t>
      </w:r>
      <w:r w:rsidR="0074522C" w:rsidRPr="00EA3F1F">
        <w:rPr>
          <w:lang w:val="en-GB"/>
        </w:rPr>
        <w:t xml:space="preserve">, </w:t>
      </w:r>
    </w:p>
    <w:p w14:paraId="6D6D3365" w14:textId="77777777" w:rsidR="008935B8" w:rsidRPr="00EA3F1F" w:rsidRDefault="00A17D47" w:rsidP="00EA3F1F">
      <w:pPr>
        <w:pStyle w:val="Paragrapgh-numbered"/>
        <w:numPr>
          <w:ilvl w:val="4"/>
          <w:numId w:val="37"/>
        </w:numPr>
        <w:rPr>
          <w:lang w:val="en-GB"/>
        </w:rPr>
      </w:pPr>
      <w:r w:rsidRPr="00EA3F1F">
        <w:rPr>
          <w:lang w:val="en-GB"/>
        </w:rPr>
        <w:t xml:space="preserve">such as remaining physical capacity on an interconnector which may be on outage or </w:t>
      </w:r>
    </w:p>
    <w:p w14:paraId="72C2E9D4" w14:textId="7EF6006B" w:rsidR="00A17D47" w:rsidRPr="00EA3F1F" w:rsidRDefault="008935B8" w:rsidP="00EA3F1F">
      <w:pPr>
        <w:pStyle w:val="Paragrapgh-numbered"/>
        <w:numPr>
          <w:ilvl w:val="4"/>
          <w:numId w:val="37"/>
        </w:numPr>
        <w:rPr>
          <w:lang w:val="en-GB"/>
        </w:rPr>
      </w:pPr>
      <w:r w:rsidRPr="00EA3F1F">
        <w:rPr>
          <w:lang w:val="en-GB"/>
        </w:rPr>
        <w:t xml:space="preserve">interconnector transfers that are </w:t>
      </w:r>
      <w:r w:rsidR="00A17D47" w:rsidRPr="00EA3F1F">
        <w:rPr>
          <w:lang w:val="en-GB"/>
        </w:rPr>
        <w:t xml:space="preserve">already close to physical </w:t>
      </w:r>
      <w:r w:rsidRPr="00EA3F1F">
        <w:rPr>
          <w:lang w:val="en-GB"/>
        </w:rPr>
        <w:t xml:space="preserve">capacity </w:t>
      </w:r>
      <w:r w:rsidR="00A17D47" w:rsidRPr="00EA3F1F">
        <w:rPr>
          <w:lang w:val="en-GB"/>
        </w:rPr>
        <w:t>limits</w:t>
      </w:r>
      <w:r w:rsidRPr="00EA3F1F">
        <w:rPr>
          <w:lang w:val="en-GB"/>
        </w:rPr>
        <w:t>,</w:t>
      </w:r>
      <w:r w:rsidR="00A17D47" w:rsidRPr="00EA3F1F">
        <w:rPr>
          <w:lang w:val="en-GB"/>
        </w:rPr>
        <w:t xml:space="preserve"> delivering market contracted energy or other SO derived services.</w:t>
      </w:r>
    </w:p>
    <w:p w14:paraId="20FBA1F3" w14:textId="63B719D7" w:rsidR="00CB5624" w:rsidRPr="00EA3F1F" w:rsidRDefault="00941D07" w:rsidP="00EA3F1F">
      <w:pPr>
        <w:pStyle w:val="Paragrapgh-numbered"/>
        <w:numPr>
          <w:ilvl w:val="3"/>
          <w:numId w:val="37"/>
        </w:numPr>
        <w:rPr>
          <w:lang w:val="en-GB"/>
        </w:rPr>
      </w:pPr>
      <w:r w:rsidRPr="00EA3F1F">
        <w:rPr>
          <w:lang w:val="en-GB"/>
        </w:rPr>
        <w:t xml:space="preserve">Looking at FCR shortfall </w:t>
      </w:r>
      <w:r w:rsidR="00D00ABD" w:rsidRPr="00EA3F1F">
        <w:rPr>
          <w:lang w:val="en-GB"/>
        </w:rPr>
        <w:t>i</w:t>
      </w:r>
      <w:r w:rsidR="00CB5624" w:rsidRPr="00EA3F1F">
        <w:rPr>
          <w:lang w:val="en-GB"/>
        </w:rPr>
        <w:t>n the case of Sharing, the capacity being utilized by the Reserve Connecting TSO in the other LFC Block for their local needs and therefore not being available to the GB ESO to meet needs here.</w:t>
      </w:r>
    </w:p>
    <w:p w14:paraId="6F5EB5D5" w14:textId="5C24EE13" w:rsidR="00CB5624" w:rsidRPr="00EA3F1F" w:rsidRDefault="00A17D47" w:rsidP="00EA3F1F">
      <w:pPr>
        <w:pStyle w:val="Paragrapgh-numbered"/>
        <w:numPr>
          <w:ilvl w:val="4"/>
          <w:numId w:val="37"/>
        </w:numPr>
        <w:rPr>
          <w:lang w:val="en-GB"/>
        </w:rPr>
      </w:pPr>
      <w:r w:rsidRPr="00EA3F1F">
        <w:rPr>
          <w:lang w:val="en-GB"/>
        </w:rPr>
        <w:t xml:space="preserve">The reliability of the interconnector service being available when required and </w:t>
      </w:r>
      <w:r w:rsidR="00CB5624" w:rsidRPr="00EA3F1F">
        <w:rPr>
          <w:lang w:val="en-GB"/>
        </w:rPr>
        <w:t>how this affects the delivery of the frequency containment process (SOGL article 142)</w:t>
      </w:r>
      <w:r w:rsidR="002867DA" w:rsidRPr="00EA3F1F">
        <w:rPr>
          <w:lang w:val="en-GB"/>
        </w:rPr>
        <w:t xml:space="preserve"> to cover i</w:t>
      </w:r>
      <w:r w:rsidR="00CB5624" w:rsidRPr="00EA3F1F">
        <w:rPr>
          <w:lang w:val="en-GB"/>
        </w:rPr>
        <w:t>ssues such as the chance of the interconnector infrastructure failing</w:t>
      </w:r>
      <w:r w:rsidR="002867DA" w:rsidRPr="00EA3F1F">
        <w:rPr>
          <w:lang w:val="en-GB"/>
        </w:rPr>
        <w:t>.</w:t>
      </w:r>
    </w:p>
    <w:p w14:paraId="23D10316" w14:textId="50C437F1" w:rsidR="00CA14BB" w:rsidRPr="00D00ABD" w:rsidRDefault="00D00ABD" w:rsidP="00EA3F1F">
      <w:pPr>
        <w:pStyle w:val="Paragrapgh-numbered"/>
        <w:numPr>
          <w:ilvl w:val="0"/>
          <w:numId w:val="58"/>
        </w:numPr>
        <w:rPr>
          <w:lang w:val="en-GB"/>
        </w:rPr>
      </w:pPr>
      <w:r w:rsidRPr="00D00ABD">
        <w:rPr>
          <w:lang w:val="en-GB"/>
        </w:rPr>
        <w:t>The ESO will publish the total capacity it procures ahead of time and also information about the capacity in compliance with SOGL Article 187.  Cross border capacities will be published in accordance with SOGL Article 190.</w:t>
      </w:r>
    </w:p>
    <w:p w14:paraId="12A2E9B4" w14:textId="77777777" w:rsidR="00D00ABD" w:rsidRPr="00D00ABD" w:rsidRDefault="00D00ABD" w:rsidP="00EA3F1F">
      <w:pPr>
        <w:pStyle w:val="Paragrapgh-numbered"/>
        <w:numPr>
          <w:ilvl w:val="0"/>
          <w:numId w:val="0"/>
        </w:numPr>
        <w:ind w:left="360"/>
        <w:rPr>
          <w:lang w:val="en-GB"/>
        </w:rPr>
      </w:pPr>
    </w:p>
    <w:p w14:paraId="6C72E7B6" w14:textId="11408311" w:rsidR="00F60A8E" w:rsidRPr="00D00ABD" w:rsidRDefault="0051359E" w:rsidP="00AE7DC2">
      <w:pPr>
        <w:pStyle w:val="Heading2"/>
        <w:numPr>
          <w:ilvl w:val="1"/>
          <w:numId w:val="0"/>
        </w:numPr>
        <w:spacing w:before="240" w:after="120"/>
        <w:ind w:left="718" w:hanging="576"/>
        <w:jc w:val="both"/>
      </w:pPr>
      <w:bookmarkStart w:id="27" w:name="_Toc509435159"/>
      <w:bookmarkStart w:id="28" w:name="_Toc519422417"/>
      <w:r w:rsidRPr="00D00ABD">
        <w:t>SAOM</w:t>
      </w:r>
      <w:r w:rsidR="00AE7DC2" w:rsidRPr="00D00ABD">
        <w:t xml:space="preserve"> Article </w:t>
      </w:r>
      <w:r w:rsidR="00151098" w:rsidRPr="00D00ABD">
        <w:t>11</w:t>
      </w:r>
      <w:r w:rsidR="00AE7DC2" w:rsidRPr="00D00ABD">
        <w:t xml:space="preserve"> - SOGL </w:t>
      </w:r>
      <w:r w:rsidR="00F60A8E" w:rsidRPr="00D00ABD">
        <w:t>Article 118(z)</w:t>
      </w:r>
      <w:bookmarkEnd w:id="27"/>
      <w:r w:rsidR="00AE7DC2" w:rsidRPr="00D00ABD">
        <w:t xml:space="preserve"> - </w:t>
      </w:r>
      <w:r w:rsidR="00F60A8E" w:rsidRPr="00D00ABD">
        <w:t>“the</w:t>
      </w:r>
      <w:r w:rsidR="004C519D" w:rsidRPr="00D00ABD">
        <w:t xml:space="preserve"> </w:t>
      </w:r>
      <w:r w:rsidR="00F60A8E" w:rsidRPr="00D00ABD">
        <w:t>methodology</w:t>
      </w:r>
      <w:r w:rsidR="004C519D" w:rsidRPr="00D00ABD">
        <w:t xml:space="preserve"> </w:t>
      </w:r>
      <w:r w:rsidR="00F60A8E" w:rsidRPr="00D00ABD">
        <w:t>to</w:t>
      </w:r>
      <w:r w:rsidR="004C519D" w:rsidRPr="00D00ABD">
        <w:t xml:space="preserve"> </w:t>
      </w:r>
      <w:r w:rsidR="00F60A8E" w:rsidRPr="00D00ABD">
        <w:t>determine</w:t>
      </w:r>
      <w:r w:rsidR="004C519D" w:rsidRPr="00D00ABD">
        <w:t xml:space="preserve"> </w:t>
      </w:r>
      <w:r w:rsidR="00F60A8E" w:rsidRPr="00D00ABD">
        <w:t>limits</w:t>
      </w:r>
      <w:r w:rsidR="004C519D" w:rsidRPr="00D00ABD">
        <w:t xml:space="preserve"> </w:t>
      </w:r>
      <w:r w:rsidR="00F60A8E" w:rsidRPr="00D00ABD">
        <w:t>on</w:t>
      </w:r>
      <w:r w:rsidR="004C519D" w:rsidRPr="00D00ABD">
        <w:t xml:space="preserve"> </w:t>
      </w:r>
      <w:r w:rsidR="00F60A8E" w:rsidRPr="00D00ABD">
        <w:t>the</w:t>
      </w:r>
      <w:r w:rsidR="004C519D" w:rsidRPr="00D00ABD">
        <w:t xml:space="preserve"> </w:t>
      </w:r>
      <w:r w:rsidR="00F60A8E" w:rsidRPr="00D00ABD">
        <w:t>amount</w:t>
      </w:r>
      <w:r w:rsidR="004C519D" w:rsidRPr="00D00ABD">
        <w:t xml:space="preserve"> </w:t>
      </w:r>
      <w:r w:rsidR="00F60A8E" w:rsidRPr="00D00ABD">
        <w:t>of</w:t>
      </w:r>
      <w:r w:rsidR="004C519D" w:rsidRPr="00D00ABD">
        <w:t xml:space="preserve"> </w:t>
      </w:r>
      <w:r w:rsidR="00F60A8E" w:rsidRPr="00D00ABD">
        <w:t>exchange</w:t>
      </w:r>
      <w:r w:rsidR="004C519D" w:rsidRPr="00D00ABD">
        <w:t xml:space="preserve"> </w:t>
      </w:r>
      <w:r w:rsidR="00F60A8E" w:rsidRPr="00D00ABD">
        <w:t>of</w:t>
      </w:r>
      <w:r w:rsidR="004C519D" w:rsidRPr="00D00ABD">
        <w:t xml:space="preserve"> </w:t>
      </w:r>
      <w:r w:rsidR="00F60A8E" w:rsidRPr="00D00ABD">
        <w:t>FRR between synchronous areas defined in accordance with Article 176(1) and the methodology</w:t>
      </w:r>
      <w:r w:rsidR="004C519D" w:rsidRPr="00D00ABD">
        <w:t xml:space="preserve"> </w:t>
      </w:r>
      <w:r w:rsidR="00F60A8E" w:rsidRPr="00D00ABD">
        <w:t>to</w:t>
      </w:r>
      <w:r w:rsidR="004C519D" w:rsidRPr="00D00ABD">
        <w:t xml:space="preserve"> </w:t>
      </w:r>
      <w:r w:rsidR="00F60A8E" w:rsidRPr="00D00ABD">
        <w:t>determine</w:t>
      </w:r>
      <w:r w:rsidR="004C519D" w:rsidRPr="00D00ABD">
        <w:t xml:space="preserve"> </w:t>
      </w:r>
      <w:r w:rsidR="00F60A8E" w:rsidRPr="00D00ABD">
        <w:t>limits</w:t>
      </w:r>
      <w:r w:rsidR="004C519D" w:rsidRPr="00D00ABD">
        <w:t xml:space="preserve"> </w:t>
      </w:r>
      <w:r w:rsidR="00F60A8E" w:rsidRPr="00D00ABD">
        <w:t>on</w:t>
      </w:r>
      <w:r w:rsidR="004C519D" w:rsidRPr="00D00ABD">
        <w:t xml:space="preserve"> </w:t>
      </w:r>
      <w:r w:rsidR="00F60A8E" w:rsidRPr="00D00ABD">
        <w:t>the</w:t>
      </w:r>
      <w:r w:rsidR="004C519D" w:rsidRPr="00D00ABD">
        <w:t xml:space="preserve"> </w:t>
      </w:r>
      <w:r w:rsidR="00F60A8E" w:rsidRPr="00D00ABD">
        <w:t>amount</w:t>
      </w:r>
      <w:r w:rsidR="004C519D" w:rsidRPr="00D00ABD">
        <w:t xml:space="preserve"> </w:t>
      </w:r>
      <w:r w:rsidR="00F60A8E" w:rsidRPr="00D00ABD">
        <w:t>of</w:t>
      </w:r>
      <w:r w:rsidR="004C519D" w:rsidRPr="00D00ABD">
        <w:t xml:space="preserve"> </w:t>
      </w:r>
      <w:r w:rsidR="00F60A8E" w:rsidRPr="00D00ABD">
        <w:t>sharing</w:t>
      </w:r>
      <w:r w:rsidR="004C519D" w:rsidRPr="00D00ABD">
        <w:t xml:space="preserve"> </w:t>
      </w:r>
      <w:r w:rsidR="00F60A8E" w:rsidRPr="00D00ABD">
        <w:t>of</w:t>
      </w:r>
      <w:r w:rsidR="004C519D" w:rsidRPr="00D00ABD">
        <w:t xml:space="preserve"> </w:t>
      </w:r>
      <w:r w:rsidR="00F60A8E" w:rsidRPr="00D00ABD">
        <w:t>FRR</w:t>
      </w:r>
      <w:r w:rsidR="004C519D" w:rsidRPr="00D00ABD">
        <w:t xml:space="preserve"> </w:t>
      </w:r>
      <w:r w:rsidR="00F60A8E" w:rsidRPr="00D00ABD">
        <w:t>between synchronous areas defined in accordance with Article 177(1); and”</w:t>
      </w:r>
      <w:bookmarkEnd w:id="28"/>
    </w:p>
    <w:p w14:paraId="62EF3521" w14:textId="3C2B9CF8" w:rsidR="00D00ABD" w:rsidRDefault="00D00ABD" w:rsidP="00EA3F1F">
      <w:pPr>
        <w:pStyle w:val="Paragrapgh-numbered"/>
        <w:numPr>
          <w:ilvl w:val="0"/>
          <w:numId w:val="60"/>
        </w:numPr>
        <w:rPr>
          <w:lang w:val="en-GB"/>
        </w:rPr>
      </w:pPr>
      <w:r>
        <w:rPr>
          <w:lang w:val="en-GB"/>
        </w:rPr>
        <w:t>SOGL Article requires the ESO to specify limits on the exchange of FRR</w:t>
      </w:r>
      <w:r w:rsidR="002C4DD0">
        <w:rPr>
          <w:lang w:val="en-GB"/>
        </w:rPr>
        <w:t xml:space="preserve"> and limits on sharing of FRR</w:t>
      </w:r>
      <w:r>
        <w:rPr>
          <w:lang w:val="en-GB"/>
        </w:rPr>
        <w:t xml:space="preserve">. The ESO does this as part of a more comprehensive analysis of dimensioning and to what degree it may rely on each service and each service provider </w:t>
      </w:r>
      <w:r>
        <w:rPr>
          <w:lang w:val="en-GB"/>
        </w:rPr>
        <w:lastRenderedPageBreak/>
        <w:t>and providing unit or module based upon a combination of technical information, provided information and historical performance.</w:t>
      </w:r>
    </w:p>
    <w:p w14:paraId="70319EFF" w14:textId="6706C878" w:rsidR="007E35D4" w:rsidRDefault="0018413B" w:rsidP="00EA3F1F">
      <w:pPr>
        <w:pStyle w:val="Paragrapgh-numbered"/>
        <w:numPr>
          <w:ilvl w:val="0"/>
          <w:numId w:val="60"/>
        </w:numPr>
        <w:rPr>
          <w:lang w:val="en-GB"/>
        </w:rPr>
      </w:pPr>
      <w:r w:rsidRPr="00CE1D96">
        <w:rPr>
          <w:lang w:val="en-GB"/>
        </w:rPr>
        <w:t>This article is considering the category of Frequency Restoration Reserves; however the security principles are no different to those explained in the supporting text to article 10</w:t>
      </w:r>
      <w:r>
        <w:rPr>
          <w:lang w:val="en-GB"/>
        </w:rPr>
        <w:t>, paragraphs 2 and 3</w:t>
      </w:r>
      <w:r w:rsidRPr="00CE1D96">
        <w:rPr>
          <w:lang w:val="en-GB"/>
        </w:rPr>
        <w:t xml:space="preserve"> above (which considers FCR).</w:t>
      </w:r>
      <w:r>
        <w:rPr>
          <w:lang w:val="en-GB"/>
        </w:rPr>
        <w:t xml:space="preserve">  </w:t>
      </w:r>
    </w:p>
    <w:p w14:paraId="6C72E7BA" w14:textId="025E9620" w:rsidR="00F60A8E" w:rsidRPr="00D00ABD" w:rsidRDefault="0051359E">
      <w:pPr>
        <w:pStyle w:val="Heading2"/>
        <w:numPr>
          <w:ilvl w:val="1"/>
          <w:numId w:val="0"/>
        </w:numPr>
        <w:spacing w:before="240" w:after="120"/>
        <w:ind w:left="718" w:hanging="576"/>
        <w:jc w:val="both"/>
      </w:pPr>
      <w:bookmarkStart w:id="29" w:name="_Toc509435161"/>
      <w:bookmarkStart w:id="30" w:name="_Toc519422418"/>
      <w:r w:rsidRPr="00D00ABD">
        <w:t>SAOM</w:t>
      </w:r>
      <w:r w:rsidR="00AE7DC2" w:rsidRPr="00D00ABD">
        <w:t xml:space="preserve"> Article </w:t>
      </w:r>
      <w:r w:rsidR="00151098" w:rsidRPr="00D00ABD">
        <w:t xml:space="preserve">12 </w:t>
      </w:r>
      <w:r w:rsidR="00AE7DC2" w:rsidRPr="00D00ABD">
        <w:t xml:space="preserve">- SOGL </w:t>
      </w:r>
      <w:r w:rsidR="00F60A8E" w:rsidRPr="00D00ABD">
        <w:t>Article 118(aa)</w:t>
      </w:r>
      <w:bookmarkEnd w:id="29"/>
      <w:r w:rsidR="00AE7DC2" w:rsidRPr="00D00ABD">
        <w:t xml:space="preserve"> - </w:t>
      </w:r>
      <w:r w:rsidR="00F60A8E" w:rsidRPr="00D00ABD">
        <w:t>“the methodology to determine limits on the amount of exchange of RR between synchronous</w:t>
      </w:r>
      <w:r w:rsidR="004C519D" w:rsidRPr="00D00ABD">
        <w:t xml:space="preserve"> </w:t>
      </w:r>
      <w:r w:rsidR="00F60A8E" w:rsidRPr="00D00ABD">
        <w:t>areas</w:t>
      </w:r>
      <w:r w:rsidR="004C519D" w:rsidRPr="00D00ABD">
        <w:t xml:space="preserve"> </w:t>
      </w:r>
      <w:r w:rsidR="00F60A8E" w:rsidRPr="00D00ABD">
        <w:t xml:space="preserve"> defined</w:t>
      </w:r>
      <w:r w:rsidR="004C519D" w:rsidRPr="00D00ABD">
        <w:t xml:space="preserve"> </w:t>
      </w:r>
      <w:r w:rsidR="00F60A8E" w:rsidRPr="00D00ABD">
        <w:t xml:space="preserve"> in</w:t>
      </w:r>
      <w:r w:rsidR="004C519D" w:rsidRPr="00D00ABD">
        <w:t xml:space="preserve"> </w:t>
      </w:r>
      <w:r w:rsidR="00F60A8E" w:rsidRPr="00D00ABD">
        <w:t xml:space="preserve"> accordance</w:t>
      </w:r>
      <w:r w:rsidR="004C519D" w:rsidRPr="00D00ABD">
        <w:t xml:space="preserve"> </w:t>
      </w:r>
      <w:r w:rsidR="00F60A8E" w:rsidRPr="00D00ABD">
        <w:t xml:space="preserve"> with</w:t>
      </w:r>
      <w:r w:rsidR="004C519D" w:rsidRPr="00D00ABD">
        <w:t xml:space="preserve"> </w:t>
      </w:r>
      <w:r w:rsidR="00F60A8E" w:rsidRPr="00D00ABD">
        <w:t xml:space="preserve"> Article</w:t>
      </w:r>
      <w:r w:rsidR="004C519D" w:rsidRPr="00D00ABD">
        <w:t xml:space="preserve"> </w:t>
      </w:r>
      <w:r w:rsidR="00F60A8E" w:rsidRPr="00D00ABD">
        <w:t xml:space="preserve"> 178(1)</w:t>
      </w:r>
      <w:r w:rsidR="004C519D" w:rsidRPr="00D00ABD">
        <w:t xml:space="preserve"> </w:t>
      </w:r>
      <w:r w:rsidR="00F60A8E" w:rsidRPr="00D00ABD">
        <w:t xml:space="preserve"> and</w:t>
      </w:r>
      <w:r w:rsidR="004C519D" w:rsidRPr="00D00ABD">
        <w:t xml:space="preserve"> </w:t>
      </w:r>
      <w:r w:rsidR="00F60A8E" w:rsidRPr="00D00ABD">
        <w:t xml:space="preserve"> the methodology</w:t>
      </w:r>
      <w:r w:rsidR="004C519D" w:rsidRPr="00D00ABD">
        <w:t xml:space="preserve"> </w:t>
      </w:r>
      <w:r w:rsidR="00F60A8E" w:rsidRPr="00D00ABD">
        <w:t>to</w:t>
      </w:r>
      <w:r w:rsidR="004C519D" w:rsidRPr="00D00ABD">
        <w:t xml:space="preserve"> </w:t>
      </w:r>
      <w:r w:rsidR="00F60A8E" w:rsidRPr="00D00ABD">
        <w:t>determine</w:t>
      </w:r>
      <w:r w:rsidR="004C519D" w:rsidRPr="00D00ABD">
        <w:t xml:space="preserve"> </w:t>
      </w:r>
      <w:r w:rsidR="00F60A8E" w:rsidRPr="00D00ABD">
        <w:t>limits</w:t>
      </w:r>
      <w:r w:rsidR="004C519D" w:rsidRPr="00D00ABD">
        <w:t xml:space="preserve"> </w:t>
      </w:r>
      <w:r w:rsidR="00F60A8E" w:rsidRPr="00D00ABD">
        <w:t>on</w:t>
      </w:r>
      <w:r w:rsidR="004C519D" w:rsidRPr="00D00ABD">
        <w:t xml:space="preserve"> </w:t>
      </w:r>
      <w:r w:rsidR="00F60A8E" w:rsidRPr="00D00ABD">
        <w:t>the</w:t>
      </w:r>
      <w:r w:rsidR="004C519D" w:rsidRPr="00D00ABD">
        <w:t xml:space="preserve"> </w:t>
      </w:r>
      <w:r w:rsidR="00F60A8E" w:rsidRPr="00D00ABD">
        <w:t>amount</w:t>
      </w:r>
      <w:r w:rsidR="004C519D" w:rsidRPr="00D00ABD">
        <w:t xml:space="preserve"> </w:t>
      </w:r>
      <w:r w:rsidR="00F60A8E" w:rsidRPr="00D00ABD">
        <w:t>of</w:t>
      </w:r>
      <w:r w:rsidR="004C519D" w:rsidRPr="00D00ABD">
        <w:t xml:space="preserve"> </w:t>
      </w:r>
      <w:r w:rsidR="00F60A8E" w:rsidRPr="00D00ABD">
        <w:t>sharing</w:t>
      </w:r>
      <w:r w:rsidR="004C519D" w:rsidRPr="00D00ABD">
        <w:t xml:space="preserve"> </w:t>
      </w:r>
      <w:r w:rsidR="00F60A8E" w:rsidRPr="00D00ABD">
        <w:t>of</w:t>
      </w:r>
      <w:r w:rsidR="004C519D" w:rsidRPr="00D00ABD">
        <w:t xml:space="preserve"> </w:t>
      </w:r>
      <w:r w:rsidR="00F60A8E" w:rsidRPr="00D00ABD">
        <w:t>RR</w:t>
      </w:r>
      <w:r w:rsidR="004C519D" w:rsidRPr="00D00ABD">
        <w:t xml:space="preserve"> </w:t>
      </w:r>
      <w:r w:rsidR="00F60A8E" w:rsidRPr="00D00ABD">
        <w:t>between synchronous areas defined in accordance with Article 179(1).”</w:t>
      </w:r>
      <w:bookmarkEnd w:id="30"/>
    </w:p>
    <w:p w14:paraId="5D5309CD" w14:textId="77777777" w:rsidR="00357A49" w:rsidRPr="00EA3F1F" w:rsidRDefault="00357A49" w:rsidP="00EA3F1F">
      <w:pPr>
        <w:pStyle w:val="Paragrapgh-numbered"/>
        <w:numPr>
          <w:ilvl w:val="0"/>
          <w:numId w:val="63"/>
        </w:numPr>
        <w:rPr>
          <w:lang w:val="en-GB"/>
        </w:rPr>
      </w:pPr>
      <w:r w:rsidRPr="00EA3F1F">
        <w:rPr>
          <w:lang w:val="en-GB"/>
        </w:rPr>
        <w:t>SOGL Article requires the ESO to specify limits on the exchange of FRR and limits on sharing of FRR. The ESO does this as part of a more comprehensive analysis of dimensioning and to what degree it may rely on each service and each service provider and providing unit or module based upon a combination of technical information, provided information and historical performance.</w:t>
      </w:r>
    </w:p>
    <w:p w14:paraId="6D9F1A77" w14:textId="77777777" w:rsidR="0018413B" w:rsidRPr="0018413B" w:rsidRDefault="0018413B" w:rsidP="0018413B">
      <w:pPr>
        <w:pStyle w:val="Paragrapgh-numbered"/>
        <w:numPr>
          <w:ilvl w:val="0"/>
          <w:numId w:val="60"/>
        </w:numPr>
        <w:rPr>
          <w:lang w:val="en-GB"/>
        </w:rPr>
      </w:pPr>
      <w:r w:rsidRPr="0018413B">
        <w:rPr>
          <w:lang w:val="en-GB"/>
        </w:rPr>
        <w:t>This article is considering the category of Replacement Reserves; however the security principles are no different to those explained in the supporting text to article 10, paragraphs 2 and 3 above (which considers FCR).</w:t>
      </w:r>
    </w:p>
    <w:p w14:paraId="6C72E7BE" w14:textId="39851440" w:rsidR="001538D8" w:rsidRPr="00D00ABD" w:rsidRDefault="001538D8">
      <w:pPr>
        <w:spacing w:after="0" w:line="240" w:lineRule="auto"/>
        <w:rPr>
          <w:rFonts w:asciiTheme="minorHAnsi" w:hAnsiTheme="minorHAnsi" w:cstheme="minorHAnsi"/>
          <w:lang w:eastAsia="de-DE"/>
        </w:rPr>
      </w:pPr>
    </w:p>
    <w:p w14:paraId="6C72E7BF" w14:textId="4166BC5B" w:rsidR="001538D8" w:rsidRPr="00D00ABD" w:rsidRDefault="001538D8" w:rsidP="001538D8">
      <w:pPr>
        <w:pStyle w:val="Heading1"/>
      </w:pPr>
      <w:bookmarkStart w:id="31" w:name="_Toc519422419"/>
      <w:r w:rsidRPr="00D00ABD">
        <w:t xml:space="preserve">TITLE 3 - Explanatory text to accompany each </w:t>
      </w:r>
      <w:r w:rsidR="000222DE" w:rsidRPr="00D00ABD">
        <w:t>Article</w:t>
      </w:r>
      <w:r w:rsidRPr="00D00ABD">
        <w:t xml:space="preserve"> in the </w:t>
      </w:r>
      <w:r w:rsidR="0051359E" w:rsidRPr="00D00ABD">
        <w:t>SAOM</w:t>
      </w:r>
      <w:r w:rsidRPr="00D00ABD">
        <w:t xml:space="preserve"> document that is not subject to NRA approval</w:t>
      </w:r>
      <w:bookmarkEnd w:id="31"/>
      <w:r w:rsidRPr="00D00ABD">
        <w:t xml:space="preserve"> </w:t>
      </w:r>
    </w:p>
    <w:p w14:paraId="6C72E7C0" w14:textId="77777777" w:rsidR="001538D8" w:rsidRPr="00D00ABD" w:rsidRDefault="001538D8" w:rsidP="001538D8">
      <w:pPr>
        <w:pStyle w:val="Paragrapgh-numbered"/>
        <w:numPr>
          <w:ilvl w:val="0"/>
          <w:numId w:val="0"/>
        </w:numPr>
        <w:ind w:left="360"/>
        <w:rPr>
          <w:lang w:val="en-GB"/>
        </w:rPr>
      </w:pPr>
    </w:p>
    <w:p w14:paraId="5F569EBE" w14:textId="2196A3DE" w:rsidR="00184DBA" w:rsidRPr="00D00ABD" w:rsidRDefault="0051359E" w:rsidP="00EA3F1F">
      <w:pPr>
        <w:pStyle w:val="Heading2"/>
        <w:spacing w:line="240" w:lineRule="auto"/>
      </w:pPr>
      <w:bookmarkStart w:id="32" w:name="_Toc514851728"/>
      <w:bookmarkStart w:id="33" w:name="_Toc514856711"/>
      <w:bookmarkStart w:id="34" w:name="_Toc519422420"/>
      <w:r w:rsidRPr="00D00ABD">
        <w:t>SAOM</w:t>
      </w:r>
      <w:r w:rsidR="00184DBA" w:rsidRPr="00D00ABD">
        <w:t xml:space="preserve"> Article </w:t>
      </w:r>
      <w:r w:rsidR="007A3E39" w:rsidRPr="00D00ABD">
        <w:t>1</w:t>
      </w:r>
      <w:r w:rsidR="007A3E39">
        <w:t>3</w:t>
      </w:r>
      <w:r w:rsidR="007A3E39" w:rsidRPr="00D00ABD">
        <w:t xml:space="preserve"> </w:t>
      </w:r>
      <w:r w:rsidR="00184DBA" w:rsidRPr="00D00ABD">
        <w:t>- SOGL Article 118 (d)</w:t>
      </w:r>
      <w:r w:rsidR="004C519D" w:rsidRPr="00D00ABD">
        <w:t xml:space="preserve">  </w:t>
      </w:r>
      <w:r w:rsidR="00184DBA" w:rsidRPr="00D00ABD">
        <w:t xml:space="preserve"> </w:t>
      </w:r>
      <w:bookmarkEnd w:id="32"/>
      <w:r w:rsidR="00184DBA" w:rsidRPr="00D00ABD">
        <w:t>for the Continental Europe (‘CE’) and Nordic synchronous areas, the frequency restoration control error target parameters for each LFC block in accordance with Article 128;</w:t>
      </w:r>
      <w:bookmarkEnd w:id="33"/>
      <w:bookmarkEnd w:id="34"/>
    </w:p>
    <w:p w14:paraId="1914D902" w14:textId="2B1938C8" w:rsidR="00184DBA" w:rsidRPr="00D00ABD" w:rsidRDefault="00184DBA" w:rsidP="00097B0F">
      <w:r w:rsidRPr="00D00ABD">
        <w:t xml:space="preserve"> </w:t>
      </w:r>
    </w:p>
    <w:p w14:paraId="4FD5F07A" w14:textId="679593A9" w:rsidR="00184DBA" w:rsidRDefault="00184DBA" w:rsidP="00184DBA">
      <w:pPr>
        <w:pStyle w:val="Paragrapgh-numbered"/>
        <w:numPr>
          <w:ilvl w:val="0"/>
          <w:numId w:val="18"/>
        </w:numPr>
        <w:rPr>
          <w:rFonts w:eastAsiaTheme="minorHAnsi"/>
          <w:lang w:val="en-GB"/>
        </w:rPr>
      </w:pPr>
      <w:r w:rsidRPr="00D00ABD">
        <w:rPr>
          <w:rFonts w:eastAsiaTheme="minorHAnsi"/>
          <w:lang w:val="en-GB"/>
        </w:rPr>
        <w:t>This is not applicable to</w:t>
      </w:r>
      <w:r w:rsidR="0018413B">
        <w:rPr>
          <w:rFonts w:eastAsiaTheme="minorHAnsi"/>
          <w:lang w:val="en-GB"/>
        </w:rPr>
        <w:t xml:space="preserve"> this document.  The </w:t>
      </w:r>
      <w:r w:rsidR="00B16272">
        <w:rPr>
          <w:rFonts w:eastAsiaTheme="minorHAnsi"/>
          <w:lang w:val="en-GB"/>
        </w:rPr>
        <w:t xml:space="preserve">Frequency Restoration Control Error performance </w:t>
      </w:r>
      <w:r w:rsidR="0018413B">
        <w:rPr>
          <w:rFonts w:eastAsiaTheme="minorHAnsi"/>
          <w:lang w:val="en-GB"/>
        </w:rPr>
        <w:t>for GB are published in the SOGL in Article 128 and associated Annex IV table.</w:t>
      </w:r>
    </w:p>
    <w:p w14:paraId="4C195003" w14:textId="4C4FFB9D" w:rsidR="0018413B" w:rsidRDefault="0018413B" w:rsidP="00184DBA">
      <w:pPr>
        <w:pStyle w:val="Paragrapgh-numbered"/>
        <w:numPr>
          <w:ilvl w:val="0"/>
          <w:numId w:val="18"/>
        </w:numPr>
        <w:rPr>
          <w:rFonts w:eastAsiaTheme="minorHAnsi"/>
          <w:lang w:val="en-GB"/>
        </w:rPr>
      </w:pPr>
      <w:r>
        <w:rPr>
          <w:rFonts w:eastAsiaTheme="minorHAnsi"/>
          <w:lang w:val="en-GB"/>
        </w:rPr>
        <w:t xml:space="preserve">For clarity the range </w:t>
      </w:r>
      <w:r w:rsidR="00B16272">
        <w:rPr>
          <w:rFonts w:eastAsiaTheme="minorHAnsi"/>
          <w:lang w:val="en-GB"/>
        </w:rPr>
        <w:t xml:space="preserve">and interpretation for GB </w:t>
      </w:r>
      <w:r>
        <w:rPr>
          <w:rFonts w:eastAsiaTheme="minorHAnsi"/>
          <w:lang w:val="en-GB"/>
        </w:rPr>
        <w:t>is as follows:</w:t>
      </w:r>
    </w:p>
    <w:p w14:paraId="244B3106" w14:textId="414C68DD" w:rsidR="0018413B" w:rsidRDefault="0018413B" w:rsidP="00EA3F1F">
      <w:pPr>
        <w:pStyle w:val="Paragrapgh-numbered"/>
        <w:numPr>
          <w:ilvl w:val="1"/>
          <w:numId w:val="18"/>
        </w:numPr>
        <w:rPr>
          <w:rFonts w:eastAsiaTheme="minorHAnsi"/>
          <w:lang w:val="en-GB"/>
        </w:rPr>
      </w:pPr>
      <w:r>
        <w:rPr>
          <w:rFonts w:eastAsiaTheme="minorHAnsi"/>
          <w:lang w:val="en-GB"/>
        </w:rPr>
        <w:t>The level 1 FRCE range is 200MHz (but may be made larger at some point according to article 128(5) and would be a published ‘methodology’ if the ESO were to change it).  The level 2 FRCE range is 500MHz (but may be made larger at some point according to article 128(5) and would be a published ‘methodology’ if the ESO were to change it)</w:t>
      </w:r>
      <w:r w:rsidR="00B57BF7">
        <w:rPr>
          <w:rFonts w:eastAsiaTheme="minorHAnsi"/>
          <w:lang w:val="en-GB"/>
        </w:rPr>
        <w:t>.</w:t>
      </w:r>
    </w:p>
    <w:p w14:paraId="2B5FB99B" w14:textId="70A2A5CB" w:rsidR="00B57BF7" w:rsidRDefault="00B57BF7" w:rsidP="00EA3F1F">
      <w:pPr>
        <w:pStyle w:val="Paragrapgh-numbered"/>
        <w:numPr>
          <w:ilvl w:val="1"/>
          <w:numId w:val="18"/>
        </w:numPr>
        <w:rPr>
          <w:rFonts w:eastAsiaTheme="minorHAnsi"/>
          <w:lang w:val="en-GB"/>
        </w:rPr>
      </w:pPr>
      <w:r>
        <w:rPr>
          <w:rFonts w:eastAsiaTheme="minorHAnsi"/>
          <w:lang w:val="en-GB"/>
        </w:rPr>
        <w:t>SOGL Article 128(6), in combination with the values in the Annex IV table, states that the GB frequency may not be outside the level 1 FRCE range for more than 3% of time-intervals in a year and not outside the level 2 FRCE range for more than 5% of time-intervals in a year.</w:t>
      </w:r>
    </w:p>
    <w:p w14:paraId="2ABF4B7E" w14:textId="12D001C4" w:rsidR="00B16272" w:rsidRDefault="00B16272" w:rsidP="00EA3F1F">
      <w:pPr>
        <w:pStyle w:val="Paragrapgh-numbered"/>
        <w:numPr>
          <w:ilvl w:val="2"/>
          <w:numId w:val="18"/>
        </w:numPr>
        <w:rPr>
          <w:rFonts w:eastAsiaTheme="minorHAnsi"/>
          <w:lang w:val="en-GB"/>
        </w:rPr>
      </w:pPr>
      <w:r>
        <w:rPr>
          <w:rFonts w:eastAsiaTheme="minorHAnsi"/>
          <w:lang w:val="en-GB"/>
        </w:rPr>
        <w:lastRenderedPageBreak/>
        <w:t>Time Interval is considered to mean 1-second (i.e. one frequency value per second).</w:t>
      </w:r>
    </w:p>
    <w:p w14:paraId="703DB937" w14:textId="77777777" w:rsidR="00B16272" w:rsidRDefault="00B16272" w:rsidP="00EA3F1F">
      <w:pPr>
        <w:pStyle w:val="Paragrapgh-numbered"/>
        <w:numPr>
          <w:ilvl w:val="0"/>
          <w:numId w:val="0"/>
        </w:numPr>
        <w:ind w:left="360" w:hanging="360"/>
        <w:rPr>
          <w:rFonts w:eastAsiaTheme="minorHAnsi"/>
          <w:lang w:val="en-GB"/>
        </w:rPr>
      </w:pPr>
    </w:p>
    <w:p w14:paraId="54974E3F" w14:textId="77777777" w:rsidR="00B57BF7" w:rsidRPr="00D00ABD" w:rsidRDefault="00B57BF7" w:rsidP="00EA3F1F">
      <w:pPr>
        <w:pStyle w:val="Paragrapgh-numbered"/>
        <w:numPr>
          <w:ilvl w:val="0"/>
          <w:numId w:val="0"/>
        </w:numPr>
        <w:ind w:left="360" w:hanging="360"/>
        <w:rPr>
          <w:rFonts w:eastAsiaTheme="minorHAnsi"/>
          <w:lang w:val="en-GB"/>
        </w:rPr>
      </w:pPr>
    </w:p>
    <w:p w14:paraId="5D774E7D" w14:textId="77777777" w:rsidR="00184DBA" w:rsidRPr="00097B0F" w:rsidRDefault="00184DBA" w:rsidP="00097B0F">
      <w:pPr>
        <w:rPr>
          <w:rFonts w:eastAsiaTheme="minorHAnsi"/>
        </w:rPr>
      </w:pPr>
    </w:p>
    <w:p w14:paraId="450AE6E7" w14:textId="3E5AEDDA" w:rsidR="00184DBA" w:rsidRPr="00D00ABD" w:rsidRDefault="0051359E" w:rsidP="00EA3F1F">
      <w:pPr>
        <w:pStyle w:val="Heading2"/>
        <w:spacing w:line="240" w:lineRule="auto"/>
        <w:rPr>
          <w:iCs/>
        </w:rPr>
      </w:pPr>
      <w:bookmarkStart w:id="35" w:name="_Toc514851730"/>
      <w:bookmarkStart w:id="36" w:name="_Toc514856713"/>
      <w:bookmarkStart w:id="37" w:name="_Toc519422421"/>
      <w:r w:rsidRPr="00D00ABD">
        <w:t>SAOM</w:t>
      </w:r>
      <w:r w:rsidR="00184DBA" w:rsidRPr="00D00ABD">
        <w:t xml:space="preserve"> Article 1</w:t>
      </w:r>
      <w:r w:rsidR="007A3E39">
        <w:t>4</w:t>
      </w:r>
      <w:r w:rsidR="00184DBA" w:rsidRPr="00D00ABD">
        <w:t xml:space="preserve"> - SOGL Article 118 (e)</w:t>
      </w:r>
      <w:r w:rsidR="00184DBA" w:rsidRPr="00D00ABD">
        <w:tab/>
      </w:r>
      <w:r w:rsidR="00184DBA" w:rsidRPr="00D00ABD">
        <w:rPr>
          <w:iCs/>
        </w:rPr>
        <w:t>the methodology to assess the risk and the evolution of the risk of exhaustion of FCR of the synchronous area in accordance with Article 131(2);</w:t>
      </w:r>
      <w:bookmarkEnd w:id="35"/>
      <w:bookmarkEnd w:id="36"/>
      <w:bookmarkEnd w:id="37"/>
    </w:p>
    <w:p w14:paraId="4E490F6C" w14:textId="416389E1" w:rsidR="00184DBA" w:rsidRPr="00D00ABD" w:rsidRDefault="00184DBA" w:rsidP="00097B0F">
      <w:r w:rsidRPr="00D00ABD">
        <w:t xml:space="preserve"> </w:t>
      </w:r>
    </w:p>
    <w:p w14:paraId="08FC5DB0" w14:textId="16115B1B" w:rsidR="00980032" w:rsidRPr="00980032" w:rsidRDefault="00980032" w:rsidP="00980032">
      <w:pPr>
        <w:pStyle w:val="Paragrapgh-numbered"/>
        <w:numPr>
          <w:ilvl w:val="0"/>
          <w:numId w:val="19"/>
        </w:numPr>
        <w:rPr>
          <w:lang w:val="en-GB"/>
        </w:rPr>
      </w:pPr>
      <w:r>
        <w:rPr>
          <w:lang w:val="en-GB"/>
        </w:rPr>
        <w:t xml:space="preserve">There are obligations in the Grid Code on certain grid users in GB to deliver FCR services (‘Primary’ and ‘High’) </w:t>
      </w:r>
      <w:r w:rsidRPr="00980032">
        <w:rPr>
          <w:lang w:val="en-GB"/>
        </w:rPr>
        <w:t>:</w:t>
      </w:r>
    </w:p>
    <w:p w14:paraId="54A2E7CD" w14:textId="044AED7B" w:rsidR="00980032" w:rsidRDefault="00980032" w:rsidP="00980032">
      <w:pPr>
        <w:pStyle w:val="Paragrapgh-numbered"/>
        <w:numPr>
          <w:ilvl w:val="1"/>
          <w:numId w:val="19"/>
        </w:numPr>
        <w:rPr>
          <w:lang w:val="en-GB"/>
        </w:rPr>
      </w:pPr>
      <w:r>
        <w:rPr>
          <w:lang w:val="en-GB"/>
        </w:rPr>
        <w:t>The obligation for certain grid users to have the capability to provide certain FCR services</w:t>
      </w:r>
      <w:r w:rsidR="00097B0F">
        <w:rPr>
          <w:lang w:val="en-GB"/>
        </w:rPr>
        <w:t xml:space="preserve"> (namely ‘Primary’ and ‘High’)</w:t>
      </w:r>
      <w:r>
        <w:rPr>
          <w:lang w:val="en-GB"/>
        </w:rPr>
        <w:t xml:space="preserve"> to the ESO can be found in the Grid Code CC.A.3, CC.6.3.7, CC.6.3.12, CC.6.3.13, CC.6.3.14, and </w:t>
      </w:r>
      <w:r>
        <w:t>BC3.5.1</w:t>
      </w:r>
      <w:r>
        <w:rPr>
          <w:lang w:val="en-GB"/>
        </w:rPr>
        <w:t>. The CC.A.3 details which plant the obligation falls to as well as plant operating range, minimum frequency response profile, testing and repeatability of response.  Specific exclusions are included in CC.6.3.7(f) and also in BC3.5.4(e) and (f).</w:t>
      </w:r>
    </w:p>
    <w:p w14:paraId="08A38C87" w14:textId="77777777" w:rsidR="00980032" w:rsidRDefault="00980032" w:rsidP="00980032">
      <w:pPr>
        <w:pStyle w:val="Paragrapgh-numbered"/>
        <w:numPr>
          <w:ilvl w:val="1"/>
          <w:numId w:val="19"/>
        </w:numPr>
        <w:rPr>
          <w:lang w:val="en-GB"/>
        </w:rPr>
      </w:pPr>
      <w:r>
        <w:rPr>
          <w:lang w:val="en-GB"/>
        </w:rPr>
        <w:t>The obligation for certain grid users to make certain FCR services at the disposition of the ESO is detailed in the Grid Code in BC 3 (more specifically BC3.5, BC3.6 and BC3.7)</w:t>
      </w:r>
    </w:p>
    <w:p w14:paraId="0552BD7C" w14:textId="77777777" w:rsidR="00980032" w:rsidRDefault="00980032" w:rsidP="00980032">
      <w:pPr>
        <w:pStyle w:val="Paragrapgh-numbered"/>
        <w:numPr>
          <w:ilvl w:val="2"/>
          <w:numId w:val="19"/>
        </w:numPr>
        <w:rPr>
          <w:lang w:val="en-GB"/>
        </w:rPr>
      </w:pPr>
      <w:r>
        <w:rPr>
          <w:lang w:val="en-GB"/>
        </w:rPr>
        <w:t xml:space="preserve">All plant identified in BC3.5.2 that is producing active power must provide Limited Sensitivity Mode frequency services as defined in Grid Code </w:t>
      </w:r>
      <w:r>
        <w:t>CC.6.3.3 and ECC.6.3.3</w:t>
      </w:r>
      <w:r>
        <w:rPr>
          <w:lang w:val="en-GB"/>
        </w:rPr>
        <w:t>.</w:t>
      </w:r>
    </w:p>
    <w:p w14:paraId="523BF87D" w14:textId="77777777" w:rsidR="00980032" w:rsidRDefault="00980032" w:rsidP="00980032">
      <w:pPr>
        <w:pStyle w:val="Paragrapgh-numbered"/>
        <w:numPr>
          <w:ilvl w:val="2"/>
          <w:numId w:val="19"/>
        </w:numPr>
        <w:rPr>
          <w:lang w:val="en-GB"/>
        </w:rPr>
      </w:pPr>
      <w:r>
        <w:rPr>
          <w:lang w:val="en-GB"/>
        </w:rPr>
        <w:t>All plant identified in BC3.5.4(a) must offer to provide FCR services and accept instructions to make such services active.  At the time of writing, this covers the GB FCR services known as “Primary” and “High”.</w:t>
      </w:r>
    </w:p>
    <w:p w14:paraId="61B8C753" w14:textId="77777777" w:rsidR="00980032" w:rsidRPr="00EA3F1F" w:rsidRDefault="00980032" w:rsidP="00980032">
      <w:pPr>
        <w:pStyle w:val="Paragrapgh-numbered"/>
        <w:numPr>
          <w:ilvl w:val="3"/>
          <w:numId w:val="19"/>
        </w:numPr>
        <w:rPr>
          <w:i/>
          <w:lang w:val="en-GB"/>
        </w:rPr>
      </w:pPr>
      <w:r w:rsidRPr="00EA3F1F">
        <w:rPr>
          <w:i/>
          <w:lang w:val="en-GB"/>
        </w:rPr>
        <w:t>For Note: the GB response service “Secondary” fits in the FRR category</w:t>
      </w:r>
      <w:r>
        <w:rPr>
          <w:i/>
          <w:lang w:val="en-GB"/>
        </w:rPr>
        <w:t xml:space="preserve"> and thus the obligation to provide this service is defined in the LFC Block Operational Methodologies document in Article 13</w:t>
      </w:r>
      <w:r w:rsidRPr="00EA3F1F">
        <w:rPr>
          <w:i/>
          <w:lang w:val="en-GB"/>
        </w:rPr>
        <w:t>.</w:t>
      </w:r>
    </w:p>
    <w:p w14:paraId="5262FB28" w14:textId="2CEAC4E1" w:rsidR="00980032" w:rsidRDefault="00980032" w:rsidP="00184DBA">
      <w:pPr>
        <w:pStyle w:val="Paragrapgh-numbered"/>
        <w:numPr>
          <w:ilvl w:val="0"/>
          <w:numId w:val="19"/>
        </w:numPr>
        <w:rPr>
          <w:lang w:val="en-GB"/>
        </w:rPr>
      </w:pPr>
      <w:r>
        <w:rPr>
          <w:lang w:val="en-GB"/>
        </w:rPr>
        <w:t>On longer multi-month timescales the ESO can assess the risk of a shortfall in FCR [installed] capacity from the connection records and can evaluate how the availability of FCR capable plant and FCR service offerings are expected to evolve with time.</w:t>
      </w:r>
    </w:p>
    <w:p w14:paraId="458FA775" w14:textId="37DBD001" w:rsidR="00980032" w:rsidRDefault="00980032" w:rsidP="00184DBA">
      <w:pPr>
        <w:pStyle w:val="Paragrapgh-numbered"/>
        <w:numPr>
          <w:ilvl w:val="0"/>
          <w:numId w:val="19"/>
        </w:numPr>
        <w:rPr>
          <w:lang w:val="en-GB"/>
        </w:rPr>
      </w:pPr>
      <w:r>
        <w:rPr>
          <w:lang w:val="en-GB"/>
        </w:rPr>
        <w:t>The ESO assesses the evolution in needs of the GB electricity system and the availability and capability of FCR providers taking actions appropriate to the time-horizon to make capacity available and ensure that dimensioning requirements can be met.</w:t>
      </w:r>
    </w:p>
    <w:p w14:paraId="1E94788A" w14:textId="3DF98800" w:rsidR="00184DBA" w:rsidRPr="00D00ABD" w:rsidRDefault="004C519D" w:rsidP="00980032">
      <w:pPr>
        <w:pStyle w:val="Paragrapgh-numbered"/>
        <w:numPr>
          <w:ilvl w:val="0"/>
          <w:numId w:val="0"/>
        </w:numPr>
        <w:ind w:left="360"/>
        <w:rPr>
          <w:color w:val="C0504D" w:themeColor="accent2"/>
        </w:rPr>
      </w:pPr>
      <w:r w:rsidRPr="00D00ABD">
        <w:rPr>
          <w:lang w:val="en-GB"/>
        </w:rPr>
        <w:t xml:space="preserve"> </w:t>
      </w:r>
    </w:p>
    <w:p w14:paraId="40E10C1E" w14:textId="799827AC" w:rsidR="00184DBA" w:rsidRPr="00D00ABD" w:rsidRDefault="0051359E" w:rsidP="00EA3F1F">
      <w:pPr>
        <w:pStyle w:val="Heading2"/>
        <w:spacing w:line="240" w:lineRule="auto"/>
      </w:pPr>
      <w:bookmarkStart w:id="38" w:name="_Toc514851732"/>
      <w:bookmarkStart w:id="39" w:name="_Toc514856715"/>
      <w:bookmarkStart w:id="40" w:name="_Toc519422422"/>
      <w:r w:rsidRPr="00D00ABD">
        <w:t>SAOM</w:t>
      </w:r>
      <w:r w:rsidR="00184DBA" w:rsidRPr="00D00ABD">
        <w:t xml:space="preserve"> Article 1</w:t>
      </w:r>
      <w:r w:rsidR="007A3E39">
        <w:t>5</w:t>
      </w:r>
      <w:r w:rsidR="00184DBA" w:rsidRPr="00D00ABD">
        <w:t xml:space="preserve"> - SOGL Article 118 (f)</w:t>
      </w:r>
      <w:r w:rsidR="004C519D" w:rsidRPr="00D00ABD">
        <w:t xml:space="preserve">  </w:t>
      </w:r>
      <w:r w:rsidR="00184DBA" w:rsidRPr="00D00ABD">
        <w:t xml:space="preserve"> the synchronous area monitor in accordance with Article 133;</w:t>
      </w:r>
      <w:bookmarkEnd w:id="38"/>
      <w:bookmarkEnd w:id="39"/>
      <w:bookmarkEnd w:id="40"/>
    </w:p>
    <w:p w14:paraId="149AA767" w14:textId="1E4A9F70" w:rsidR="00184DBA" w:rsidRPr="00D00ABD" w:rsidRDefault="00184DBA" w:rsidP="00097B0F">
      <w:r w:rsidRPr="00D00ABD">
        <w:t xml:space="preserve"> </w:t>
      </w:r>
    </w:p>
    <w:p w14:paraId="0C14DF5B" w14:textId="79E1EF28" w:rsidR="00184DBA" w:rsidRPr="00D00ABD" w:rsidRDefault="00184DBA" w:rsidP="00184DBA">
      <w:pPr>
        <w:pStyle w:val="Paragrapgh-numbered"/>
        <w:numPr>
          <w:ilvl w:val="0"/>
          <w:numId w:val="20"/>
        </w:numPr>
        <w:rPr>
          <w:rFonts w:eastAsiaTheme="minorHAnsi"/>
          <w:lang w:val="en-GB"/>
        </w:rPr>
      </w:pPr>
      <w:r w:rsidRPr="00D00ABD">
        <w:rPr>
          <w:rFonts w:eastAsiaTheme="minorHAnsi"/>
          <w:lang w:val="en-GB"/>
        </w:rPr>
        <w:t xml:space="preserve">Each Synchronous Area requires a Synchronous Area Monitor is a nominated system operator from that area who is responsible for collecting frequency data and evaluating the </w:t>
      </w:r>
      <w:r w:rsidRPr="00D00ABD">
        <w:rPr>
          <w:rFonts w:eastAsiaTheme="minorHAnsi"/>
          <w:lang w:val="en-GB"/>
        </w:rPr>
        <w:lastRenderedPageBreak/>
        <w:t>frequency performance of the electrical system in order to derive a number of statistical metrics for reporting and publication.</w:t>
      </w:r>
      <w:r w:rsidR="004C519D" w:rsidRPr="00D00ABD">
        <w:rPr>
          <w:rFonts w:eastAsiaTheme="minorHAnsi"/>
          <w:lang w:val="en-GB"/>
        </w:rPr>
        <w:t xml:space="preserve"> </w:t>
      </w:r>
      <w:r w:rsidR="00D32DD5" w:rsidRPr="00D00ABD">
        <w:rPr>
          <w:rFonts w:eastAsiaTheme="minorHAnsi"/>
          <w:lang w:val="en-GB"/>
        </w:rPr>
        <w:t>The ESO</w:t>
      </w:r>
      <w:r w:rsidRPr="00D00ABD">
        <w:rPr>
          <w:rFonts w:eastAsiaTheme="minorHAnsi"/>
          <w:lang w:val="en-GB"/>
        </w:rPr>
        <w:t>, as the sole electricity system operator in the GB synchronous area will perform this function; collecting and publishing the statistical data defined in SOGL article 131.</w:t>
      </w:r>
    </w:p>
    <w:p w14:paraId="17C95DBC" w14:textId="499AF3F7" w:rsidR="00184DBA" w:rsidRPr="00D00ABD" w:rsidRDefault="0051359E" w:rsidP="00EA3F1F">
      <w:pPr>
        <w:pStyle w:val="Heading2"/>
        <w:spacing w:line="240" w:lineRule="auto"/>
      </w:pPr>
      <w:bookmarkStart w:id="41" w:name="_Toc514851734"/>
      <w:bookmarkStart w:id="42" w:name="_Toc514856717"/>
      <w:bookmarkStart w:id="43" w:name="_Toc519422423"/>
      <w:r w:rsidRPr="00D00ABD">
        <w:t>SAOM</w:t>
      </w:r>
      <w:r w:rsidR="00184DBA" w:rsidRPr="00D00ABD">
        <w:t xml:space="preserve"> Article </w:t>
      </w:r>
      <w:r w:rsidR="007A3E39" w:rsidRPr="00D00ABD">
        <w:t>1</w:t>
      </w:r>
      <w:r w:rsidR="007A3E39">
        <w:t>6</w:t>
      </w:r>
      <w:r w:rsidR="007A3E39" w:rsidRPr="00D00ABD">
        <w:t xml:space="preserve"> </w:t>
      </w:r>
      <w:r w:rsidR="00184DBA" w:rsidRPr="00D00ABD">
        <w:t>- SOGL Article 118 (g)</w:t>
      </w:r>
      <w:r w:rsidR="004C519D" w:rsidRPr="00D00ABD">
        <w:t xml:space="preserve">  </w:t>
      </w:r>
      <w:r w:rsidR="00184DBA" w:rsidRPr="00D00ABD">
        <w:t xml:space="preserve"> the calculation of the control program from the netted area AC position with a common ramping period for ACE calculation for a synchronous area with more than one LFC area in accordance with Article 136;</w:t>
      </w:r>
      <w:bookmarkEnd w:id="41"/>
      <w:bookmarkEnd w:id="42"/>
      <w:bookmarkEnd w:id="43"/>
    </w:p>
    <w:p w14:paraId="231DA734" w14:textId="6159F87C" w:rsidR="00184DBA" w:rsidRPr="00D00ABD" w:rsidRDefault="00184DBA" w:rsidP="00097B0F">
      <w:r w:rsidRPr="00D00ABD">
        <w:t xml:space="preserve"> </w:t>
      </w:r>
    </w:p>
    <w:p w14:paraId="43A42851" w14:textId="77777777" w:rsidR="00184DBA" w:rsidRPr="00D00ABD" w:rsidRDefault="00184DBA" w:rsidP="00184DBA">
      <w:pPr>
        <w:pStyle w:val="Paragrapgh-numbered"/>
        <w:numPr>
          <w:ilvl w:val="0"/>
          <w:numId w:val="22"/>
        </w:numPr>
        <w:rPr>
          <w:rFonts w:eastAsiaTheme="minorHAnsi"/>
          <w:lang w:val="en-GB"/>
        </w:rPr>
      </w:pPr>
      <w:r w:rsidRPr="00D00ABD">
        <w:rPr>
          <w:rFonts w:eastAsiaTheme="minorHAnsi"/>
          <w:lang w:val="en-GB"/>
        </w:rPr>
        <w:t xml:space="preserve">This Article does not apply in GB because of the LFC Block structure where there is a single TSO with the responsibility of being the GB electricity system operator for a single LFC Area that is contiguous with the LFC Block and Synchronous Area. </w:t>
      </w:r>
    </w:p>
    <w:p w14:paraId="0BAB8EA2" w14:textId="77777777" w:rsidR="00184DBA" w:rsidRPr="00097B0F" w:rsidRDefault="00184DBA" w:rsidP="00097B0F"/>
    <w:p w14:paraId="4F8BA335" w14:textId="77777777" w:rsidR="00184DBA" w:rsidRPr="00097B0F" w:rsidRDefault="00184DBA" w:rsidP="00097B0F"/>
    <w:p w14:paraId="3B011799" w14:textId="67F258AF" w:rsidR="00184DBA" w:rsidRPr="00D00ABD" w:rsidRDefault="0051359E" w:rsidP="00EA3F1F">
      <w:pPr>
        <w:pStyle w:val="Heading2"/>
        <w:spacing w:line="240" w:lineRule="auto"/>
      </w:pPr>
      <w:bookmarkStart w:id="44" w:name="_Toc514851736"/>
      <w:bookmarkStart w:id="45" w:name="_Toc514856719"/>
      <w:bookmarkStart w:id="46" w:name="_Toc519422424"/>
      <w:r w:rsidRPr="00D00ABD">
        <w:t>SAOM</w:t>
      </w:r>
      <w:r w:rsidR="00184DBA" w:rsidRPr="00D00ABD">
        <w:t xml:space="preserve"> Article </w:t>
      </w:r>
      <w:r w:rsidR="007A3E39" w:rsidRPr="00D00ABD">
        <w:t>1</w:t>
      </w:r>
      <w:r w:rsidR="007A3E39">
        <w:t>7</w:t>
      </w:r>
      <w:r w:rsidR="007A3E39" w:rsidRPr="00D00ABD">
        <w:t xml:space="preserve"> </w:t>
      </w:r>
      <w:r w:rsidR="00184DBA" w:rsidRPr="00D00ABD">
        <w:t>- SOGL Article 118 (h)</w:t>
      </w:r>
      <w:r w:rsidR="004C519D" w:rsidRPr="00D00ABD">
        <w:t xml:space="preserve">  </w:t>
      </w:r>
      <w:r w:rsidR="00184DBA" w:rsidRPr="00D00ABD">
        <w:t xml:space="preserve"> if applicable, restrictions for the active power output of HVDC interconnectors between synchronous areas in accordance with Article 137(1);</w:t>
      </w:r>
      <w:bookmarkEnd w:id="44"/>
      <w:bookmarkEnd w:id="45"/>
      <w:bookmarkEnd w:id="46"/>
    </w:p>
    <w:p w14:paraId="33F31F46" w14:textId="57413034" w:rsidR="00184DBA" w:rsidRPr="00D00ABD" w:rsidRDefault="00184DBA" w:rsidP="00097B0F">
      <w:r w:rsidRPr="00D00ABD">
        <w:t xml:space="preserve"> </w:t>
      </w:r>
    </w:p>
    <w:p w14:paraId="1103A057" w14:textId="42D8EAD3" w:rsidR="00184DBA" w:rsidRPr="00D00ABD" w:rsidRDefault="00184DBA" w:rsidP="00184DBA">
      <w:pPr>
        <w:pStyle w:val="Paragrapgh-numbered"/>
        <w:numPr>
          <w:ilvl w:val="0"/>
          <w:numId w:val="23"/>
        </w:numPr>
        <w:rPr>
          <w:lang w:val="en-GB"/>
        </w:rPr>
      </w:pPr>
      <w:r w:rsidRPr="00D00ABD">
        <w:rPr>
          <w:lang w:val="en-GB"/>
        </w:rPr>
        <w:t>Control of HVDC ramping is presented in both SOGL articles 118(1)(h) and 119(1)(c).</w:t>
      </w:r>
      <w:r w:rsidR="004C519D" w:rsidRPr="00D00ABD">
        <w:rPr>
          <w:lang w:val="en-GB"/>
        </w:rPr>
        <w:t xml:space="preserve"> </w:t>
      </w:r>
      <w:r w:rsidRPr="00D00ABD">
        <w:rPr>
          <w:lang w:val="en-GB"/>
        </w:rPr>
        <w:t>This difference is only significant in Synchronous Areas which have more than one LFC Block and hence more than one system operator. In those areas there are different partitions of responsibilities in the Process Responsibility Structure (SOGL article 141). The text from SOGL article 118 (also SOGL article 137(1) ) focuses on the impact of ramping on the frequency quality and the Frequency Restoration Process and SOGL article 119 (also SOGL articles 137(3)&amp;(4) ) considers the impact of HVDC ramping on the Frequency Restoration Control Error and the Frequency Restoration Process. In GB where there is only one system operator in one LFC Block there is no need for a distinction and one set of rules, defined in one text may cater for both requirements.</w:t>
      </w:r>
      <w:r w:rsidR="004C519D" w:rsidRPr="00D00ABD">
        <w:rPr>
          <w:lang w:val="en-GB"/>
        </w:rPr>
        <w:t xml:space="preserve"> </w:t>
      </w:r>
      <w:r w:rsidRPr="00EA3F1F">
        <w:rPr>
          <w:b/>
          <w:lang w:val="en-GB"/>
        </w:rPr>
        <w:t xml:space="preserve">For this </w:t>
      </w:r>
      <w:r w:rsidR="00826115" w:rsidRPr="00826115">
        <w:rPr>
          <w:b/>
          <w:lang w:val="en-GB"/>
        </w:rPr>
        <w:t>reason,</w:t>
      </w:r>
      <w:r w:rsidRPr="00EA3F1F">
        <w:rPr>
          <w:b/>
          <w:lang w:val="en-GB"/>
        </w:rPr>
        <w:t xml:space="preserve"> in GB it is proposed that Ramp Rate </w:t>
      </w:r>
      <w:r w:rsidR="00826115">
        <w:rPr>
          <w:b/>
          <w:lang w:val="en-GB"/>
        </w:rPr>
        <w:t>R</w:t>
      </w:r>
      <w:r w:rsidRPr="00EA3F1F">
        <w:rPr>
          <w:b/>
          <w:lang w:val="en-GB"/>
        </w:rPr>
        <w:t>estrictions for HVDC interconnectors initially be drafted as part of the LFC Block Operational Agreement under SOGL article 119(1)(c).</w:t>
      </w:r>
    </w:p>
    <w:p w14:paraId="532AF043" w14:textId="77777777" w:rsidR="00184DBA" w:rsidRPr="00097B0F" w:rsidRDefault="00184DBA" w:rsidP="00097B0F">
      <w:pPr>
        <w:rPr>
          <w:rFonts w:eastAsiaTheme="minorHAnsi"/>
        </w:rPr>
      </w:pPr>
    </w:p>
    <w:p w14:paraId="31501F32" w14:textId="77777777" w:rsidR="00184DBA" w:rsidRPr="00097B0F" w:rsidRDefault="00184DBA" w:rsidP="00097B0F"/>
    <w:p w14:paraId="69C9875F" w14:textId="59F51701" w:rsidR="00184DBA" w:rsidRPr="00D00ABD" w:rsidRDefault="0051359E" w:rsidP="00EA3F1F">
      <w:pPr>
        <w:pStyle w:val="Heading2"/>
        <w:spacing w:line="240" w:lineRule="auto"/>
      </w:pPr>
      <w:bookmarkStart w:id="47" w:name="_Toc514851738"/>
      <w:bookmarkStart w:id="48" w:name="_Toc514856721"/>
      <w:bookmarkStart w:id="49" w:name="_Toc519422425"/>
      <w:r w:rsidRPr="00D00ABD">
        <w:t>SAOM</w:t>
      </w:r>
      <w:r w:rsidR="00184DBA" w:rsidRPr="00D00ABD">
        <w:t xml:space="preserve"> Article </w:t>
      </w:r>
      <w:r w:rsidR="007A3E39" w:rsidRPr="00D00ABD">
        <w:t>1</w:t>
      </w:r>
      <w:r w:rsidR="007A3E39">
        <w:t>8</w:t>
      </w:r>
      <w:r w:rsidR="007A3E39" w:rsidRPr="00D00ABD">
        <w:t xml:space="preserve"> </w:t>
      </w:r>
      <w:r w:rsidR="00184DBA" w:rsidRPr="00D00ABD">
        <w:t>- SOGL Article 118 (i)</w:t>
      </w:r>
      <w:r w:rsidR="004C519D" w:rsidRPr="00D00ABD">
        <w:t xml:space="preserve">  </w:t>
      </w:r>
      <w:r w:rsidR="00184DBA" w:rsidRPr="00D00ABD">
        <w:t xml:space="preserve"> the LFC structure in accordance with Article 139;</w:t>
      </w:r>
      <w:bookmarkEnd w:id="47"/>
      <w:bookmarkEnd w:id="48"/>
      <w:bookmarkEnd w:id="49"/>
    </w:p>
    <w:p w14:paraId="735B28EA" w14:textId="2A806937" w:rsidR="00184DBA" w:rsidRPr="00D00ABD" w:rsidRDefault="00184DBA" w:rsidP="00097B0F">
      <w:r w:rsidRPr="00D00ABD">
        <w:t xml:space="preserve"> </w:t>
      </w:r>
    </w:p>
    <w:p w14:paraId="0B3D9E4F" w14:textId="77777777" w:rsidR="00184DBA" w:rsidRPr="00D00ABD" w:rsidRDefault="00184DBA" w:rsidP="00184DBA">
      <w:pPr>
        <w:pStyle w:val="Paragrapgh-numbered"/>
        <w:numPr>
          <w:ilvl w:val="0"/>
          <w:numId w:val="24"/>
        </w:numPr>
        <w:rPr>
          <w:lang w:val="en-GB"/>
        </w:rPr>
      </w:pPr>
      <w:r w:rsidRPr="00D00ABD">
        <w:rPr>
          <w:lang w:val="en-GB"/>
        </w:rPr>
        <w:t>The SOGL requires the TSOs of a synchronous area to define which operator does what in the hierarchy of responsibilities (SOGL article 141) and also which of the optional control processes are to be used in the synchronous area and LFC Blocks (SOGL article 140).</w:t>
      </w:r>
    </w:p>
    <w:p w14:paraId="55EEF592" w14:textId="55548939" w:rsidR="00184DBA" w:rsidRDefault="00184DBA" w:rsidP="00184DBA">
      <w:pPr>
        <w:pStyle w:val="Paragrapgh-numbered"/>
        <w:numPr>
          <w:ilvl w:val="0"/>
          <w:numId w:val="24"/>
        </w:numPr>
        <w:rPr>
          <w:lang w:val="en-GB"/>
        </w:rPr>
      </w:pPr>
      <w:r w:rsidRPr="00D00ABD">
        <w:rPr>
          <w:lang w:val="en-GB"/>
        </w:rPr>
        <w:t>At this point I would invite the readers to also consider the “</w:t>
      </w:r>
      <w:r w:rsidR="00826115">
        <w:rPr>
          <w:lang w:val="en-GB"/>
        </w:rPr>
        <w:t>D</w:t>
      </w:r>
      <w:r w:rsidRPr="00D00ABD">
        <w:rPr>
          <w:lang w:val="en-GB"/>
        </w:rPr>
        <w:t>etermination of LFC Blocks</w:t>
      </w:r>
      <w:r w:rsidR="00826115">
        <w:rPr>
          <w:lang w:val="en-GB"/>
        </w:rPr>
        <w:t>, for the GB synchronous area</w:t>
      </w:r>
      <w:r w:rsidRPr="00D00ABD">
        <w:rPr>
          <w:lang w:val="en-GB"/>
        </w:rPr>
        <w:t xml:space="preserve">” methodology which explains that within GB all aspects of the LFC hierarchy are concurrent and that there is a single electricity system operator, </w:t>
      </w:r>
      <w:r w:rsidR="00D32DD5" w:rsidRPr="00D00ABD">
        <w:rPr>
          <w:lang w:val="en-GB"/>
        </w:rPr>
        <w:t>The ESO</w:t>
      </w:r>
      <w:r w:rsidRPr="00D00ABD">
        <w:rPr>
          <w:lang w:val="en-GB"/>
        </w:rPr>
        <w:t>, who operate all control processes defined in the Process Activation Structure.</w:t>
      </w:r>
    </w:p>
    <w:p w14:paraId="307C6205" w14:textId="2FC95CF6" w:rsidR="002039E6" w:rsidRPr="00D00ABD" w:rsidRDefault="002039E6" w:rsidP="00184DBA">
      <w:pPr>
        <w:pStyle w:val="Paragrapgh-numbered"/>
        <w:numPr>
          <w:ilvl w:val="0"/>
          <w:numId w:val="24"/>
        </w:numPr>
        <w:rPr>
          <w:lang w:val="en-GB"/>
        </w:rPr>
      </w:pPr>
      <w:r>
        <w:rPr>
          <w:lang w:val="en-GB"/>
        </w:rPr>
        <w:lastRenderedPageBreak/>
        <w:t>The Process Activation Structures of each Synchronous Area and LFC Block may vary according to technical need and market design. These control processes form the link between the Frequency quality and defining parameters, which the processes service to meet, and the SOGL reserve categories and services/products they contain, which are used by the processes.  [See this document article 5].</w:t>
      </w:r>
    </w:p>
    <w:p w14:paraId="4B4FB6B5" w14:textId="72B91A61" w:rsidR="00184DBA" w:rsidRDefault="00184DBA" w:rsidP="00184DBA">
      <w:pPr>
        <w:pStyle w:val="Paragrapgh-numbered"/>
        <w:numPr>
          <w:ilvl w:val="0"/>
          <w:numId w:val="24"/>
        </w:numPr>
        <w:rPr>
          <w:lang w:val="en-GB"/>
        </w:rPr>
      </w:pPr>
      <w:r w:rsidRPr="00D00ABD">
        <w:rPr>
          <w:lang w:val="en-GB"/>
        </w:rPr>
        <w:t>Within the Process Activation Structure there the mandatory processes are a Frequency Containment Process; a Frequency Restoration Process. SOGL considers the Reserve Replacement Process to be optional according to the needs and market design of the given LFC Area and LFC Block.</w:t>
      </w:r>
      <w:r w:rsidR="004C519D" w:rsidRPr="00D00ABD">
        <w:rPr>
          <w:lang w:val="en-GB"/>
        </w:rPr>
        <w:t xml:space="preserve"> </w:t>
      </w:r>
      <w:r w:rsidRPr="00D00ABD">
        <w:rPr>
          <w:lang w:val="en-GB"/>
        </w:rPr>
        <w:t>Similarly, the cross-border processes are also optional under SOGL.</w:t>
      </w:r>
      <w:r w:rsidR="004C519D" w:rsidRPr="00D00ABD">
        <w:rPr>
          <w:lang w:val="en-GB"/>
        </w:rPr>
        <w:t xml:space="preserve"> </w:t>
      </w:r>
    </w:p>
    <w:p w14:paraId="72C801BB" w14:textId="3913D297" w:rsidR="00D510FA" w:rsidRDefault="00520870" w:rsidP="00EA3F1F">
      <w:pPr>
        <w:pStyle w:val="Paragrapgh-numbered"/>
        <w:numPr>
          <w:ilvl w:val="1"/>
          <w:numId w:val="24"/>
        </w:numPr>
        <w:rPr>
          <w:lang w:val="en-GB"/>
        </w:rPr>
      </w:pPr>
      <w:r>
        <w:rPr>
          <w:lang w:val="en-GB"/>
        </w:rPr>
        <w:t>GB has the mandatory</w:t>
      </w:r>
      <w:r w:rsidR="00D510FA">
        <w:rPr>
          <w:lang w:val="en-GB"/>
        </w:rPr>
        <w:t xml:space="preserve"> Frequency Containment Process:</w:t>
      </w:r>
    </w:p>
    <w:p w14:paraId="3DE68E49" w14:textId="66EF660C" w:rsidR="00D510FA" w:rsidRDefault="00D510FA" w:rsidP="00EA3F1F">
      <w:pPr>
        <w:pStyle w:val="Paragrapgh-numbered"/>
        <w:numPr>
          <w:ilvl w:val="2"/>
          <w:numId w:val="24"/>
        </w:numPr>
        <w:rPr>
          <w:lang w:val="en-GB"/>
        </w:rPr>
      </w:pPr>
      <w:r w:rsidRPr="00D510FA">
        <w:rPr>
          <w:lang w:val="en-GB"/>
        </w:rPr>
        <w:t>The purpose of this process is to prevent the rapid rise or fall of frequency following a sudden imbalance between injection and off-take from the electricity system. The FCP prevents the maximum deviation exceeding 800mHz and returns to inside the frequency recovery range within the time to recover frequency</w:t>
      </w:r>
      <w:r>
        <w:rPr>
          <w:lang w:val="en-GB"/>
        </w:rPr>
        <w:t>;</w:t>
      </w:r>
      <w:r w:rsidRPr="00D510FA">
        <w:rPr>
          <w:lang w:val="en-GB"/>
        </w:rPr>
        <w:t xml:space="preserve">  </w:t>
      </w:r>
    </w:p>
    <w:p w14:paraId="3261600D" w14:textId="7DD70BA4" w:rsidR="00520870" w:rsidRPr="00D510FA" w:rsidRDefault="007D7EBC" w:rsidP="00EA3F1F">
      <w:pPr>
        <w:pStyle w:val="Paragrapgh-numbered"/>
        <w:numPr>
          <w:ilvl w:val="2"/>
          <w:numId w:val="24"/>
        </w:numPr>
        <w:rPr>
          <w:lang w:val="en-GB"/>
        </w:rPr>
      </w:pPr>
      <w:r w:rsidRPr="00D510FA">
        <w:rPr>
          <w:lang w:val="en-GB"/>
        </w:rPr>
        <w:t>F</w:t>
      </w:r>
      <w:r w:rsidR="00520870" w:rsidRPr="00D510FA">
        <w:rPr>
          <w:lang w:val="en-GB"/>
        </w:rPr>
        <w:t>requency response services are used to fulfil the SOGL requirements of the Frequency Containment Process for GB.</w:t>
      </w:r>
      <w:r w:rsidRPr="00D510FA">
        <w:rPr>
          <w:lang w:val="en-GB"/>
        </w:rPr>
        <w:t xml:space="preserve"> These may be from GB or cross border sources. They may be from static or dynamic sources and have different response characteristics. The ESO seeks to use a mix of sources to optimise security and risk in an economic and efficient manner for the consumer.</w:t>
      </w:r>
    </w:p>
    <w:p w14:paraId="224C54C5" w14:textId="2F7CA186" w:rsidR="00D510FA" w:rsidRDefault="00520870" w:rsidP="00EA3F1F">
      <w:pPr>
        <w:pStyle w:val="Paragrapgh-numbered"/>
        <w:numPr>
          <w:ilvl w:val="1"/>
          <w:numId w:val="24"/>
        </w:numPr>
        <w:rPr>
          <w:lang w:val="en-GB"/>
        </w:rPr>
      </w:pPr>
      <w:r>
        <w:rPr>
          <w:lang w:val="en-GB"/>
        </w:rPr>
        <w:t>GB has the mandatory Frequency Restoration Process</w:t>
      </w:r>
      <w:r w:rsidR="00D510FA">
        <w:rPr>
          <w:lang w:val="en-GB"/>
        </w:rPr>
        <w:t>:</w:t>
      </w:r>
    </w:p>
    <w:p w14:paraId="4BF09B50" w14:textId="3F226309" w:rsidR="00D510FA" w:rsidRDefault="002039E6" w:rsidP="00EA3F1F">
      <w:pPr>
        <w:pStyle w:val="Paragrapgh-numbered"/>
        <w:numPr>
          <w:ilvl w:val="2"/>
          <w:numId w:val="24"/>
        </w:numPr>
        <w:rPr>
          <w:lang w:val="en-GB"/>
        </w:rPr>
      </w:pPr>
      <w:r>
        <w:rPr>
          <w:lang w:val="en-GB"/>
        </w:rPr>
        <w:t xml:space="preserve">The purpose of this control process is to return </w:t>
      </w:r>
      <w:r w:rsidR="00D510FA">
        <w:rPr>
          <w:lang w:val="en-GB"/>
        </w:rPr>
        <w:t>the system frequency to a value inside the frequency restoration range within the time to restore frequency;</w:t>
      </w:r>
    </w:p>
    <w:p w14:paraId="253E23AB" w14:textId="5A9C25B8" w:rsidR="00D510FA" w:rsidRDefault="00D510FA" w:rsidP="00EA3F1F">
      <w:pPr>
        <w:pStyle w:val="Paragrapgh-numbered"/>
        <w:numPr>
          <w:ilvl w:val="2"/>
          <w:numId w:val="24"/>
        </w:numPr>
        <w:rPr>
          <w:lang w:val="en-GB"/>
        </w:rPr>
      </w:pPr>
      <w:r>
        <w:rPr>
          <w:lang w:val="en-GB"/>
        </w:rPr>
        <w:t>Frequency response and reserve services which have a total activation process time of longer than 10s and less than 15 minutes and used for LFCR purposes are considered to be in this category.</w:t>
      </w:r>
    </w:p>
    <w:p w14:paraId="4CB1623C" w14:textId="5D7519BB" w:rsidR="00D510FA" w:rsidRDefault="007D7EBC" w:rsidP="00EA3F1F">
      <w:pPr>
        <w:pStyle w:val="Paragrapgh-numbered"/>
        <w:numPr>
          <w:ilvl w:val="2"/>
          <w:numId w:val="24"/>
        </w:numPr>
        <w:rPr>
          <w:lang w:val="en-GB"/>
        </w:rPr>
      </w:pPr>
      <w:r>
        <w:rPr>
          <w:lang w:val="en-GB"/>
        </w:rPr>
        <w:t xml:space="preserve">Slower </w:t>
      </w:r>
      <w:r w:rsidR="00520870">
        <w:rPr>
          <w:lang w:val="en-GB"/>
        </w:rPr>
        <w:t xml:space="preserve">frequency response and faster </w:t>
      </w:r>
      <w:r>
        <w:rPr>
          <w:lang w:val="en-GB"/>
        </w:rPr>
        <w:t xml:space="preserve">GB </w:t>
      </w:r>
      <w:r w:rsidR="00520870">
        <w:rPr>
          <w:lang w:val="en-GB"/>
        </w:rPr>
        <w:t xml:space="preserve">reserve services are used to operate the SOGL Frequency Restoration Process </w:t>
      </w:r>
      <w:r>
        <w:rPr>
          <w:lang w:val="en-GB"/>
        </w:rPr>
        <w:t>for GB</w:t>
      </w:r>
      <w:r w:rsidR="00520870">
        <w:rPr>
          <w:lang w:val="en-GB"/>
        </w:rPr>
        <w:t>.</w:t>
      </w:r>
      <w:r>
        <w:rPr>
          <w:lang w:val="en-GB"/>
        </w:rPr>
        <w:t xml:space="preserve">  These may be from GB or cross border providers. They may have different activation and duration characteristics. The ESO seeks to use a mix of sources to optimise security and risk in an economic and ef</w:t>
      </w:r>
      <w:r w:rsidR="00D510FA">
        <w:rPr>
          <w:lang w:val="en-GB"/>
        </w:rPr>
        <w:t>ficient manner for the consumer;</w:t>
      </w:r>
    </w:p>
    <w:p w14:paraId="0C7F88F8" w14:textId="67193273" w:rsidR="00520870" w:rsidRDefault="007D7EBC" w:rsidP="00EA3F1F">
      <w:pPr>
        <w:pStyle w:val="Paragrapgh-numbered"/>
        <w:numPr>
          <w:ilvl w:val="2"/>
          <w:numId w:val="24"/>
        </w:numPr>
        <w:rPr>
          <w:lang w:val="en-GB"/>
        </w:rPr>
      </w:pPr>
      <w:r>
        <w:rPr>
          <w:lang w:val="en-GB"/>
        </w:rPr>
        <w:t>Within GB there is, at the time of drafting, no automatic Frequency Restoration Process according the definition of this process in SOGL Article 145(4). Currently no GB services nor cross-border services meet this definition and therefore must be considered ‘manual’ including any GB response service which reaches full activation more than 10seconds after the TSO need (to place it in the FRR category) and which may be driven by a frequency governor or sensor rather than being TSO directly despatched.</w:t>
      </w:r>
    </w:p>
    <w:p w14:paraId="3D873B95" w14:textId="77777777" w:rsidR="00D510FA" w:rsidRDefault="007D7EBC" w:rsidP="00EA3F1F">
      <w:pPr>
        <w:pStyle w:val="Paragrapgh-numbered"/>
        <w:numPr>
          <w:ilvl w:val="1"/>
          <w:numId w:val="24"/>
        </w:numPr>
        <w:rPr>
          <w:lang w:val="en-GB"/>
        </w:rPr>
      </w:pPr>
      <w:r>
        <w:rPr>
          <w:lang w:val="en-GB"/>
        </w:rPr>
        <w:t xml:space="preserve">GB has the optional Frequency Restoration Process: </w:t>
      </w:r>
    </w:p>
    <w:p w14:paraId="5994A0E0" w14:textId="77777777" w:rsidR="00D510FA" w:rsidRDefault="007D7EBC" w:rsidP="00EA3F1F">
      <w:pPr>
        <w:pStyle w:val="Paragrapgh-numbered"/>
        <w:numPr>
          <w:ilvl w:val="2"/>
          <w:numId w:val="24"/>
        </w:numPr>
        <w:rPr>
          <w:lang w:val="en-GB"/>
        </w:rPr>
      </w:pPr>
      <w:r>
        <w:rPr>
          <w:lang w:val="en-GB"/>
        </w:rPr>
        <w:lastRenderedPageBreak/>
        <w:t xml:space="preserve">This is the slowest SOGL control process which </w:t>
      </w:r>
      <w:r w:rsidR="002039E6">
        <w:rPr>
          <w:lang w:val="en-GB"/>
        </w:rPr>
        <w:t>enables the ESO to correct the energy position of the system and as SOGL states in Article 144 “to progressively restore activated FCR and FRR”</w:t>
      </w:r>
      <w:r w:rsidR="00D510FA">
        <w:rPr>
          <w:lang w:val="en-GB"/>
        </w:rPr>
        <w:t>;</w:t>
      </w:r>
    </w:p>
    <w:p w14:paraId="302970C4" w14:textId="12B1F1CF" w:rsidR="007D7EBC" w:rsidRPr="00D00ABD" w:rsidRDefault="00580BA8" w:rsidP="00EA3F1F">
      <w:pPr>
        <w:pStyle w:val="Paragrapgh-numbered"/>
        <w:numPr>
          <w:ilvl w:val="2"/>
          <w:numId w:val="24"/>
        </w:numPr>
        <w:rPr>
          <w:lang w:val="en-GB"/>
        </w:rPr>
      </w:pPr>
      <w:r>
        <w:rPr>
          <w:lang w:val="en-GB"/>
        </w:rPr>
        <w:t xml:space="preserve">Reserve </w:t>
      </w:r>
      <w:r w:rsidR="00D510FA">
        <w:rPr>
          <w:lang w:val="en-GB"/>
        </w:rPr>
        <w:t>services used uniquely for this purpose or which have a total process activation time (</w:t>
      </w:r>
      <w:r w:rsidR="00DC732B">
        <w:rPr>
          <w:lang w:val="en-GB"/>
        </w:rPr>
        <w:t>i.e.</w:t>
      </w:r>
      <w:r w:rsidR="00D510FA">
        <w:rPr>
          <w:lang w:val="en-GB"/>
        </w:rPr>
        <w:t xml:space="preserve"> the combined delays from steps in decision making by all parties and communication time between parties as well as technical delay and ramping of </w:t>
      </w:r>
      <w:r w:rsidR="00DC732B">
        <w:rPr>
          <w:lang w:val="en-GB"/>
        </w:rPr>
        <w:t>equipment) slower</w:t>
      </w:r>
      <w:r>
        <w:rPr>
          <w:lang w:val="en-GB"/>
        </w:rPr>
        <w:t xml:space="preserve"> than 15 minutes are considered to be in this category. </w:t>
      </w:r>
      <w:r w:rsidR="002039E6">
        <w:rPr>
          <w:lang w:val="en-GB"/>
        </w:rPr>
        <w:t xml:space="preserve">  </w:t>
      </w:r>
    </w:p>
    <w:p w14:paraId="4F3D8DB3" w14:textId="77777777" w:rsidR="00DC732B" w:rsidRDefault="00DC732B" w:rsidP="00184DBA">
      <w:pPr>
        <w:pStyle w:val="Paragrapgh-numbered"/>
        <w:rPr>
          <w:rFonts w:eastAsiaTheme="minorHAnsi"/>
          <w:lang w:val="en-GB"/>
        </w:rPr>
      </w:pPr>
      <w:r>
        <w:rPr>
          <w:rFonts w:eastAsiaTheme="minorHAnsi"/>
          <w:lang w:val="en-GB"/>
        </w:rPr>
        <w:t>Cross Border FRR and RR activation processes:</w:t>
      </w:r>
    </w:p>
    <w:p w14:paraId="5E41B8BC" w14:textId="701F1FD4" w:rsidR="000F13D5" w:rsidRDefault="000F13D5" w:rsidP="00EA3F1F">
      <w:pPr>
        <w:pStyle w:val="Paragrapgh-numbered"/>
        <w:numPr>
          <w:ilvl w:val="1"/>
          <w:numId w:val="37"/>
        </w:numPr>
        <w:rPr>
          <w:rFonts w:eastAsiaTheme="minorHAnsi"/>
          <w:lang w:val="en-GB"/>
        </w:rPr>
      </w:pPr>
      <w:r>
        <w:rPr>
          <w:rFonts w:eastAsiaTheme="minorHAnsi"/>
          <w:lang w:val="en-GB"/>
        </w:rPr>
        <w:t>A number of ‘cross-border-balancing’ services exist today and more are planned in line due to new connection opportunities and EBGL related developments.  By the nature of the security considerations the ESO in place (prior to SOGL) to consider the positive impacts and potential risks of FRP and RRP and link through to meeting frequency quality targets, the ESO already has checks relative to dimensioning and ‘agreements’ with interconnector operators and TSOs from other areas relative to the operation of those services.  These practices were used to form the security model that informed the SOGL legal drafting and existing services are compliant with this.</w:t>
      </w:r>
    </w:p>
    <w:p w14:paraId="52D6CC81" w14:textId="3E82EEB0" w:rsidR="00CA6DB3" w:rsidRPr="000F13D5" w:rsidRDefault="006D63AF">
      <w:pPr>
        <w:pStyle w:val="Paragrapgh-numbered"/>
        <w:numPr>
          <w:ilvl w:val="1"/>
          <w:numId w:val="37"/>
        </w:numPr>
        <w:rPr>
          <w:rFonts w:eastAsiaTheme="minorHAnsi"/>
          <w:lang w:val="en-GB"/>
        </w:rPr>
      </w:pPr>
      <w:r>
        <w:rPr>
          <w:rFonts w:eastAsiaTheme="minorHAnsi"/>
          <w:lang w:val="en-GB"/>
        </w:rPr>
        <w:t>All</w:t>
      </w:r>
      <w:r w:rsidR="00CA6DB3" w:rsidRPr="000F13D5">
        <w:rPr>
          <w:rFonts w:eastAsiaTheme="minorHAnsi"/>
          <w:lang w:val="en-GB"/>
        </w:rPr>
        <w:t xml:space="preserve"> cross-border services between system operators need </w:t>
      </w:r>
      <w:r>
        <w:rPr>
          <w:rFonts w:eastAsiaTheme="minorHAnsi"/>
          <w:lang w:val="en-GB"/>
        </w:rPr>
        <w:t xml:space="preserve">meet the </w:t>
      </w:r>
      <w:r w:rsidR="00CA6DB3" w:rsidRPr="000F13D5">
        <w:rPr>
          <w:rFonts w:eastAsiaTheme="minorHAnsi"/>
          <w:lang w:val="en-GB"/>
        </w:rPr>
        <w:t xml:space="preserve">SOGL framework </w:t>
      </w:r>
      <w:r>
        <w:rPr>
          <w:rFonts w:eastAsiaTheme="minorHAnsi"/>
          <w:lang w:val="en-GB"/>
        </w:rPr>
        <w:t xml:space="preserve">and requirements </w:t>
      </w:r>
      <w:r w:rsidR="00CA6DB3" w:rsidRPr="000F13D5">
        <w:rPr>
          <w:rFonts w:eastAsiaTheme="minorHAnsi"/>
          <w:lang w:val="en-GB"/>
        </w:rPr>
        <w:t xml:space="preserve">defined in the SOGL articles 146 – 150; 171 – 180. </w:t>
      </w:r>
    </w:p>
    <w:p w14:paraId="280CBEE1" w14:textId="77777777" w:rsidR="00520870" w:rsidRPr="00520870" w:rsidRDefault="00520870" w:rsidP="00EA3F1F">
      <w:pPr>
        <w:pStyle w:val="Paragrapgh-numbered"/>
        <w:numPr>
          <w:ilvl w:val="0"/>
          <w:numId w:val="0"/>
        </w:numPr>
        <w:ind w:left="1083"/>
        <w:rPr>
          <w:rFonts w:eastAsiaTheme="minorHAnsi"/>
          <w:lang w:val="en-GB"/>
        </w:rPr>
      </w:pPr>
    </w:p>
    <w:p w14:paraId="2E08A314" w14:textId="4F1FDE98" w:rsidR="00184DBA" w:rsidRPr="00D00ABD" w:rsidRDefault="0051359E" w:rsidP="00EA3F1F">
      <w:pPr>
        <w:pStyle w:val="Heading2"/>
        <w:spacing w:line="240" w:lineRule="auto"/>
        <w:rPr>
          <w:iCs/>
        </w:rPr>
      </w:pPr>
      <w:bookmarkStart w:id="50" w:name="_Toc514851740"/>
      <w:bookmarkStart w:id="51" w:name="_Toc514856723"/>
      <w:bookmarkStart w:id="52" w:name="_Toc519422426"/>
      <w:r w:rsidRPr="00D00ABD">
        <w:t>SAOM</w:t>
      </w:r>
      <w:r w:rsidR="00184DBA" w:rsidRPr="00D00ABD">
        <w:t xml:space="preserve"> Article 1</w:t>
      </w:r>
      <w:r w:rsidR="007A3E39">
        <w:t>9</w:t>
      </w:r>
      <w:r w:rsidR="00184DBA" w:rsidRPr="00D00ABD">
        <w:t xml:space="preserve"> - SOGL Article 118 (j)</w:t>
      </w:r>
      <w:r w:rsidR="004C519D" w:rsidRPr="00D00ABD">
        <w:t xml:space="preserve">  </w:t>
      </w:r>
      <w:r w:rsidR="00184DBA" w:rsidRPr="00D00ABD">
        <w:t xml:space="preserve"> </w:t>
      </w:r>
      <w:r w:rsidR="00184DBA" w:rsidRPr="00D00ABD">
        <w:rPr>
          <w:iCs/>
        </w:rPr>
        <w:t>if</w:t>
      </w:r>
      <w:r w:rsidR="004C519D" w:rsidRPr="00D00ABD">
        <w:rPr>
          <w:iCs/>
        </w:rPr>
        <w:t xml:space="preserve"> </w:t>
      </w:r>
      <w:r w:rsidR="00184DBA" w:rsidRPr="00D00ABD">
        <w:rPr>
          <w:iCs/>
        </w:rPr>
        <w:t>applicable,</w:t>
      </w:r>
      <w:r w:rsidR="004C519D" w:rsidRPr="00D00ABD">
        <w:rPr>
          <w:iCs/>
        </w:rPr>
        <w:t xml:space="preserve"> </w:t>
      </w:r>
      <w:r w:rsidR="00184DBA" w:rsidRPr="00D00ABD">
        <w:rPr>
          <w:iCs/>
        </w:rPr>
        <w:t>the</w:t>
      </w:r>
      <w:r w:rsidR="004C519D" w:rsidRPr="00D00ABD">
        <w:rPr>
          <w:iCs/>
        </w:rPr>
        <w:t xml:space="preserve"> </w:t>
      </w:r>
      <w:r w:rsidR="00184DBA" w:rsidRPr="00D00ABD">
        <w:rPr>
          <w:iCs/>
        </w:rPr>
        <w:t>methodology</w:t>
      </w:r>
      <w:r w:rsidR="004C519D" w:rsidRPr="00D00ABD">
        <w:rPr>
          <w:iCs/>
        </w:rPr>
        <w:t xml:space="preserve"> </w:t>
      </w:r>
      <w:r w:rsidR="00184DBA" w:rsidRPr="00D00ABD">
        <w:rPr>
          <w:iCs/>
        </w:rPr>
        <w:t>to</w:t>
      </w:r>
      <w:r w:rsidR="004C519D" w:rsidRPr="00D00ABD">
        <w:rPr>
          <w:iCs/>
        </w:rPr>
        <w:t xml:space="preserve"> </w:t>
      </w:r>
      <w:r w:rsidR="00184DBA" w:rsidRPr="00D00ABD">
        <w:rPr>
          <w:iCs/>
        </w:rPr>
        <w:t>reduce</w:t>
      </w:r>
      <w:r w:rsidR="004C519D" w:rsidRPr="00D00ABD">
        <w:rPr>
          <w:iCs/>
        </w:rPr>
        <w:t xml:space="preserve"> </w:t>
      </w:r>
      <w:r w:rsidR="00184DBA" w:rsidRPr="00D00ABD">
        <w:rPr>
          <w:iCs/>
        </w:rPr>
        <w:t>the</w:t>
      </w:r>
      <w:r w:rsidR="004C519D" w:rsidRPr="00D00ABD">
        <w:rPr>
          <w:iCs/>
        </w:rPr>
        <w:t xml:space="preserve"> </w:t>
      </w:r>
      <w:r w:rsidR="00184DBA" w:rsidRPr="00D00ABD">
        <w:rPr>
          <w:iCs/>
        </w:rPr>
        <w:t>electrical</w:t>
      </w:r>
      <w:r w:rsidR="004C519D" w:rsidRPr="00D00ABD">
        <w:rPr>
          <w:iCs/>
        </w:rPr>
        <w:t xml:space="preserve"> </w:t>
      </w:r>
      <w:r w:rsidR="00184DBA" w:rsidRPr="00D00ABD">
        <w:rPr>
          <w:iCs/>
        </w:rPr>
        <w:t>time</w:t>
      </w:r>
      <w:r w:rsidR="004C519D" w:rsidRPr="00D00ABD">
        <w:rPr>
          <w:iCs/>
        </w:rPr>
        <w:t xml:space="preserve"> </w:t>
      </w:r>
      <w:r w:rsidR="00184DBA" w:rsidRPr="00D00ABD">
        <w:rPr>
          <w:iCs/>
        </w:rPr>
        <w:t>deviation</w:t>
      </w:r>
      <w:r w:rsidR="004C519D" w:rsidRPr="00D00ABD">
        <w:rPr>
          <w:iCs/>
        </w:rPr>
        <w:t xml:space="preserve"> </w:t>
      </w:r>
      <w:r w:rsidR="00184DBA" w:rsidRPr="00D00ABD">
        <w:rPr>
          <w:iCs/>
        </w:rPr>
        <w:t>in accordance with Article 181;</w:t>
      </w:r>
      <w:bookmarkEnd w:id="50"/>
      <w:bookmarkEnd w:id="51"/>
      <w:bookmarkEnd w:id="52"/>
    </w:p>
    <w:p w14:paraId="1C651102" w14:textId="14AB57C5" w:rsidR="00184DBA" w:rsidRPr="00D00ABD" w:rsidRDefault="00184DBA" w:rsidP="00097B0F">
      <w:r w:rsidRPr="00D00ABD">
        <w:t xml:space="preserve"> </w:t>
      </w:r>
    </w:p>
    <w:p w14:paraId="29E66C70" w14:textId="78791076" w:rsidR="001D7A49" w:rsidRPr="00D00ABD" w:rsidRDefault="001D7A49" w:rsidP="00AE6D30">
      <w:pPr>
        <w:pStyle w:val="Paragrapgh-numbered"/>
        <w:numPr>
          <w:ilvl w:val="0"/>
          <w:numId w:val="25"/>
        </w:numPr>
        <w:rPr>
          <w:lang w:val="en-GB"/>
        </w:rPr>
      </w:pPr>
      <w:r w:rsidRPr="00D00ABD">
        <w:rPr>
          <w:lang w:val="en-GB"/>
        </w:rPr>
        <w:t xml:space="preserve">The obligation to maintain system electric time is found in the Grid Code in </w:t>
      </w:r>
      <w:r w:rsidRPr="00EA3F1F">
        <w:rPr>
          <w:lang w:val="en-GB"/>
        </w:rPr>
        <w:t>BC3.4.3.</w:t>
      </w:r>
      <w:r w:rsidR="00AE6D30" w:rsidRPr="00EA3F1F">
        <w:rPr>
          <w:lang w:val="en-GB"/>
        </w:rPr>
        <w:t xml:space="preserve">  </w:t>
      </w:r>
      <w:r w:rsidRPr="00EA3F1F">
        <w:rPr>
          <w:lang w:val="en-GB"/>
        </w:rPr>
        <w:t xml:space="preserve">According to </w:t>
      </w:r>
      <w:r w:rsidR="00AE6D30" w:rsidRPr="00EA3F1F">
        <w:rPr>
          <w:lang w:val="en-GB"/>
        </w:rPr>
        <w:t>which</w:t>
      </w:r>
      <w:r w:rsidRPr="00EA3F1F">
        <w:rPr>
          <w:lang w:val="en-GB"/>
        </w:rPr>
        <w:t xml:space="preserve">, NGET takes reasonable </w:t>
      </w:r>
      <w:r w:rsidR="007A3E39" w:rsidRPr="00D00ABD">
        <w:rPr>
          <w:lang w:val="en-GB"/>
        </w:rPr>
        <w:t>endeavours</w:t>
      </w:r>
      <w:r w:rsidRPr="00EA3F1F">
        <w:rPr>
          <w:lang w:val="en-GB"/>
        </w:rPr>
        <w:t xml:space="preserve"> to maintain system time to within 10 seconds of Univer</w:t>
      </w:r>
      <w:r w:rsidR="005D012E" w:rsidRPr="00EA3F1F">
        <w:rPr>
          <w:lang w:val="en-GB"/>
        </w:rPr>
        <w:t>s</w:t>
      </w:r>
      <w:r w:rsidRPr="00EA3F1F">
        <w:rPr>
          <w:lang w:val="en-GB"/>
        </w:rPr>
        <w:t>al Time.</w:t>
      </w:r>
      <w:r w:rsidR="005D012E" w:rsidRPr="00EA3F1F">
        <w:rPr>
          <w:lang w:val="en-GB"/>
        </w:rPr>
        <w:t xml:space="preserve">  </w:t>
      </w:r>
      <w:r w:rsidR="007A3E39" w:rsidRPr="00D00ABD">
        <w:rPr>
          <w:lang w:val="en-GB"/>
        </w:rPr>
        <w:t>However,</w:t>
      </w:r>
      <w:r w:rsidR="005D012E" w:rsidRPr="00EA3F1F">
        <w:rPr>
          <w:lang w:val="en-GB"/>
        </w:rPr>
        <w:t xml:space="preserve"> the ESO has discretion as to what actions it will take and when.</w:t>
      </w:r>
    </w:p>
    <w:p w14:paraId="0A9066A4" w14:textId="77777777" w:rsidR="00184DBA" w:rsidRPr="00097B0F" w:rsidRDefault="00184DBA" w:rsidP="00097B0F"/>
    <w:p w14:paraId="60BE4A1D" w14:textId="6C1A8530" w:rsidR="00184DBA" w:rsidRPr="00D00ABD" w:rsidRDefault="0051359E" w:rsidP="00EA3F1F">
      <w:pPr>
        <w:pStyle w:val="Heading2"/>
        <w:spacing w:line="240" w:lineRule="auto"/>
        <w:rPr>
          <w:iCs/>
        </w:rPr>
      </w:pPr>
      <w:bookmarkStart w:id="53" w:name="_Toc514851742"/>
      <w:bookmarkStart w:id="54" w:name="_Toc514856725"/>
      <w:bookmarkStart w:id="55" w:name="_Toc519422427"/>
      <w:r w:rsidRPr="00D00ABD">
        <w:t>SAOM</w:t>
      </w:r>
      <w:r w:rsidR="00184DBA" w:rsidRPr="00D00ABD">
        <w:t xml:space="preserve"> Article </w:t>
      </w:r>
      <w:r w:rsidR="007A3E39">
        <w:t>20</w:t>
      </w:r>
      <w:r w:rsidR="007A3E39" w:rsidRPr="00D00ABD">
        <w:t xml:space="preserve"> </w:t>
      </w:r>
      <w:r w:rsidR="00184DBA" w:rsidRPr="00D00ABD">
        <w:t>- SOGL Article 118 (k)</w:t>
      </w:r>
      <w:r w:rsidR="004C519D" w:rsidRPr="00D00ABD">
        <w:t xml:space="preserve">  </w:t>
      </w:r>
      <w:r w:rsidR="00184DBA" w:rsidRPr="00D00ABD">
        <w:t xml:space="preserve"> </w:t>
      </w:r>
      <w:r w:rsidR="00184DBA" w:rsidRPr="00D00ABD">
        <w:rPr>
          <w:iCs/>
        </w:rPr>
        <w:t>whenever the synchronous area is operated by more than one TSO, the specific allocation of responsibilities between TSOs in accordance with Article 141;</w:t>
      </w:r>
      <w:bookmarkEnd w:id="53"/>
      <w:bookmarkEnd w:id="54"/>
      <w:bookmarkEnd w:id="55"/>
    </w:p>
    <w:p w14:paraId="7F2E1EA3" w14:textId="50746DE2" w:rsidR="00184DBA" w:rsidRPr="00D00ABD" w:rsidRDefault="00184DBA" w:rsidP="00097B0F">
      <w:r w:rsidRPr="00D00ABD">
        <w:t xml:space="preserve"> </w:t>
      </w:r>
    </w:p>
    <w:p w14:paraId="275A46D5" w14:textId="4E988819" w:rsidR="00184DBA" w:rsidRPr="00D00ABD" w:rsidRDefault="00184DBA" w:rsidP="00184DBA">
      <w:pPr>
        <w:pStyle w:val="Paragrapgh-numbered"/>
        <w:numPr>
          <w:ilvl w:val="0"/>
          <w:numId w:val="26"/>
        </w:numPr>
        <w:rPr>
          <w:lang w:val="en-GB"/>
        </w:rPr>
      </w:pPr>
      <w:r w:rsidRPr="00D00ABD">
        <w:rPr>
          <w:lang w:val="en-GB"/>
        </w:rPr>
        <w:t>This Article does not apply in GB because the synchronous areas is operated by a single system operator. The LFC Block Determination methodology explains this.</w:t>
      </w:r>
      <w:r w:rsidR="004C519D" w:rsidRPr="00D00ABD">
        <w:rPr>
          <w:lang w:val="en-GB"/>
        </w:rPr>
        <w:t xml:space="preserve"> </w:t>
      </w:r>
      <w:r w:rsidRPr="00D00ABD">
        <w:rPr>
          <w:lang w:val="en-GB"/>
        </w:rPr>
        <w:t xml:space="preserve">Consequently, all responsibilities found within article 141 are allocated to the </w:t>
      </w:r>
      <w:r w:rsidR="00D32DD5" w:rsidRPr="00D00ABD">
        <w:rPr>
          <w:lang w:val="en-GB"/>
        </w:rPr>
        <w:t>ESO</w:t>
      </w:r>
      <w:r w:rsidRPr="00D00ABD">
        <w:rPr>
          <w:lang w:val="en-GB"/>
        </w:rPr>
        <w:t>.</w:t>
      </w:r>
    </w:p>
    <w:p w14:paraId="4D5C1758" w14:textId="7A907671" w:rsidR="00184DBA" w:rsidRPr="00D00ABD" w:rsidRDefault="0051359E" w:rsidP="00EA3F1F">
      <w:pPr>
        <w:pStyle w:val="Heading2"/>
        <w:spacing w:line="240" w:lineRule="auto"/>
      </w:pPr>
      <w:bookmarkStart w:id="56" w:name="_Toc514851744"/>
      <w:bookmarkStart w:id="57" w:name="_Toc514856727"/>
      <w:bookmarkStart w:id="58" w:name="_Toc519422428"/>
      <w:r w:rsidRPr="00D00ABD">
        <w:t>SAOM</w:t>
      </w:r>
      <w:r w:rsidR="00184DBA" w:rsidRPr="00D00ABD">
        <w:t xml:space="preserve"> Article </w:t>
      </w:r>
      <w:r w:rsidR="007A3E39">
        <w:t>21</w:t>
      </w:r>
      <w:r w:rsidR="007A3E39" w:rsidRPr="00D00ABD">
        <w:t xml:space="preserve"> </w:t>
      </w:r>
      <w:r w:rsidR="00184DBA" w:rsidRPr="00D00ABD">
        <w:t>- SOGL Article 118 (l)</w:t>
      </w:r>
      <w:r w:rsidR="004C519D" w:rsidRPr="00D00ABD">
        <w:t xml:space="preserve">  </w:t>
      </w:r>
      <w:r w:rsidR="00184DBA" w:rsidRPr="00D00ABD">
        <w:t xml:space="preserve"> operational</w:t>
      </w:r>
      <w:r w:rsidR="004C519D" w:rsidRPr="00D00ABD">
        <w:t xml:space="preserve"> </w:t>
      </w:r>
      <w:r w:rsidR="00184DBA" w:rsidRPr="00D00ABD">
        <w:t>procedures</w:t>
      </w:r>
      <w:r w:rsidR="004C519D" w:rsidRPr="00D00ABD">
        <w:t xml:space="preserve"> </w:t>
      </w:r>
      <w:r w:rsidR="00184DBA" w:rsidRPr="00D00ABD">
        <w:t>in</w:t>
      </w:r>
      <w:r w:rsidR="004C519D" w:rsidRPr="00D00ABD">
        <w:t xml:space="preserve"> </w:t>
      </w:r>
      <w:r w:rsidR="00184DBA" w:rsidRPr="00D00ABD">
        <w:t>case</w:t>
      </w:r>
      <w:r w:rsidR="004C519D" w:rsidRPr="00D00ABD">
        <w:t xml:space="preserve"> </w:t>
      </w:r>
      <w:r w:rsidR="00184DBA" w:rsidRPr="00D00ABD">
        <w:t>of</w:t>
      </w:r>
      <w:r w:rsidR="004C519D" w:rsidRPr="00D00ABD">
        <w:t xml:space="preserve"> </w:t>
      </w:r>
      <w:r w:rsidR="00184DBA" w:rsidRPr="00D00ABD">
        <w:t>exhausted</w:t>
      </w:r>
      <w:r w:rsidR="004C519D" w:rsidRPr="00D00ABD">
        <w:t xml:space="preserve"> </w:t>
      </w:r>
      <w:r w:rsidR="00184DBA" w:rsidRPr="00D00ABD">
        <w:t>FCR</w:t>
      </w:r>
      <w:r w:rsidR="004C519D" w:rsidRPr="00D00ABD">
        <w:t xml:space="preserve"> </w:t>
      </w:r>
      <w:r w:rsidR="00184DBA" w:rsidRPr="00D00ABD">
        <w:t>in</w:t>
      </w:r>
      <w:r w:rsidR="004C519D" w:rsidRPr="00D00ABD">
        <w:t xml:space="preserve"> </w:t>
      </w:r>
      <w:r w:rsidR="00184DBA" w:rsidRPr="00D00ABD">
        <w:t>accordance</w:t>
      </w:r>
      <w:r w:rsidR="004C519D" w:rsidRPr="00D00ABD">
        <w:t xml:space="preserve"> </w:t>
      </w:r>
      <w:r w:rsidR="00184DBA" w:rsidRPr="00D00ABD">
        <w:t>with</w:t>
      </w:r>
      <w:r w:rsidR="004C519D" w:rsidRPr="00D00ABD">
        <w:t xml:space="preserve"> </w:t>
      </w:r>
      <w:r w:rsidR="00184DBA" w:rsidRPr="00D00ABD">
        <w:t>Article 152(7)</w:t>
      </w:r>
      <w:bookmarkEnd w:id="56"/>
      <w:bookmarkEnd w:id="57"/>
      <w:bookmarkEnd w:id="58"/>
    </w:p>
    <w:p w14:paraId="60F86D20" w14:textId="525A0F9A" w:rsidR="00184DBA" w:rsidRPr="00D00ABD" w:rsidRDefault="00184DBA" w:rsidP="00097B0F">
      <w:r w:rsidRPr="00D00ABD">
        <w:t xml:space="preserve"> </w:t>
      </w:r>
    </w:p>
    <w:p w14:paraId="2D66A71B" w14:textId="77777777" w:rsidR="00173A8F" w:rsidRDefault="001C5A40" w:rsidP="00184DBA">
      <w:pPr>
        <w:pStyle w:val="Paragrapgh-numbered"/>
        <w:numPr>
          <w:ilvl w:val="0"/>
          <w:numId w:val="27"/>
        </w:numPr>
        <w:rPr>
          <w:lang w:val="en-GB"/>
        </w:rPr>
      </w:pPr>
      <w:r>
        <w:rPr>
          <w:lang w:val="en-GB"/>
        </w:rPr>
        <w:t xml:space="preserve">As a background: </w:t>
      </w:r>
      <w:r w:rsidR="00E52FCA">
        <w:rPr>
          <w:lang w:val="en-GB"/>
        </w:rPr>
        <w:t>SOGL Article 152</w:t>
      </w:r>
      <w:r w:rsidR="00744FFB">
        <w:rPr>
          <w:lang w:val="en-GB"/>
        </w:rPr>
        <w:t xml:space="preserve"> considers the how evolving ‘system states’ affect operation of Load Frequency Control</w:t>
      </w:r>
      <w:r>
        <w:rPr>
          <w:lang w:val="en-GB"/>
        </w:rPr>
        <w:t xml:space="preserve">.  Article 152(7) is concerned with the ensuring that </w:t>
      </w:r>
      <w:r>
        <w:rPr>
          <w:lang w:val="en-GB"/>
        </w:rPr>
        <w:lastRenderedPageBreak/>
        <w:t>the ESO has sufficient mechanisms and measures to maintain and regain sufficient FCR to meet the dimensioning requirement.  In the case of significant short-fall in FCR reserves the system frequency would become uncontrollable and could result in a black-out.</w:t>
      </w:r>
      <w:r w:rsidR="00173A8F">
        <w:rPr>
          <w:lang w:val="en-GB"/>
        </w:rPr>
        <w:t xml:space="preserve"> To avoid this the TSOs are mandated to specify mechanisms and procedures in their synchronous area. </w:t>
      </w:r>
    </w:p>
    <w:p w14:paraId="5987BE0E" w14:textId="77777777" w:rsidR="00CF054A" w:rsidRDefault="00173A8F" w:rsidP="00184DBA">
      <w:pPr>
        <w:pStyle w:val="Paragrapgh-numbered"/>
        <w:numPr>
          <w:ilvl w:val="0"/>
          <w:numId w:val="27"/>
        </w:numPr>
        <w:rPr>
          <w:lang w:val="en-GB"/>
        </w:rPr>
      </w:pPr>
      <w:r>
        <w:rPr>
          <w:lang w:val="en-GB"/>
        </w:rPr>
        <w:t xml:space="preserve">Within GB the ESO has related this Article to measures in the GB industry codes that significantly reduce the risk of there being insufficient or exhausted FCR capacity in operational timescales and secondly the ESO has related this Article with the </w:t>
      </w:r>
      <w:r w:rsidR="00137953">
        <w:rPr>
          <w:lang w:val="en-GB"/>
        </w:rPr>
        <w:t>operational activities required to deal with the issue in operational timescales should there be a significant risk of FCR erosion that would lead to exhaustion and cannot be controlled using mechanisms defined in the ‘normal’ operational and market processes.</w:t>
      </w:r>
      <w:r>
        <w:rPr>
          <w:lang w:val="en-GB"/>
        </w:rPr>
        <w:t xml:space="preserve">   </w:t>
      </w:r>
      <w:r w:rsidR="00CF054A">
        <w:rPr>
          <w:lang w:val="en-GB"/>
        </w:rPr>
        <w:t>These principles are present within the GB industry frameworks:</w:t>
      </w:r>
    </w:p>
    <w:p w14:paraId="4AE3499A" w14:textId="0FEC2E7D" w:rsidR="00295441" w:rsidRDefault="00295441" w:rsidP="00EA3F1F">
      <w:pPr>
        <w:pStyle w:val="Paragrapgh-numbered"/>
        <w:numPr>
          <w:ilvl w:val="1"/>
          <w:numId w:val="27"/>
        </w:numPr>
        <w:rPr>
          <w:lang w:val="en-GB"/>
        </w:rPr>
      </w:pPr>
      <w:r>
        <w:rPr>
          <w:lang w:val="en-GB"/>
        </w:rPr>
        <w:t>Ensuring sufficient capacity is made available to the ESO:</w:t>
      </w:r>
    </w:p>
    <w:p w14:paraId="09F580B7" w14:textId="37C1EB13" w:rsidR="00295441" w:rsidRDefault="00295441" w:rsidP="00EA3F1F">
      <w:pPr>
        <w:pStyle w:val="Paragrapgh-numbered"/>
        <w:numPr>
          <w:ilvl w:val="2"/>
          <w:numId w:val="27"/>
        </w:numPr>
        <w:rPr>
          <w:lang w:val="en-GB"/>
        </w:rPr>
      </w:pPr>
      <w:r>
        <w:rPr>
          <w:lang w:val="en-GB"/>
        </w:rPr>
        <w:t>The obligation for certain grid users to have the capability to provide certain FCR services</w:t>
      </w:r>
      <w:r w:rsidR="004B6A1C">
        <w:rPr>
          <w:lang w:val="en-GB"/>
        </w:rPr>
        <w:t xml:space="preserve"> (namely ‘Primary’ and ‘High’)</w:t>
      </w:r>
      <w:r>
        <w:rPr>
          <w:lang w:val="en-GB"/>
        </w:rPr>
        <w:t xml:space="preserve"> to the ESO can be found in the Grid Code CC.A.3</w:t>
      </w:r>
      <w:r w:rsidR="00067A7E">
        <w:rPr>
          <w:lang w:val="en-GB"/>
        </w:rPr>
        <w:t>, CC</w:t>
      </w:r>
      <w:r>
        <w:rPr>
          <w:lang w:val="en-GB"/>
        </w:rPr>
        <w:t>.</w:t>
      </w:r>
      <w:r w:rsidR="00067A7E">
        <w:rPr>
          <w:lang w:val="en-GB"/>
        </w:rPr>
        <w:t>6.3.7, CC.6.3.12, CC.6.3.13, CC.6.3.14</w:t>
      </w:r>
      <w:r w:rsidR="00074D3D">
        <w:rPr>
          <w:lang w:val="en-GB"/>
        </w:rPr>
        <w:t xml:space="preserve">, and </w:t>
      </w:r>
      <w:r w:rsidR="00074D3D">
        <w:t>BC3.5.1</w:t>
      </w:r>
      <w:r w:rsidR="00067A7E">
        <w:rPr>
          <w:lang w:val="en-GB"/>
        </w:rPr>
        <w:t>.</w:t>
      </w:r>
      <w:r>
        <w:rPr>
          <w:lang w:val="en-GB"/>
        </w:rPr>
        <w:t xml:space="preserve"> The </w:t>
      </w:r>
      <w:r w:rsidR="00074D3D">
        <w:rPr>
          <w:lang w:val="en-GB"/>
        </w:rPr>
        <w:t xml:space="preserve">CC.A.3 </w:t>
      </w:r>
      <w:r>
        <w:rPr>
          <w:lang w:val="en-GB"/>
        </w:rPr>
        <w:t>details which plant the obligation falls</w:t>
      </w:r>
      <w:r w:rsidR="00067A7E">
        <w:rPr>
          <w:lang w:val="en-GB"/>
        </w:rPr>
        <w:t xml:space="preserve"> </w:t>
      </w:r>
      <w:r>
        <w:rPr>
          <w:lang w:val="en-GB"/>
        </w:rPr>
        <w:t>to as well as plant operating range, minimum frequency response profile, testing and repeatability of response.</w:t>
      </w:r>
      <w:r w:rsidR="00067A7E">
        <w:rPr>
          <w:lang w:val="en-GB"/>
        </w:rPr>
        <w:t xml:space="preserve">  Specific exclusions are included in CC.6.3.7(f)</w:t>
      </w:r>
      <w:r w:rsidR="00074D3D">
        <w:rPr>
          <w:lang w:val="en-GB"/>
        </w:rPr>
        <w:t xml:space="preserve"> and also in BC3.5.4(e) and (f).</w:t>
      </w:r>
    </w:p>
    <w:p w14:paraId="7C7E8ED9" w14:textId="71CCCD19" w:rsidR="007E2A02" w:rsidRDefault="007E2A02" w:rsidP="00EA3F1F">
      <w:pPr>
        <w:pStyle w:val="Paragrapgh-numbered"/>
        <w:numPr>
          <w:ilvl w:val="2"/>
          <w:numId w:val="27"/>
        </w:numPr>
        <w:rPr>
          <w:lang w:val="en-GB"/>
        </w:rPr>
      </w:pPr>
      <w:r>
        <w:rPr>
          <w:lang w:val="en-GB"/>
        </w:rPr>
        <w:t xml:space="preserve">The obligation for certain grid users to </w:t>
      </w:r>
      <w:r w:rsidR="00074D3D">
        <w:rPr>
          <w:lang w:val="en-GB"/>
        </w:rPr>
        <w:t>make certain FCR services at the disposition of the ESO is detailed in the Grid Code in BC 3 (more specifically BC3.5, BC3.6 and BC3.7)</w:t>
      </w:r>
    </w:p>
    <w:p w14:paraId="58E52BEC" w14:textId="5AB12497" w:rsidR="00074D3D" w:rsidRDefault="00074D3D" w:rsidP="00EA3F1F">
      <w:pPr>
        <w:pStyle w:val="Paragrapgh-numbered"/>
        <w:numPr>
          <w:ilvl w:val="3"/>
          <w:numId w:val="27"/>
        </w:numPr>
        <w:rPr>
          <w:lang w:val="en-GB"/>
        </w:rPr>
      </w:pPr>
      <w:r>
        <w:rPr>
          <w:lang w:val="en-GB"/>
        </w:rPr>
        <w:t>All plant identified in B</w:t>
      </w:r>
      <w:r w:rsidR="00D07538">
        <w:rPr>
          <w:lang w:val="en-GB"/>
        </w:rPr>
        <w:t>C</w:t>
      </w:r>
      <w:r>
        <w:rPr>
          <w:lang w:val="en-GB"/>
        </w:rPr>
        <w:t xml:space="preserve">3.5.2 that is producing active power must provide Limited Sensitivity Mode frequency services as defined in Grid Code </w:t>
      </w:r>
      <w:r>
        <w:t>CC.6.3.3 and ECC.6.3.3</w:t>
      </w:r>
      <w:r>
        <w:rPr>
          <w:lang w:val="en-GB"/>
        </w:rPr>
        <w:t>.</w:t>
      </w:r>
    </w:p>
    <w:p w14:paraId="3EEBE99F" w14:textId="0594CCCE" w:rsidR="00074D3D" w:rsidRDefault="00D07538" w:rsidP="00EA3F1F">
      <w:pPr>
        <w:pStyle w:val="Paragrapgh-numbered"/>
        <w:numPr>
          <w:ilvl w:val="3"/>
          <w:numId w:val="27"/>
        </w:numPr>
        <w:rPr>
          <w:lang w:val="en-GB"/>
        </w:rPr>
      </w:pPr>
      <w:r>
        <w:rPr>
          <w:lang w:val="en-GB"/>
        </w:rPr>
        <w:t>All plant identified in BC3.5.4(a) must offer to provide FCR services and accept instructions to make such services active.  At the time of writing, this covers the GB FCR services known as “Primary” and “High”.</w:t>
      </w:r>
    </w:p>
    <w:p w14:paraId="3881AB9D" w14:textId="60270BC6" w:rsidR="00D07538" w:rsidRPr="00EA3F1F" w:rsidRDefault="00D07538" w:rsidP="00EA3F1F">
      <w:pPr>
        <w:pStyle w:val="Paragrapgh-numbered"/>
        <w:numPr>
          <w:ilvl w:val="4"/>
          <w:numId w:val="27"/>
        </w:numPr>
        <w:rPr>
          <w:i/>
          <w:lang w:val="en-GB"/>
        </w:rPr>
      </w:pPr>
      <w:r w:rsidRPr="00EA3F1F">
        <w:rPr>
          <w:i/>
          <w:lang w:val="en-GB"/>
        </w:rPr>
        <w:t>For Note: the GB response service “Secondary” fits in the FRR category</w:t>
      </w:r>
      <w:r>
        <w:rPr>
          <w:i/>
          <w:lang w:val="en-GB"/>
        </w:rPr>
        <w:t xml:space="preserve"> and thus the obligation to provide this service is defined in the LFC Block Operational Methodologies document in Article 13</w:t>
      </w:r>
      <w:r w:rsidRPr="00EA3F1F">
        <w:rPr>
          <w:i/>
          <w:lang w:val="en-GB"/>
        </w:rPr>
        <w:t>.</w:t>
      </w:r>
    </w:p>
    <w:p w14:paraId="7D6A778A" w14:textId="1E21BA7F" w:rsidR="00D07538" w:rsidRDefault="00D07538" w:rsidP="00EA3F1F">
      <w:pPr>
        <w:pStyle w:val="Paragrapgh-numbered"/>
        <w:numPr>
          <w:ilvl w:val="1"/>
          <w:numId w:val="27"/>
        </w:numPr>
        <w:rPr>
          <w:lang w:val="en-GB"/>
        </w:rPr>
      </w:pPr>
      <w:r>
        <w:rPr>
          <w:lang w:val="en-GB"/>
        </w:rPr>
        <w:t>Emergency measures taken in operational timescales in the case where FCR is eroded below the dimensioning requirement:</w:t>
      </w:r>
    </w:p>
    <w:p w14:paraId="357F3C84" w14:textId="575F486E" w:rsidR="00184DBA" w:rsidRPr="00D00ABD" w:rsidRDefault="00184DBA" w:rsidP="00EA3F1F">
      <w:pPr>
        <w:pStyle w:val="Paragrapgh-numbered"/>
        <w:numPr>
          <w:ilvl w:val="2"/>
          <w:numId w:val="27"/>
        </w:numPr>
        <w:rPr>
          <w:lang w:val="en-GB"/>
        </w:rPr>
      </w:pPr>
      <w:r w:rsidRPr="00D00ABD">
        <w:rPr>
          <w:lang w:val="en-GB"/>
        </w:rPr>
        <w:t xml:space="preserve">The GB electricity system operator, </w:t>
      </w:r>
      <w:r w:rsidR="00D32DD5" w:rsidRPr="00D00ABD">
        <w:rPr>
          <w:lang w:val="en-GB"/>
        </w:rPr>
        <w:t>The ESO</w:t>
      </w:r>
      <w:r w:rsidRPr="00D00ABD">
        <w:rPr>
          <w:lang w:val="en-GB"/>
        </w:rPr>
        <w:t>, continuously monitors the electricity system’s immediate and future needs in terms of Frequency Containment Reserve dimensioning requirements.</w:t>
      </w:r>
      <w:r w:rsidR="004C519D" w:rsidRPr="00D00ABD">
        <w:rPr>
          <w:lang w:val="en-GB"/>
        </w:rPr>
        <w:t xml:space="preserve"> </w:t>
      </w:r>
      <w:r w:rsidR="00D32DD5" w:rsidRPr="00D00ABD">
        <w:rPr>
          <w:lang w:val="en-GB"/>
        </w:rPr>
        <w:t>The ESO</w:t>
      </w:r>
      <w:r w:rsidRPr="00D00ABD">
        <w:rPr>
          <w:lang w:val="en-GB"/>
        </w:rPr>
        <w:t xml:space="preserve"> also reviews the physical and contractual availability of FCR capable units and groups as well as their status. </w:t>
      </w:r>
    </w:p>
    <w:p w14:paraId="6D417043" w14:textId="77777777" w:rsidR="00184DBA" w:rsidRPr="00D00ABD" w:rsidRDefault="00184DBA" w:rsidP="00EA3F1F">
      <w:pPr>
        <w:pStyle w:val="Paragrapgh-numbered"/>
        <w:numPr>
          <w:ilvl w:val="2"/>
          <w:numId w:val="27"/>
        </w:numPr>
        <w:rPr>
          <w:lang w:val="en-GB"/>
        </w:rPr>
      </w:pPr>
      <w:r w:rsidRPr="00D00ABD">
        <w:rPr>
          <w:lang w:val="en-GB"/>
        </w:rPr>
        <w:lastRenderedPageBreak/>
        <w:t>Where additional FCR capacity is required, either because of changing circumstances or because of equipment failure the SO will act to ensure that the need for FCR matches the available FCR.</w:t>
      </w:r>
    </w:p>
    <w:p w14:paraId="027CB227" w14:textId="03D2059D" w:rsidR="00184DBA" w:rsidRPr="00D00ABD" w:rsidRDefault="00184DBA" w:rsidP="00EA3F1F">
      <w:pPr>
        <w:pStyle w:val="Paragrapgh-numbered"/>
        <w:numPr>
          <w:ilvl w:val="2"/>
          <w:numId w:val="27"/>
        </w:numPr>
        <w:rPr>
          <w:lang w:val="en-GB"/>
        </w:rPr>
      </w:pPr>
      <w:r w:rsidRPr="00D00ABD">
        <w:rPr>
          <w:lang w:val="en-GB"/>
        </w:rPr>
        <w:t>Where possible this will be performed by calling upon units or groups that are immediately ready to provide FCR following the ‘activation’ of their frequency sensitive controllers. If this is not possible or due to other operational factors it is not appropriate, then it is possible for the system operator to use other services to adjust the status and availability of a providing unit or group such that the current or future availability of FCR is changed.</w:t>
      </w:r>
      <w:r w:rsidR="004C519D" w:rsidRPr="00D00ABD">
        <w:rPr>
          <w:lang w:val="en-GB"/>
        </w:rPr>
        <w:t xml:space="preserve"> </w:t>
      </w:r>
      <w:r w:rsidRPr="00D00ABD">
        <w:rPr>
          <w:lang w:val="en-GB"/>
        </w:rPr>
        <w:t xml:space="preserve">The system operator may also use services to adjust the system’s requirement for FCR; for example by reducing the largest loss on the system or by </w:t>
      </w:r>
      <w:r w:rsidR="000B7480">
        <w:rPr>
          <w:lang w:val="en-GB"/>
        </w:rPr>
        <w:t xml:space="preserve">changing operating plant configuration to change the </w:t>
      </w:r>
      <w:r w:rsidRPr="00D00ABD">
        <w:rPr>
          <w:lang w:val="en-GB"/>
        </w:rPr>
        <w:t>system’s inertia.</w:t>
      </w:r>
    </w:p>
    <w:p w14:paraId="4C437029" w14:textId="77777777" w:rsidR="000B7480" w:rsidRDefault="00184DBA" w:rsidP="00EA3F1F">
      <w:pPr>
        <w:pStyle w:val="Paragrapgh-numbered"/>
        <w:numPr>
          <w:ilvl w:val="2"/>
          <w:numId w:val="27"/>
        </w:numPr>
        <w:rPr>
          <w:lang w:val="en-GB"/>
        </w:rPr>
      </w:pPr>
      <w:r w:rsidRPr="00D00ABD">
        <w:rPr>
          <w:lang w:val="en-GB"/>
        </w:rPr>
        <w:t>Where the above can be achieved through commercially tendered and offered services these will be used. However, where this is not possible, emergency instructions will be utilised to instruct any controllable equipment to a position where it may provide an FCR service or to adjust the overall status of the system to a point where less FCR is needed.</w:t>
      </w:r>
      <w:r w:rsidR="004C519D" w:rsidRPr="00D00ABD">
        <w:rPr>
          <w:lang w:val="en-GB"/>
        </w:rPr>
        <w:t xml:space="preserve"> </w:t>
      </w:r>
      <w:r w:rsidRPr="00D00ABD">
        <w:rPr>
          <w:lang w:val="en-GB"/>
        </w:rPr>
        <w:t>In an extreme case this may involve disconnection of generation, interconnection or demand.</w:t>
      </w:r>
      <w:r w:rsidR="000B7480">
        <w:rPr>
          <w:lang w:val="en-GB"/>
        </w:rPr>
        <w:t xml:space="preserve"> </w:t>
      </w:r>
    </w:p>
    <w:p w14:paraId="04CB46BB" w14:textId="7C07641C" w:rsidR="00184DBA" w:rsidRDefault="000B7480" w:rsidP="00EA3F1F">
      <w:pPr>
        <w:pStyle w:val="Paragrapgh-numbered"/>
        <w:numPr>
          <w:ilvl w:val="3"/>
          <w:numId w:val="27"/>
        </w:numPr>
        <w:rPr>
          <w:lang w:val="en-GB"/>
        </w:rPr>
      </w:pPr>
      <w:r>
        <w:rPr>
          <w:lang w:val="en-GB"/>
        </w:rPr>
        <w:t>The Grid Code defines in OC6.5 operations requiring demand-control including issuing of warnings and then issuing demand control instructions. Network Operators must follow the ESO’s instructions as defined in OC6.7.1</w:t>
      </w:r>
    </w:p>
    <w:p w14:paraId="42987750" w14:textId="6A45E6F6" w:rsidR="000B7480" w:rsidRPr="00D00ABD" w:rsidRDefault="000B7480" w:rsidP="00EA3F1F">
      <w:pPr>
        <w:pStyle w:val="Paragrapgh-numbered"/>
        <w:numPr>
          <w:ilvl w:val="3"/>
          <w:numId w:val="27"/>
        </w:numPr>
        <w:rPr>
          <w:lang w:val="en-GB"/>
        </w:rPr>
      </w:pPr>
      <w:r>
        <w:rPr>
          <w:lang w:val="en-GB"/>
        </w:rPr>
        <w:t>More generally the ESO may issue system warnings as defined in OC7.4.8</w:t>
      </w:r>
      <w:r w:rsidR="00CF5D8E">
        <w:rPr>
          <w:lang w:val="en-GB"/>
        </w:rPr>
        <w:t xml:space="preserve"> and require emergency actions as defined in BC2.9</w:t>
      </w:r>
    </w:p>
    <w:p w14:paraId="05652F22" w14:textId="77777777" w:rsidR="00184DBA" w:rsidRPr="00097B0F" w:rsidRDefault="00184DBA" w:rsidP="00097B0F"/>
    <w:p w14:paraId="1676BA5F" w14:textId="0658E882" w:rsidR="00184DBA" w:rsidRPr="00D00ABD" w:rsidRDefault="0051359E" w:rsidP="00EA3F1F">
      <w:pPr>
        <w:pStyle w:val="Heading2"/>
        <w:spacing w:line="240" w:lineRule="auto"/>
      </w:pPr>
      <w:bookmarkStart w:id="59" w:name="_Toc514851747"/>
      <w:bookmarkStart w:id="60" w:name="_Toc514856730"/>
      <w:bookmarkStart w:id="61" w:name="_Toc519422429"/>
      <w:r w:rsidRPr="00D00ABD">
        <w:t>SAOM</w:t>
      </w:r>
      <w:r w:rsidR="00184DBA" w:rsidRPr="00D00ABD">
        <w:t xml:space="preserve"> Article 2</w:t>
      </w:r>
      <w:r w:rsidR="007A3E39">
        <w:t>2</w:t>
      </w:r>
      <w:r w:rsidR="00184DBA" w:rsidRPr="00D00ABD">
        <w:t xml:space="preserve"> - SOGL Article 118 (n)</w:t>
      </w:r>
      <w:r w:rsidR="004C519D" w:rsidRPr="00D00ABD">
        <w:t xml:space="preserve">  </w:t>
      </w:r>
      <w:r w:rsidR="00184DBA" w:rsidRPr="00D00ABD">
        <w:t xml:space="preserve"> operational procedures to reduce the system frequency deviation to restore the system state to normal state and to limit the risk of entering into the emergency state in accordance with Article 152(10);</w:t>
      </w:r>
      <w:bookmarkEnd w:id="59"/>
      <w:bookmarkEnd w:id="60"/>
      <w:bookmarkEnd w:id="61"/>
    </w:p>
    <w:p w14:paraId="63D87CBE" w14:textId="1BDC8A43" w:rsidR="00184DBA" w:rsidRPr="00D00ABD" w:rsidRDefault="00184DBA" w:rsidP="00097B0F">
      <w:r w:rsidRPr="00D00ABD">
        <w:t xml:space="preserve"> </w:t>
      </w:r>
    </w:p>
    <w:p w14:paraId="033661A4" w14:textId="6F898262" w:rsidR="00184DBA" w:rsidRDefault="00184DBA" w:rsidP="00184DBA">
      <w:pPr>
        <w:pStyle w:val="Paragrapgh-numbered"/>
        <w:numPr>
          <w:ilvl w:val="0"/>
          <w:numId w:val="28"/>
        </w:numPr>
        <w:rPr>
          <w:lang w:val="en-GB"/>
        </w:rPr>
      </w:pPr>
      <w:r w:rsidRPr="00D00ABD">
        <w:rPr>
          <w:lang w:val="en-GB"/>
        </w:rPr>
        <w:t>The approach to FRR and RR management by the GBSO is such that every endeavour is taken to ensure that requirements and risks are managed ongoing and that a point of critically reduced or no FCR is ever reached</w:t>
      </w:r>
      <w:r w:rsidR="00521605">
        <w:rPr>
          <w:lang w:val="en-GB"/>
        </w:rPr>
        <w:t>.</w:t>
      </w:r>
      <w:r w:rsidRPr="00D00ABD">
        <w:rPr>
          <w:lang w:val="en-GB"/>
        </w:rPr>
        <w:t xml:space="preserve"> The GB electricity system operator will always make sure that they cater FCR for the largest single imbalance (generation/demand) (reference incidence) based on system conditions. “Ex. Pool of generators on a double circuit” which varies as per system conditions(outages), system demand &amp; synchronised generation (G59 &amp; non G59 trip relays) which constitute system inertia, based on all of the criteria above the GB system operator will calculate the deviation “delta f” at all timescales to contain the frequency for any unforeseen reference incidents. In the case of a frequency deviation,</w:t>
      </w:r>
      <w:r w:rsidR="004C519D" w:rsidRPr="00D00ABD">
        <w:rPr>
          <w:lang w:val="en-GB"/>
        </w:rPr>
        <w:t xml:space="preserve"> </w:t>
      </w:r>
      <w:r w:rsidRPr="00D00ABD">
        <w:rPr>
          <w:lang w:val="en-GB"/>
        </w:rPr>
        <w:t xml:space="preserve">The GB electricity system operator will take prompt action to reduce the Frequency Restoration Control Error (ie understood in terms of MW imbalance or Δf) as quickly as possible by redespatching generation, load and interconnectors to ensure that the system does not remain in an alert state due to frequency deviations for extended periods. The preferred instruction priority is to use market tools (without eroding FCR &amp; </w:t>
      </w:r>
      <w:r w:rsidRPr="00D00ABD">
        <w:rPr>
          <w:lang w:val="en-GB"/>
        </w:rPr>
        <w:lastRenderedPageBreak/>
        <w:t xml:space="preserve">where possible restoring FCR against synchronised FRR units) and if these are depleted to issue system warnings to the GB market &amp; use emergency despatch instructions (where no commercial offering is available) &amp; manual load shedding by voltage control. </w:t>
      </w:r>
    </w:p>
    <w:p w14:paraId="52E5B930" w14:textId="77777777" w:rsidR="00521605" w:rsidRDefault="00521605" w:rsidP="00EA3F1F">
      <w:pPr>
        <w:pStyle w:val="Paragrapgh-numbered"/>
        <w:numPr>
          <w:ilvl w:val="1"/>
          <w:numId w:val="28"/>
        </w:numPr>
        <w:rPr>
          <w:lang w:val="en-GB"/>
        </w:rPr>
      </w:pPr>
      <w:r>
        <w:rPr>
          <w:lang w:val="en-GB"/>
        </w:rPr>
        <w:t>The Grid Code defines in OC6.5 operations requiring demand-control including issuing of warnings and then issuing demand control instructions. Network Operators must follow the ESO’s instructions as defined in OC6.7.1</w:t>
      </w:r>
    </w:p>
    <w:p w14:paraId="51FE4C30" w14:textId="77777777" w:rsidR="00521605" w:rsidRPr="00D00ABD" w:rsidRDefault="00521605" w:rsidP="00EA3F1F">
      <w:pPr>
        <w:pStyle w:val="Paragrapgh-numbered"/>
        <w:numPr>
          <w:ilvl w:val="1"/>
          <w:numId w:val="28"/>
        </w:numPr>
        <w:rPr>
          <w:lang w:val="en-GB"/>
        </w:rPr>
      </w:pPr>
      <w:r>
        <w:rPr>
          <w:lang w:val="en-GB"/>
        </w:rPr>
        <w:t>More generally the ESO may issue system warnings as defined in OC7.4.8 and require emergency actions as defined in BC2.9</w:t>
      </w:r>
    </w:p>
    <w:p w14:paraId="7160AF26" w14:textId="77777777" w:rsidR="00521605" w:rsidRPr="00D00ABD" w:rsidRDefault="00521605" w:rsidP="00EA3F1F">
      <w:pPr>
        <w:pStyle w:val="Paragrapgh-numbered"/>
        <w:numPr>
          <w:ilvl w:val="0"/>
          <w:numId w:val="0"/>
        </w:numPr>
        <w:ind w:left="1083"/>
        <w:rPr>
          <w:lang w:val="en-GB"/>
        </w:rPr>
      </w:pPr>
    </w:p>
    <w:p w14:paraId="6D61421C" w14:textId="77777777" w:rsidR="00184DBA" w:rsidRPr="00D00ABD" w:rsidRDefault="00184DBA" w:rsidP="00184DBA"/>
    <w:p w14:paraId="47321AB1" w14:textId="77777777" w:rsidR="00184DBA" w:rsidRPr="00097B0F" w:rsidRDefault="00184DBA" w:rsidP="00097B0F">
      <w:pPr>
        <w:rPr>
          <w:rFonts w:eastAsiaTheme="minorHAnsi"/>
        </w:rPr>
      </w:pPr>
    </w:p>
    <w:p w14:paraId="6836CF24" w14:textId="378B3A5A" w:rsidR="00184DBA" w:rsidRPr="00D00ABD" w:rsidRDefault="0051359E" w:rsidP="00EA3F1F">
      <w:pPr>
        <w:pStyle w:val="Heading2"/>
        <w:spacing w:line="240" w:lineRule="auto"/>
        <w:rPr>
          <w:iCs/>
        </w:rPr>
      </w:pPr>
      <w:bookmarkStart w:id="62" w:name="_Toc514851749"/>
      <w:bookmarkStart w:id="63" w:name="_Toc514856732"/>
      <w:bookmarkStart w:id="64" w:name="_Toc519422430"/>
      <w:r w:rsidRPr="00D00ABD">
        <w:t>SAOM</w:t>
      </w:r>
      <w:r w:rsidR="00184DBA" w:rsidRPr="00D00ABD">
        <w:t xml:space="preserve"> Article </w:t>
      </w:r>
      <w:r w:rsidR="007A3E39" w:rsidRPr="00D00ABD">
        <w:t>2</w:t>
      </w:r>
      <w:r w:rsidR="007A3E39">
        <w:t>3</w:t>
      </w:r>
      <w:r w:rsidR="007A3E39" w:rsidRPr="00D00ABD">
        <w:t xml:space="preserve"> </w:t>
      </w:r>
      <w:r w:rsidR="00184DBA" w:rsidRPr="00D00ABD">
        <w:t>- SOGL Article 118 (o)</w:t>
      </w:r>
      <w:r w:rsidR="004C519D" w:rsidRPr="00D00ABD">
        <w:t xml:space="preserve">  </w:t>
      </w:r>
      <w:r w:rsidR="00184DBA" w:rsidRPr="00D00ABD">
        <w:t xml:space="preserve"> </w:t>
      </w:r>
      <w:r w:rsidR="00184DBA" w:rsidRPr="00D00ABD">
        <w:rPr>
          <w:iCs/>
        </w:rPr>
        <w:t>the roles and responsibilities of the TSOs implementing an imbalance netting process, a cross-border FRR activation process or a cross-border RR activation process in accordance with Article 149(2)</w:t>
      </w:r>
      <w:bookmarkEnd w:id="62"/>
      <w:bookmarkEnd w:id="63"/>
      <w:bookmarkEnd w:id="64"/>
    </w:p>
    <w:p w14:paraId="241EB5C8" w14:textId="77777777" w:rsidR="00550067" w:rsidRDefault="00550067" w:rsidP="00EA3F1F">
      <w:pPr>
        <w:pStyle w:val="Paragrapgh-numbered"/>
        <w:numPr>
          <w:ilvl w:val="0"/>
          <w:numId w:val="0"/>
        </w:numPr>
        <w:ind w:left="360"/>
        <w:rPr>
          <w:lang w:val="en-GB"/>
        </w:rPr>
      </w:pPr>
    </w:p>
    <w:p w14:paraId="2CE8D6EB" w14:textId="58B0B68E" w:rsidR="00550067" w:rsidRDefault="00550067" w:rsidP="00EA3F1F">
      <w:pPr>
        <w:pStyle w:val="Paragrapgh-numbered"/>
        <w:numPr>
          <w:ilvl w:val="0"/>
          <w:numId w:val="29"/>
        </w:numPr>
        <w:rPr>
          <w:lang w:val="en-GB"/>
        </w:rPr>
      </w:pPr>
      <w:r>
        <w:rPr>
          <w:lang w:val="en-GB"/>
        </w:rPr>
        <w:t>As GB does not, at the time of writing, have an automatic frequency restoration (aFRR) process, it is therefore not possible to couple aFRR via imbalance netting with other areas over HVDC.</w:t>
      </w:r>
    </w:p>
    <w:p w14:paraId="0E585A41" w14:textId="42A5EE28" w:rsidR="00550067" w:rsidRDefault="00550067" w:rsidP="00EA3F1F">
      <w:pPr>
        <w:pStyle w:val="Paragrapgh-numbered"/>
        <w:numPr>
          <w:ilvl w:val="0"/>
          <w:numId w:val="29"/>
        </w:numPr>
        <w:rPr>
          <w:lang w:val="en-GB"/>
        </w:rPr>
      </w:pPr>
      <w:r>
        <w:rPr>
          <w:lang w:val="en-GB"/>
        </w:rPr>
        <w:t>Concerning cross border FRR and RR services:</w:t>
      </w:r>
    </w:p>
    <w:p w14:paraId="19B585ED" w14:textId="6965CC31" w:rsidR="00184DBA" w:rsidRPr="00EA3F1F" w:rsidRDefault="00550067" w:rsidP="00EA3F1F">
      <w:pPr>
        <w:pStyle w:val="Paragrapgh-numbered"/>
        <w:numPr>
          <w:ilvl w:val="1"/>
          <w:numId w:val="29"/>
        </w:numPr>
        <w:rPr>
          <w:lang w:val="en-GB"/>
        </w:rPr>
      </w:pPr>
      <w:r>
        <w:rPr>
          <w:lang w:val="en-GB"/>
        </w:rPr>
        <w:t xml:space="preserve">Operational agreements between the ESO, other TSOs and interconnector operators since the instigation of services over HVDC. </w:t>
      </w:r>
      <w:r w:rsidR="00F3316D">
        <w:rPr>
          <w:lang w:val="en-GB"/>
        </w:rPr>
        <w:t>These agreements define provision and utilisation enabling the TSO to manage the service as ‘exchange’ or ‘sharing’. The agreements also have detailed processes for calling-off or ‘activating’ the reserve services within them.</w:t>
      </w:r>
    </w:p>
    <w:p w14:paraId="1B6B852B" w14:textId="73C483BC" w:rsidR="00550067" w:rsidRPr="00097B0F" w:rsidRDefault="00550067" w:rsidP="00097B0F"/>
    <w:p w14:paraId="4DB0B542" w14:textId="77777777" w:rsidR="00F3316D" w:rsidRDefault="00F3316D" w:rsidP="00184DBA">
      <w:pPr>
        <w:pStyle w:val="Paragrapgh-numbered"/>
        <w:numPr>
          <w:ilvl w:val="0"/>
          <w:numId w:val="29"/>
        </w:numPr>
        <w:rPr>
          <w:lang w:val="en-GB"/>
        </w:rPr>
      </w:pPr>
      <w:r>
        <w:rPr>
          <w:lang w:val="en-GB"/>
        </w:rPr>
        <w:t>Explaining the language of the SOGL in the context of GB cross-border services:</w:t>
      </w:r>
    </w:p>
    <w:p w14:paraId="132AEE32" w14:textId="54FEA66D" w:rsidR="00184DBA" w:rsidRPr="00D00ABD" w:rsidRDefault="00184DBA" w:rsidP="00EA3F1F">
      <w:pPr>
        <w:pStyle w:val="Paragrapgh-numbered"/>
        <w:numPr>
          <w:ilvl w:val="1"/>
          <w:numId w:val="29"/>
        </w:numPr>
        <w:rPr>
          <w:lang w:val="en-GB"/>
        </w:rPr>
      </w:pPr>
      <w:r w:rsidRPr="00D00ABD">
        <w:rPr>
          <w:lang w:val="en-GB"/>
        </w:rPr>
        <w:t>The reserve receiving TSO (</w:t>
      </w:r>
      <w:r w:rsidR="00550067" w:rsidRPr="00D00ABD">
        <w:rPr>
          <w:lang w:val="en-GB"/>
        </w:rPr>
        <w:t>i.e.</w:t>
      </w:r>
      <w:r w:rsidRPr="00D00ABD">
        <w:rPr>
          <w:lang w:val="en-GB"/>
        </w:rPr>
        <w:t xml:space="preserve"> the TSO of the area that needs to activate reserves) leads the process of commencing the transfer of power between synchronous areas.</w:t>
      </w:r>
      <w:r w:rsidR="004C519D" w:rsidRPr="00D00ABD">
        <w:rPr>
          <w:lang w:val="en-GB"/>
        </w:rPr>
        <w:t xml:space="preserve"> </w:t>
      </w:r>
      <w:r w:rsidRPr="00D00ABD">
        <w:rPr>
          <w:lang w:val="en-GB"/>
        </w:rPr>
        <w:t>This activity is coordinated with the interconnector owner/operator and the reserve connecting TSO. The reserve connecting TSO takes action in their own area to ensure no net impact on the security of their own system according to the specific design of that service (e.g. by counter despatching or by forwarding the instruction to a defined reserve provider in their own area).</w:t>
      </w:r>
      <w:r w:rsidR="004C519D" w:rsidRPr="00D00ABD">
        <w:rPr>
          <w:lang w:val="en-GB"/>
        </w:rPr>
        <w:t xml:space="preserve"> </w:t>
      </w:r>
    </w:p>
    <w:p w14:paraId="7100B353" w14:textId="5F2C94E0" w:rsidR="00184DBA" w:rsidRPr="00D00ABD" w:rsidRDefault="00184DBA" w:rsidP="00EA3F1F">
      <w:pPr>
        <w:pStyle w:val="Paragrapgh-numbered"/>
        <w:numPr>
          <w:ilvl w:val="1"/>
          <w:numId w:val="29"/>
        </w:numPr>
        <w:rPr>
          <w:u w:val="single"/>
          <w:lang w:val="en-GB"/>
        </w:rPr>
      </w:pPr>
      <w:r w:rsidRPr="00D00ABD">
        <w:rPr>
          <w:lang w:val="en-GB"/>
        </w:rPr>
        <w:t>The process is designed to ensure the change in MW output of the reserve provider connected to the reserve connecting TSO aligns with the net change in power transfer schedule managed by one or more interconnector owner/operators.</w:t>
      </w:r>
      <w:r w:rsidR="004C519D" w:rsidRPr="00D00ABD">
        <w:rPr>
          <w:lang w:val="en-GB"/>
        </w:rPr>
        <w:t xml:space="preserve"> </w:t>
      </w:r>
      <w:r w:rsidRPr="00D00ABD">
        <w:rPr>
          <w:lang w:val="en-GB"/>
        </w:rPr>
        <w:t xml:space="preserve">Any potential risk or impact upon the process activation structures of each LFC Block is assessed and incorporated into the detailed control assessment activities. </w:t>
      </w:r>
    </w:p>
    <w:p w14:paraId="0560C7BD" w14:textId="7BD0BEC8" w:rsidR="00184DBA" w:rsidRPr="00D00ABD" w:rsidRDefault="0051359E" w:rsidP="00EA3F1F">
      <w:pPr>
        <w:pStyle w:val="Heading2"/>
        <w:spacing w:line="240" w:lineRule="auto"/>
      </w:pPr>
      <w:bookmarkStart w:id="65" w:name="_Toc514851751"/>
      <w:bookmarkStart w:id="66" w:name="_Toc514856734"/>
      <w:bookmarkStart w:id="67" w:name="_Toc519422431"/>
      <w:r w:rsidRPr="00D00ABD">
        <w:lastRenderedPageBreak/>
        <w:t>SAOM</w:t>
      </w:r>
      <w:r w:rsidR="00184DBA" w:rsidRPr="00D00ABD">
        <w:t xml:space="preserve"> Article </w:t>
      </w:r>
      <w:r w:rsidR="007A3E39" w:rsidRPr="00D00ABD">
        <w:t>2</w:t>
      </w:r>
      <w:r w:rsidR="007A3E39">
        <w:t>4</w:t>
      </w:r>
      <w:r w:rsidR="007A3E39" w:rsidRPr="00D00ABD">
        <w:t xml:space="preserve"> </w:t>
      </w:r>
      <w:r w:rsidR="00184DBA" w:rsidRPr="00D00ABD">
        <w:t>- SOGL Article 118 (p)</w:t>
      </w:r>
      <w:r w:rsidR="004C519D" w:rsidRPr="00D00ABD">
        <w:t xml:space="preserve">  </w:t>
      </w:r>
      <w:r w:rsidR="00184DBA" w:rsidRPr="00D00ABD">
        <w:t xml:space="preserve"> requirements</w:t>
      </w:r>
      <w:r w:rsidR="004C519D" w:rsidRPr="00D00ABD">
        <w:t xml:space="preserve"> </w:t>
      </w:r>
      <w:r w:rsidR="00184DBA" w:rsidRPr="00D00ABD">
        <w:t>concerning</w:t>
      </w:r>
      <w:r w:rsidR="004C519D" w:rsidRPr="00D00ABD">
        <w:t xml:space="preserve"> </w:t>
      </w:r>
      <w:r w:rsidR="00184DBA" w:rsidRPr="00D00ABD">
        <w:t>the</w:t>
      </w:r>
      <w:r w:rsidR="004C519D" w:rsidRPr="00D00ABD">
        <w:t xml:space="preserve"> </w:t>
      </w:r>
      <w:r w:rsidR="00184DBA" w:rsidRPr="00D00ABD">
        <w:t>availability,</w:t>
      </w:r>
      <w:r w:rsidR="004C519D" w:rsidRPr="00D00ABD">
        <w:t xml:space="preserve"> </w:t>
      </w:r>
      <w:r w:rsidR="00184DBA" w:rsidRPr="00D00ABD">
        <w:t>reliability</w:t>
      </w:r>
      <w:r w:rsidR="004C519D" w:rsidRPr="00D00ABD">
        <w:t xml:space="preserve"> </w:t>
      </w:r>
      <w:r w:rsidR="00184DBA" w:rsidRPr="00D00ABD">
        <w:t>and</w:t>
      </w:r>
      <w:r w:rsidR="004C519D" w:rsidRPr="00D00ABD">
        <w:t xml:space="preserve"> </w:t>
      </w:r>
      <w:r w:rsidR="00184DBA" w:rsidRPr="00D00ABD">
        <w:t>redundancy</w:t>
      </w:r>
      <w:r w:rsidR="004C519D" w:rsidRPr="00D00ABD">
        <w:t xml:space="preserve"> </w:t>
      </w:r>
      <w:r w:rsidR="00184DBA" w:rsidRPr="00D00ABD">
        <w:t>of</w:t>
      </w:r>
      <w:r w:rsidR="004C519D" w:rsidRPr="00D00ABD">
        <w:t xml:space="preserve"> </w:t>
      </w:r>
      <w:r w:rsidR="00184DBA" w:rsidRPr="00D00ABD">
        <w:t>the technical infrastructure in accordance with Article 151(2);</w:t>
      </w:r>
      <w:bookmarkEnd w:id="65"/>
      <w:bookmarkEnd w:id="66"/>
      <w:bookmarkEnd w:id="67"/>
    </w:p>
    <w:p w14:paraId="6CDB412C" w14:textId="1233EBAE" w:rsidR="00184DBA" w:rsidRPr="00D00ABD" w:rsidRDefault="00184DBA" w:rsidP="00097B0F">
      <w:r w:rsidRPr="00D00ABD">
        <w:t xml:space="preserve"> </w:t>
      </w:r>
    </w:p>
    <w:p w14:paraId="326038EF" w14:textId="348F5EEF" w:rsidR="00184DBA" w:rsidRDefault="00E35B8A" w:rsidP="00184DBA">
      <w:pPr>
        <w:pStyle w:val="Paragrapgh-numbered"/>
        <w:numPr>
          <w:ilvl w:val="0"/>
          <w:numId w:val="30"/>
        </w:numPr>
        <w:rPr>
          <w:lang w:val="en-GB"/>
        </w:rPr>
      </w:pPr>
      <w:r>
        <w:rPr>
          <w:lang w:val="en-GB"/>
        </w:rPr>
        <w:t xml:space="preserve">The reliability of LFCR operation by the ESO depends to a great extent on having reliable information provided electronically about the state of the electrical system via </w:t>
      </w:r>
      <w:hyperlink r:id="rId18" w:history="1">
        <w:r w:rsidRPr="00E35B8A">
          <w:rPr>
            <w:rStyle w:val="Hyperlink"/>
            <w:lang w:val="en-GB"/>
          </w:rPr>
          <w:t>SCADA</w:t>
        </w:r>
      </w:hyperlink>
      <w:r>
        <w:rPr>
          <w:lang w:val="en-GB"/>
        </w:rPr>
        <w:t>, reliable market information about the future generation and demand programs of connected users, reliable computer systems in the control system to process data and assist in decision making and reliable means of communicating instructions to the various controllable assets on the grid.  This Article seeks to define the main elements of this.</w:t>
      </w:r>
    </w:p>
    <w:p w14:paraId="73F22AA9" w14:textId="7B39BA55" w:rsidR="0049302E" w:rsidRPr="00EA3F1F" w:rsidRDefault="00E35B8A" w:rsidP="00EA3F1F">
      <w:pPr>
        <w:pStyle w:val="Paragrapgh-numbered"/>
        <w:numPr>
          <w:ilvl w:val="2"/>
          <w:numId w:val="30"/>
        </w:numPr>
        <w:rPr>
          <w:lang w:val="en-GB"/>
        </w:rPr>
      </w:pPr>
      <w:r w:rsidRPr="00EA3F1F">
        <w:rPr>
          <w:lang w:val="en-GB"/>
        </w:rPr>
        <w:t xml:space="preserve">Information </w:t>
      </w:r>
      <w:r w:rsidR="00154E5F" w:rsidRPr="00EA3F1F">
        <w:rPr>
          <w:lang w:val="en-GB"/>
        </w:rPr>
        <w:t xml:space="preserve">from Grid Code users required is defined in CC.6.5: This includes information </w:t>
      </w:r>
      <w:r w:rsidRPr="00EA3F1F">
        <w:rPr>
          <w:lang w:val="en-GB"/>
        </w:rPr>
        <w:t xml:space="preserve">sent and received via </w:t>
      </w:r>
      <w:r w:rsidR="00154E5F" w:rsidRPr="00EA3F1F">
        <w:rPr>
          <w:lang w:val="en-GB"/>
        </w:rPr>
        <w:t xml:space="preserve">Control and System Telephony (CC.6.5.3) electronic data systems (see Grid Code CC.6.5.8), facsimile devices (CC.6.5.9) and Bi-lingual Message Facilities.  The following </w:t>
      </w:r>
      <w:hyperlink r:id="rId19" w:history="1">
        <w:r w:rsidR="0049302E" w:rsidRPr="00EA3F1F">
          <w:rPr>
            <w:rStyle w:val="Hyperlink"/>
            <w:lang w:val="en-GB"/>
          </w:rPr>
          <w:t>"Guide to EDT, EDL and CT" document</w:t>
        </w:r>
      </w:hyperlink>
      <w:r w:rsidR="00154E5F" w:rsidRPr="00EA3F1F">
        <w:rPr>
          <w:lang w:val="en-GB"/>
        </w:rPr>
        <w:t xml:space="preserve"> provides useful information</w:t>
      </w:r>
      <w:r w:rsidR="0049302E" w:rsidRPr="00EA3F1F">
        <w:rPr>
          <w:lang w:val="en-GB"/>
        </w:rPr>
        <w:t xml:space="preserve">. Further information can be found </w:t>
      </w:r>
      <w:r w:rsidR="0049302E">
        <w:rPr>
          <w:lang w:val="en-GB"/>
        </w:rPr>
        <w:t>on this</w:t>
      </w:r>
      <w:r w:rsidR="0049302E" w:rsidRPr="00EA3F1F">
        <w:rPr>
          <w:lang w:val="en-GB"/>
        </w:rPr>
        <w:t xml:space="preserve"> </w:t>
      </w:r>
      <w:r w:rsidR="0049302E">
        <w:rPr>
          <w:lang w:val="en-GB"/>
        </w:rPr>
        <w:t>“</w:t>
      </w:r>
      <w:hyperlink r:id="rId20" w:history="1">
        <w:r w:rsidR="0049302E">
          <w:rPr>
            <w:rStyle w:val="Hyperlink"/>
            <w:lang w:val="en-GB"/>
          </w:rPr>
          <w:t>Electrical standards documents</w:t>
        </w:r>
      </w:hyperlink>
      <w:r w:rsidR="0049302E">
        <w:rPr>
          <w:lang w:val="en-GB"/>
        </w:rPr>
        <w:t xml:space="preserve">” </w:t>
      </w:r>
      <w:r w:rsidR="0049302E" w:rsidRPr="00EA3F1F">
        <w:rPr>
          <w:lang w:val="en-GB"/>
        </w:rPr>
        <w:t>page on the ESO’s website.</w:t>
      </w:r>
    </w:p>
    <w:p w14:paraId="0070EEAE" w14:textId="1CBCA956" w:rsidR="00303249" w:rsidRDefault="00303249" w:rsidP="00EA3F1F">
      <w:pPr>
        <w:pStyle w:val="Paragrapgh-numbered"/>
        <w:numPr>
          <w:ilvl w:val="2"/>
          <w:numId w:val="30"/>
        </w:numPr>
        <w:rPr>
          <w:lang w:val="en-GB"/>
        </w:rPr>
      </w:pPr>
      <w:r>
        <w:rPr>
          <w:lang w:val="en-GB"/>
        </w:rPr>
        <w:t>The Article also explains that NGET control systems and telecommunications between critical control points uses recognised standards for its architecture to give the level of reliability and availability expected of critical national infrastructure systems.</w:t>
      </w:r>
    </w:p>
    <w:p w14:paraId="4167680C" w14:textId="64146065" w:rsidR="0049302E" w:rsidRDefault="00303249" w:rsidP="00EA3F1F">
      <w:pPr>
        <w:pStyle w:val="Paragrapgh-numbered"/>
        <w:numPr>
          <w:ilvl w:val="3"/>
          <w:numId w:val="30"/>
        </w:numPr>
        <w:rPr>
          <w:lang w:val="en-GB"/>
        </w:rPr>
      </w:pPr>
      <w:r>
        <w:rPr>
          <w:lang w:val="en-GB"/>
        </w:rPr>
        <w:t>GE XA/21standards for SCADA</w:t>
      </w:r>
    </w:p>
    <w:p w14:paraId="79FCA8E8" w14:textId="5217F839" w:rsidR="00303249" w:rsidRDefault="00303249" w:rsidP="00EA3F1F">
      <w:pPr>
        <w:pStyle w:val="Paragrapgh-numbered"/>
        <w:numPr>
          <w:ilvl w:val="3"/>
          <w:numId w:val="30"/>
        </w:numPr>
        <w:rPr>
          <w:lang w:val="en-GB"/>
        </w:rPr>
      </w:pPr>
      <w:r>
        <w:rPr>
          <w:lang w:val="en-GB"/>
        </w:rPr>
        <w:t xml:space="preserve">The </w:t>
      </w:r>
      <w:hyperlink r:id="rId21" w:history="1">
        <w:r w:rsidRPr="00303249">
          <w:rPr>
            <w:rStyle w:val="Hyperlink"/>
            <w:lang w:val="en-GB"/>
          </w:rPr>
          <w:t>NG TS 3.24.20</w:t>
        </w:r>
      </w:hyperlink>
      <w:r>
        <w:rPr>
          <w:lang w:val="en-GB"/>
        </w:rPr>
        <w:t xml:space="preserve"> availability and reliability standard is applied</w:t>
      </w:r>
    </w:p>
    <w:p w14:paraId="00FFBB66" w14:textId="34C187A1" w:rsidR="00303249" w:rsidRPr="00EA3F1F" w:rsidRDefault="00303249" w:rsidP="00EA3F1F">
      <w:pPr>
        <w:pStyle w:val="Paragrapgh-numbered"/>
        <w:numPr>
          <w:ilvl w:val="3"/>
          <w:numId w:val="30"/>
        </w:numPr>
        <w:rPr>
          <w:lang w:val="en-GB"/>
        </w:rPr>
      </w:pPr>
      <w:r>
        <w:rPr>
          <w:lang w:val="en-GB"/>
        </w:rPr>
        <w:t>Communications protocols used are ICCP-1996; IEC101 and GI-74</w:t>
      </w:r>
    </w:p>
    <w:p w14:paraId="02FC6B8B" w14:textId="4634196D" w:rsidR="00184DBA" w:rsidRPr="00D00ABD" w:rsidRDefault="0051359E" w:rsidP="00EA3F1F">
      <w:pPr>
        <w:pStyle w:val="Heading2"/>
        <w:spacing w:line="240" w:lineRule="auto"/>
      </w:pPr>
      <w:bookmarkStart w:id="68" w:name="_Toc514851753"/>
      <w:bookmarkStart w:id="69" w:name="_Toc514856736"/>
      <w:bookmarkStart w:id="70" w:name="_Toc519422432"/>
      <w:r w:rsidRPr="00D00ABD">
        <w:t>SAOM</w:t>
      </w:r>
      <w:r w:rsidR="00184DBA" w:rsidRPr="00D00ABD">
        <w:t xml:space="preserve"> Article </w:t>
      </w:r>
      <w:r w:rsidR="007A3E39" w:rsidRPr="00D00ABD">
        <w:t>2</w:t>
      </w:r>
      <w:r w:rsidR="007A3E39">
        <w:t>5</w:t>
      </w:r>
      <w:r w:rsidR="007A3E39" w:rsidRPr="00D00ABD">
        <w:t xml:space="preserve"> </w:t>
      </w:r>
      <w:r w:rsidR="00184DBA" w:rsidRPr="00D00ABD">
        <w:t>- SOGL Article 118 (q)</w:t>
      </w:r>
      <w:r w:rsidR="004C519D" w:rsidRPr="00D00ABD">
        <w:t xml:space="preserve">  </w:t>
      </w:r>
      <w:r w:rsidR="00184DBA" w:rsidRPr="00D00ABD">
        <w:t xml:space="preserve"> common rules</w:t>
      </w:r>
      <w:r w:rsidR="004C519D" w:rsidRPr="00D00ABD">
        <w:t xml:space="preserve"> </w:t>
      </w:r>
      <w:r w:rsidR="00184DBA" w:rsidRPr="00D00ABD">
        <w:t>for the</w:t>
      </w:r>
      <w:r w:rsidR="004C519D" w:rsidRPr="00D00ABD">
        <w:t xml:space="preserve"> </w:t>
      </w:r>
      <w:r w:rsidR="00184DBA" w:rsidRPr="00D00ABD">
        <w:t>operation in</w:t>
      </w:r>
      <w:r w:rsidR="004C519D" w:rsidRPr="00D00ABD">
        <w:t xml:space="preserve"> </w:t>
      </w:r>
      <w:r w:rsidR="00184DBA" w:rsidRPr="00D00ABD">
        <w:t>normal</w:t>
      </w:r>
      <w:r w:rsidR="004C519D" w:rsidRPr="00D00ABD">
        <w:t xml:space="preserve"> </w:t>
      </w:r>
      <w:r w:rsidR="00184DBA" w:rsidRPr="00D00ABD">
        <w:t>state and</w:t>
      </w:r>
      <w:r w:rsidR="004C519D" w:rsidRPr="00D00ABD">
        <w:t xml:space="preserve"> </w:t>
      </w:r>
      <w:r w:rsidR="00184DBA" w:rsidRPr="00D00ABD">
        <w:t>alert</w:t>
      </w:r>
      <w:r w:rsidR="004C519D" w:rsidRPr="00D00ABD">
        <w:t xml:space="preserve"> </w:t>
      </w:r>
      <w:r w:rsidR="00184DBA" w:rsidRPr="00D00ABD">
        <w:t>state</w:t>
      </w:r>
      <w:r w:rsidR="004C519D" w:rsidRPr="00D00ABD">
        <w:t xml:space="preserve"> </w:t>
      </w:r>
      <w:r w:rsidR="00184DBA" w:rsidRPr="00D00ABD">
        <w:t>in</w:t>
      </w:r>
      <w:r w:rsidR="004C519D" w:rsidRPr="00D00ABD">
        <w:t xml:space="preserve"> </w:t>
      </w:r>
      <w:r w:rsidR="00184DBA" w:rsidRPr="00D00ABD">
        <w:t>accordance with Article 152(6) and the actions referred to in Article 152(15);</w:t>
      </w:r>
      <w:bookmarkEnd w:id="68"/>
      <w:bookmarkEnd w:id="69"/>
      <w:bookmarkEnd w:id="70"/>
    </w:p>
    <w:p w14:paraId="28B65B23" w14:textId="57C04E7A" w:rsidR="00184DBA" w:rsidRPr="00D00ABD" w:rsidRDefault="00184DBA" w:rsidP="00097B0F">
      <w:r w:rsidRPr="00D00ABD">
        <w:t xml:space="preserve"> </w:t>
      </w:r>
    </w:p>
    <w:p w14:paraId="76D30490" w14:textId="6CC05638" w:rsidR="00184DBA" w:rsidRDefault="00303249" w:rsidP="00184DBA">
      <w:pPr>
        <w:pStyle w:val="Paragrapgh-numbered"/>
        <w:numPr>
          <w:ilvl w:val="0"/>
          <w:numId w:val="31"/>
        </w:numPr>
        <w:rPr>
          <w:rFonts w:eastAsiaTheme="minorHAnsi"/>
          <w:lang w:val="en-GB"/>
        </w:rPr>
      </w:pPr>
      <w:r>
        <w:rPr>
          <w:rFonts w:eastAsiaTheme="minorHAnsi"/>
          <w:lang w:val="en-GB"/>
        </w:rPr>
        <w:t xml:space="preserve">This article focuses on the need for coordination between the </w:t>
      </w:r>
      <w:r w:rsidR="00CD45D6">
        <w:rPr>
          <w:rFonts w:eastAsiaTheme="minorHAnsi"/>
          <w:lang w:val="en-GB"/>
        </w:rPr>
        <w:t>electricity system operators in each level in the control hierarchy where there is more than one</w:t>
      </w:r>
      <w:r w:rsidR="00184DBA" w:rsidRPr="00D00ABD">
        <w:rPr>
          <w:rFonts w:eastAsiaTheme="minorHAnsi"/>
          <w:lang w:val="en-GB"/>
        </w:rPr>
        <w:t>.</w:t>
      </w:r>
      <w:r w:rsidR="00CD45D6">
        <w:rPr>
          <w:rFonts w:eastAsiaTheme="minorHAnsi"/>
          <w:lang w:val="en-GB"/>
        </w:rPr>
        <w:t xml:space="preserve"> In GB there is a single ESO.  Therefore it is straightforward to state that:</w:t>
      </w:r>
    </w:p>
    <w:p w14:paraId="2E5195AE" w14:textId="7F27FC0C" w:rsidR="00CD45D6" w:rsidRDefault="00CD45D6" w:rsidP="00EA3F1F">
      <w:pPr>
        <w:pStyle w:val="Paragrapgh-numbered"/>
        <w:numPr>
          <w:ilvl w:val="1"/>
          <w:numId w:val="31"/>
        </w:numPr>
        <w:rPr>
          <w:rFonts w:eastAsiaTheme="minorHAnsi"/>
          <w:lang w:val="en-GB"/>
        </w:rPr>
      </w:pPr>
      <w:r>
        <w:rPr>
          <w:rFonts w:eastAsiaTheme="minorHAnsi"/>
          <w:lang w:val="en-GB"/>
        </w:rPr>
        <w:t>During a normal state the electricity system will be operated using the control processes already defined in the SAOM Article 18.</w:t>
      </w:r>
    </w:p>
    <w:p w14:paraId="3BFD5770" w14:textId="5C8F2186" w:rsidR="00CD45D6" w:rsidRPr="00D00ABD" w:rsidRDefault="00CD45D6" w:rsidP="00EA3F1F">
      <w:pPr>
        <w:pStyle w:val="Paragrapgh-numbered"/>
        <w:numPr>
          <w:ilvl w:val="1"/>
          <w:numId w:val="31"/>
        </w:numPr>
        <w:rPr>
          <w:rFonts w:eastAsiaTheme="minorHAnsi"/>
          <w:lang w:val="en-GB"/>
        </w:rPr>
      </w:pPr>
      <w:r>
        <w:rPr>
          <w:rFonts w:eastAsiaTheme="minorHAnsi"/>
          <w:lang w:val="en-GB"/>
        </w:rPr>
        <w:t>During an alert state (as defined in SOGL article 18) the ESO will follow the procedures defined in SAOM Article 21.</w:t>
      </w:r>
    </w:p>
    <w:p w14:paraId="1862F7A9" w14:textId="4763A413" w:rsidR="00184DBA" w:rsidRPr="00D00ABD" w:rsidRDefault="0051359E" w:rsidP="00EA3F1F">
      <w:pPr>
        <w:pStyle w:val="Heading2"/>
        <w:spacing w:line="240" w:lineRule="auto"/>
      </w:pPr>
      <w:bookmarkStart w:id="71" w:name="_Toc514851755"/>
      <w:bookmarkStart w:id="72" w:name="_Toc514856738"/>
      <w:bookmarkStart w:id="73" w:name="_Toc519422433"/>
      <w:r w:rsidRPr="00D00ABD">
        <w:t>SAOM</w:t>
      </w:r>
      <w:r w:rsidR="00184DBA" w:rsidRPr="00D00ABD">
        <w:t xml:space="preserve"> Article </w:t>
      </w:r>
      <w:r w:rsidR="007A3E39" w:rsidRPr="00D00ABD">
        <w:t>2</w:t>
      </w:r>
      <w:r w:rsidR="007A3E39">
        <w:t>6</w:t>
      </w:r>
      <w:r w:rsidR="007A3E39" w:rsidRPr="00D00ABD">
        <w:t xml:space="preserve"> </w:t>
      </w:r>
      <w:r w:rsidR="00184DBA" w:rsidRPr="00D00ABD">
        <w:t>- SOGL Article 118 (r)</w:t>
      </w:r>
      <w:r w:rsidR="004C519D" w:rsidRPr="00D00ABD">
        <w:t xml:space="preserve">  </w:t>
      </w:r>
      <w:r w:rsidR="00184DBA" w:rsidRPr="00D00ABD">
        <w:t xml:space="preserve"> </w:t>
      </w:r>
      <w:bookmarkEnd w:id="71"/>
      <w:r w:rsidR="00184DBA" w:rsidRPr="00D00ABD">
        <w:t>for the CE and Nordic synchronous areas, the minimum activation period to be ensured by FCR providers in accordance with Article 156(10);</w:t>
      </w:r>
      <w:bookmarkEnd w:id="72"/>
      <w:bookmarkEnd w:id="73"/>
    </w:p>
    <w:p w14:paraId="27C3BEE0" w14:textId="549A42FE" w:rsidR="00184DBA" w:rsidRPr="00D00ABD" w:rsidRDefault="00184DBA" w:rsidP="00097B0F">
      <w:r w:rsidRPr="00D00ABD">
        <w:t xml:space="preserve"> </w:t>
      </w:r>
    </w:p>
    <w:p w14:paraId="2BBBD3DA" w14:textId="416A522D" w:rsidR="006D63AF" w:rsidRPr="00D00ABD" w:rsidRDefault="006D63AF" w:rsidP="006D63AF">
      <w:pPr>
        <w:pStyle w:val="Paragrapgh-numbered"/>
        <w:numPr>
          <w:ilvl w:val="0"/>
          <w:numId w:val="32"/>
        </w:numPr>
        <w:rPr>
          <w:rFonts w:eastAsiaTheme="minorHAnsi"/>
          <w:lang w:val="en-GB"/>
        </w:rPr>
      </w:pPr>
      <w:r w:rsidRPr="00D00ABD">
        <w:rPr>
          <w:rFonts w:eastAsiaTheme="minorHAnsi"/>
          <w:lang w:val="en-GB"/>
        </w:rPr>
        <w:t xml:space="preserve">This article </w:t>
      </w:r>
      <w:r>
        <w:rPr>
          <w:rFonts w:eastAsiaTheme="minorHAnsi"/>
          <w:lang w:val="en-GB"/>
        </w:rPr>
        <w:t>does not hold any requirements to define any methods for the GB area.</w:t>
      </w:r>
    </w:p>
    <w:p w14:paraId="5A09DC56" w14:textId="77777777" w:rsidR="00184DBA" w:rsidRPr="00097B0F" w:rsidRDefault="00184DBA" w:rsidP="00097B0F">
      <w:pPr>
        <w:rPr>
          <w:rFonts w:eastAsiaTheme="minorHAnsi"/>
        </w:rPr>
      </w:pPr>
    </w:p>
    <w:p w14:paraId="4756B4D8" w14:textId="466A3069" w:rsidR="00184DBA" w:rsidRPr="00D00ABD" w:rsidRDefault="0051359E" w:rsidP="00EA3F1F">
      <w:pPr>
        <w:pStyle w:val="Heading2"/>
        <w:spacing w:line="240" w:lineRule="auto"/>
      </w:pPr>
      <w:bookmarkStart w:id="74" w:name="_Toc514851757"/>
      <w:bookmarkStart w:id="75" w:name="_Toc514856740"/>
      <w:bookmarkStart w:id="76" w:name="_Toc519422434"/>
      <w:r w:rsidRPr="00D00ABD">
        <w:lastRenderedPageBreak/>
        <w:t>SAOM</w:t>
      </w:r>
      <w:r w:rsidR="00184DBA" w:rsidRPr="00D00ABD">
        <w:t xml:space="preserve"> Article </w:t>
      </w:r>
      <w:r w:rsidR="007A3E39" w:rsidRPr="00D00ABD">
        <w:t>2</w:t>
      </w:r>
      <w:r w:rsidR="007A3E39">
        <w:t>7</w:t>
      </w:r>
      <w:r w:rsidR="007A3E39" w:rsidRPr="00D00ABD">
        <w:t xml:space="preserve"> </w:t>
      </w:r>
      <w:r w:rsidR="00184DBA" w:rsidRPr="00D00ABD">
        <w:t>- SOGL Article 118 (s)</w:t>
      </w:r>
      <w:r w:rsidR="004C519D" w:rsidRPr="00D00ABD">
        <w:t xml:space="preserve">  </w:t>
      </w:r>
      <w:r w:rsidR="00184DBA" w:rsidRPr="00D00ABD">
        <w:t xml:space="preserve"> </w:t>
      </w:r>
      <w:bookmarkEnd w:id="74"/>
      <w:r w:rsidR="00184DBA" w:rsidRPr="00D00ABD">
        <w:t>for the CE and Nordic synchronous areas, the assumptions and methodology for a cost-benefit analysis in accordance with Article 156(11);</w:t>
      </w:r>
      <w:bookmarkEnd w:id="75"/>
      <w:bookmarkEnd w:id="76"/>
    </w:p>
    <w:p w14:paraId="6464A7FF" w14:textId="72D007B4" w:rsidR="00184DBA" w:rsidRPr="00D00ABD" w:rsidRDefault="00184DBA" w:rsidP="00097B0F">
      <w:r w:rsidRPr="00D00ABD">
        <w:t xml:space="preserve"> </w:t>
      </w:r>
    </w:p>
    <w:p w14:paraId="629FC60F" w14:textId="4B6BA785" w:rsidR="006D63AF" w:rsidRPr="00D00ABD" w:rsidRDefault="006D63AF" w:rsidP="006D63AF">
      <w:pPr>
        <w:pStyle w:val="Paragrapgh-numbered"/>
        <w:numPr>
          <w:ilvl w:val="0"/>
          <w:numId w:val="32"/>
        </w:numPr>
        <w:rPr>
          <w:rFonts w:eastAsiaTheme="minorHAnsi"/>
          <w:lang w:val="en-GB"/>
        </w:rPr>
      </w:pPr>
      <w:r w:rsidRPr="00D00ABD">
        <w:rPr>
          <w:rFonts w:eastAsiaTheme="minorHAnsi"/>
          <w:lang w:val="en-GB"/>
        </w:rPr>
        <w:t xml:space="preserve">This article </w:t>
      </w:r>
      <w:r>
        <w:rPr>
          <w:rFonts w:eastAsiaTheme="minorHAnsi"/>
          <w:lang w:val="en-GB"/>
        </w:rPr>
        <w:t>does not hold any requirements to define any methods for the GB area.</w:t>
      </w:r>
    </w:p>
    <w:p w14:paraId="4D1320D8" w14:textId="77777777" w:rsidR="00184DBA" w:rsidRPr="00097B0F" w:rsidRDefault="00184DBA" w:rsidP="00097B0F">
      <w:pPr>
        <w:rPr>
          <w:rFonts w:eastAsiaTheme="minorHAnsi"/>
        </w:rPr>
      </w:pPr>
    </w:p>
    <w:p w14:paraId="34BEF1C2" w14:textId="1DAA144A" w:rsidR="00184DBA" w:rsidRPr="00D00ABD" w:rsidRDefault="0051359E" w:rsidP="00EA3F1F">
      <w:pPr>
        <w:pStyle w:val="Heading2"/>
        <w:spacing w:line="240" w:lineRule="auto"/>
      </w:pPr>
      <w:bookmarkStart w:id="77" w:name="_Toc514851760"/>
      <w:bookmarkStart w:id="78" w:name="_Toc514856743"/>
      <w:bookmarkStart w:id="79" w:name="_Toc519422435"/>
      <w:r w:rsidRPr="00D00ABD">
        <w:t>SAOM</w:t>
      </w:r>
      <w:r w:rsidR="00184DBA" w:rsidRPr="00D00ABD">
        <w:t xml:space="preserve"> Article </w:t>
      </w:r>
      <w:r w:rsidR="007A3E39" w:rsidRPr="00D00ABD">
        <w:t>2</w:t>
      </w:r>
      <w:r w:rsidR="007A3E39">
        <w:t>8</w:t>
      </w:r>
      <w:r w:rsidR="007A3E39" w:rsidRPr="00D00ABD">
        <w:t xml:space="preserve"> </w:t>
      </w:r>
      <w:r w:rsidR="00184DBA" w:rsidRPr="00D00ABD">
        <w:t>- SOGL Article 118 (u)</w:t>
      </w:r>
      <w:r w:rsidR="004C519D" w:rsidRPr="00D00ABD">
        <w:t xml:space="preserve">  </w:t>
      </w:r>
      <w:r w:rsidR="00184DBA" w:rsidRPr="00D00ABD">
        <w:t xml:space="preserve"> the</w:t>
      </w:r>
      <w:r w:rsidR="004C519D" w:rsidRPr="00D00ABD">
        <w:t xml:space="preserve"> </w:t>
      </w:r>
      <w:r w:rsidR="00184DBA" w:rsidRPr="00D00ABD">
        <w:t>roles</w:t>
      </w:r>
      <w:r w:rsidR="004C519D" w:rsidRPr="00D00ABD">
        <w:t xml:space="preserve"> </w:t>
      </w:r>
      <w:r w:rsidR="00184DBA" w:rsidRPr="00D00ABD">
        <w:t>and</w:t>
      </w:r>
      <w:r w:rsidR="004C519D" w:rsidRPr="00D00ABD">
        <w:t xml:space="preserve"> </w:t>
      </w:r>
      <w:r w:rsidR="00184DBA" w:rsidRPr="00D00ABD">
        <w:t>responsibilities</w:t>
      </w:r>
      <w:r w:rsidR="004C519D" w:rsidRPr="00D00ABD">
        <w:t xml:space="preserve"> </w:t>
      </w:r>
      <w:r w:rsidR="00184DBA" w:rsidRPr="00D00ABD">
        <w:t>of</w:t>
      </w:r>
      <w:r w:rsidR="004C519D" w:rsidRPr="00D00ABD">
        <w:t xml:space="preserve"> </w:t>
      </w:r>
      <w:r w:rsidR="00184DBA" w:rsidRPr="00D00ABD">
        <w:t>the</w:t>
      </w:r>
      <w:r w:rsidR="004C519D" w:rsidRPr="00D00ABD">
        <w:t xml:space="preserve"> </w:t>
      </w:r>
      <w:r w:rsidR="00184DBA" w:rsidRPr="00D00ABD">
        <w:t>reserve</w:t>
      </w:r>
      <w:r w:rsidR="004C519D" w:rsidRPr="00D00ABD">
        <w:t xml:space="preserve"> </w:t>
      </w:r>
      <w:r w:rsidR="00184DBA" w:rsidRPr="00D00ABD">
        <w:t>connecting</w:t>
      </w:r>
      <w:r w:rsidR="004C519D" w:rsidRPr="00D00ABD">
        <w:t xml:space="preserve"> </w:t>
      </w:r>
      <w:r w:rsidR="00184DBA" w:rsidRPr="00D00ABD">
        <w:t>TSO,</w:t>
      </w:r>
      <w:r w:rsidR="004C519D" w:rsidRPr="00D00ABD">
        <w:t xml:space="preserve"> </w:t>
      </w:r>
      <w:r w:rsidR="00184DBA" w:rsidRPr="00D00ABD">
        <w:t>the</w:t>
      </w:r>
      <w:r w:rsidR="004C519D" w:rsidRPr="00D00ABD">
        <w:t xml:space="preserve"> </w:t>
      </w:r>
      <w:r w:rsidR="00184DBA" w:rsidRPr="00D00ABD">
        <w:t>reserve receiving TSO and the affected TSO as regards the exchange of FRR and RR defined in accordance with Article 165(1);</w:t>
      </w:r>
      <w:bookmarkEnd w:id="77"/>
      <w:bookmarkEnd w:id="78"/>
      <w:bookmarkEnd w:id="79"/>
    </w:p>
    <w:p w14:paraId="1C4D73A0" w14:textId="20D92B48" w:rsidR="00184DBA" w:rsidRPr="00D00ABD" w:rsidRDefault="00184DBA" w:rsidP="00097B0F">
      <w:r w:rsidRPr="00D00ABD">
        <w:t xml:space="preserve"> </w:t>
      </w:r>
    </w:p>
    <w:p w14:paraId="625973ED" w14:textId="77777777" w:rsidR="00184DBA" w:rsidRPr="00D00ABD" w:rsidRDefault="00184DBA" w:rsidP="00184DBA">
      <w:pPr>
        <w:pStyle w:val="Paragrapgh-numbered"/>
        <w:numPr>
          <w:ilvl w:val="0"/>
          <w:numId w:val="34"/>
        </w:numPr>
        <w:rPr>
          <w:rFonts w:eastAsiaTheme="minorHAnsi"/>
          <w:lang w:val="en-GB"/>
        </w:rPr>
      </w:pPr>
      <w:r w:rsidRPr="00D00ABD">
        <w:rPr>
          <w:rFonts w:eastAsiaTheme="minorHAnsi"/>
          <w:lang w:val="en-GB"/>
        </w:rPr>
        <w:t>This Article does not apply in GB because of the LFC Block structure where there is a single TSO with the responsibility of being the GB electricity system operator for a single LFC Area that is contiguous with the LFC Block and Synchronous Area</w:t>
      </w:r>
    </w:p>
    <w:p w14:paraId="1CC12AC9" w14:textId="190587CC" w:rsidR="00184DBA" w:rsidRPr="00D00ABD" w:rsidRDefault="0051359E" w:rsidP="00EA3F1F">
      <w:pPr>
        <w:pStyle w:val="Heading2"/>
        <w:spacing w:line="240" w:lineRule="auto"/>
        <w:rPr>
          <w:iCs/>
        </w:rPr>
      </w:pPr>
      <w:bookmarkStart w:id="80" w:name="_Toc514851762"/>
      <w:bookmarkStart w:id="81" w:name="_Toc514856745"/>
      <w:bookmarkStart w:id="82" w:name="_Toc519422436"/>
      <w:r w:rsidRPr="00D00ABD">
        <w:t>SAOM</w:t>
      </w:r>
      <w:r w:rsidR="00184DBA" w:rsidRPr="00D00ABD">
        <w:t xml:space="preserve"> Article </w:t>
      </w:r>
      <w:r w:rsidR="007A3E39" w:rsidRPr="00D00ABD">
        <w:t>2</w:t>
      </w:r>
      <w:r w:rsidR="007A3E39">
        <w:t>9</w:t>
      </w:r>
      <w:r w:rsidR="007A3E39" w:rsidRPr="00D00ABD">
        <w:t xml:space="preserve"> </w:t>
      </w:r>
      <w:r w:rsidR="00184DBA" w:rsidRPr="00D00ABD">
        <w:t>- SOGL Article 118 (v)</w:t>
      </w:r>
      <w:r w:rsidR="004C519D" w:rsidRPr="00D00ABD">
        <w:t xml:space="preserve">  </w:t>
      </w:r>
      <w:r w:rsidR="00184DBA" w:rsidRPr="00D00ABD">
        <w:t xml:space="preserve"> </w:t>
      </w:r>
      <w:r w:rsidR="00184DBA" w:rsidRPr="00D00ABD">
        <w:rPr>
          <w:iCs/>
        </w:rPr>
        <w:t>the</w:t>
      </w:r>
      <w:r w:rsidR="004C519D" w:rsidRPr="00D00ABD">
        <w:rPr>
          <w:iCs/>
        </w:rPr>
        <w:t xml:space="preserve"> </w:t>
      </w:r>
      <w:r w:rsidR="00184DBA" w:rsidRPr="00D00ABD">
        <w:rPr>
          <w:iCs/>
        </w:rPr>
        <w:t>roles</w:t>
      </w:r>
      <w:r w:rsidR="004C519D" w:rsidRPr="00D00ABD">
        <w:rPr>
          <w:iCs/>
        </w:rPr>
        <w:t xml:space="preserve"> </w:t>
      </w:r>
      <w:r w:rsidR="00184DBA" w:rsidRPr="00D00ABD">
        <w:rPr>
          <w:iCs/>
        </w:rPr>
        <w:t>and</w:t>
      </w:r>
      <w:r w:rsidR="004C519D" w:rsidRPr="00D00ABD">
        <w:rPr>
          <w:iCs/>
        </w:rPr>
        <w:t xml:space="preserve"> </w:t>
      </w:r>
      <w:r w:rsidR="00184DBA" w:rsidRPr="00D00ABD">
        <w:rPr>
          <w:iCs/>
        </w:rPr>
        <w:t>responsibilities</w:t>
      </w:r>
      <w:r w:rsidR="004C519D" w:rsidRPr="00D00ABD">
        <w:rPr>
          <w:iCs/>
        </w:rPr>
        <w:t xml:space="preserve"> </w:t>
      </w:r>
      <w:r w:rsidR="00184DBA" w:rsidRPr="00D00ABD">
        <w:rPr>
          <w:iCs/>
        </w:rPr>
        <w:t>of</w:t>
      </w:r>
      <w:r w:rsidR="004C519D" w:rsidRPr="00D00ABD">
        <w:rPr>
          <w:iCs/>
        </w:rPr>
        <w:t xml:space="preserve"> </w:t>
      </w:r>
      <w:r w:rsidR="00184DBA" w:rsidRPr="00D00ABD">
        <w:rPr>
          <w:iCs/>
        </w:rPr>
        <w:t>the</w:t>
      </w:r>
      <w:r w:rsidR="004C519D" w:rsidRPr="00D00ABD">
        <w:rPr>
          <w:iCs/>
        </w:rPr>
        <w:t xml:space="preserve"> </w:t>
      </w:r>
      <w:r w:rsidR="00184DBA" w:rsidRPr="00D00ABD">
        <w:rPr>
          <w:iCs/>
        </w:rPr>
        <w:t>control</w:t>
      </w:r>
      <w:r w:rsidR="004C519D" w:rsidRPr="00D00ABD">
        <w:rPr>
          <w:iCs/>
        </w:rPr>
        <w:t xml:space="preserve"> </w:t>
      </w:r>
      <w:r w:rsidR="00184DBA" w:rsidRPr="00D00ABD">
        <w:rPr>
          <w:iCs/>
        </w:rPr>
        <w:t>capability</w:t>
      </w:r>
      <w:r w:rsidR="004C519D" w:rsidRPr="00D00ABD">
        <w:rPr>
          <w:iCs/>
        </w:rPr>
        <w:t xml:space="preserve"> </w:t>
      </w:r>
      <w:r w:rsidR="00184DBA" w:rsidRPr="00D00ABD">
        <w:rPr>
          <w:iCs/>
        </w:rPr>
        <w:t>providing</w:t>
      </w:r>
      <w:r w:rsidR="004C519D" w:rsidRPr="00D00ABD">
        <w:rPr>
          <w:iCs/>
        </w:rPr>
        <w:t xml:space="preserve"> </w:t>
      </w:r>
      <w:r w:rsidR="00184DBA" w:rsidRPr="00D00ABD">
        <w:rPr>
          <w:iCs/>
        </w:rPr>
        <w:t>TSO,</w:t>
      </w:r>
      <w:r w:rsidR="004C519D" w:rsidRPr="00D00ABD">
        <w:rPr>
          <w:iCs/>
        </w:rPr>
        <w:t xml:space="preserve"> </w:t>
      </w:r>
      <w:r w:rsidR="00184DBA" w:rsidRPr="00D00ABD">
        <w:rPr>
          <w:iCs/>
        </w:rPr>
        <w:t>the control capability receiving TSO and the affected TSO for the sharing of FRR and RR defined in accordance with Article 166(1);</w:t>
      </w:r>
      <w:bookmarkEnd w:id="80"/>
      <w:bookmarkEnd w:id="81"/>
      <w:bookmarkEnd w:id="82"/>
    </w:p>
    <w:p w14:paraId="399312C6" w14:textId="04374E1E" w:rsidR="00184DBA" w:rsidRPr="00D00ABD" w:rsidRDefault="00184DBA" w:rsidP="00097B0F">
      <w:r w:rsidRPr="00D00ABD">
        <w:t xml:space="preserve"> </w:t>
      </w:r>
    </w:p>
    <w:p w14:paraId="5A4400C8" w14:textId="77777777" w:rsidR="00184DBA" w:rsidRPr="00D00ABD" w:rsidRDefault="00184DBA" w:rsidP="00184DBA">
      <w:pPr>
        <w:pStyle w:val="Paragrapgh-numbered"/>
        <w:numPr>
          <w:ilvl w:val="0"/>
          <w:numId w:val="35"/>
        </w:numPr>
        <w:rPr>
          <w:rFonts w:eastAsiaTheme="minorHAnsi"/>
          <w:lang w:val="en-GB"/>
        </w:rPr>
      </w:pPr>
      <w:r w:rsidRPr="00D00ABD">
        <w:rPr>
          <w:rFonts w:eastAsiaTheme="minorHAnsi"/>
          <w:lang w:val="en-GB"/>
        </w:rPr>
        <w:t xml:space="preserve">This Article does not apply in GB because of the LFC Block structure where there is a single TSO with the responsibility of being the GB electricity system operator for a single LFC Area that is contiguous with the LFC Block and Synchronous Area. </w:t>
      </w:r>
    </w:p>
    <w:p w14:paraId="7DDEE41A" w14:textId="77777777" w:rsidR="00184DBA" w:rsidRPr="00097B0F" w:rsidRDefault="00184DBA" w:rsidP="00097B0F"/>
    <w:p w14:paraId="6AE1A56A" w14:textId="247BD1B6" w:rsidR="00184DBA" w:rsidRPr="00D00ABD" w:rsidRDefault="0051359E" w:rsidP="00EA3F1F">
      <w:pPr>
        <w:pStyle w:val="Heading2"/>
        <w:spacing w:line="240" w:lineRule="auto"/>
        <w:rPr>
          <w:iCs/>
        </w:rPr>
      </w:pPr>
      <w:bookmarkStart w:id="83" w:name="_Toc514851764"/>
      <w:bookmarkStart w:id="84" w:name="_Toc514856747"/>
      <w:bookmarkStart w:id="85" w:name="_Toc519422437"/>
      <w:r w:rsidRPr="00D00ABD">
        <w:t>SAOM</w:t>
      </w:r>
      <w:r w:rsidR="00184DBA" w:rsidRPr="00D00ABD">
        <w:t xml:space="preserve"> Article </w:t>
      </w:r>
      <w:r w:rsidR="007A3E39">
        <w:t>30</w:t>
      </w:r>
      <w:r w:rsidR="007A3E39" w:rsidRPr="00D00ABD">
        <w:t xml:space="preserve"> </w:t>
      </w:r>
      <w:r w:rsidR="00184DBA" w:rsidRPr="00D00ABD">
        <w:t>- SOGL Article 118 (w)</w:t>
      </w:r>
      <w:r w:rsidR="004C519D" w:rsidRPr="00D00ABD">
        <w:t xml:space="preserve">  </w:t>
      </w:r>
      <w:r w:rsidR="00184DBA" w:rsidRPr="00D00ABD">
        <w:t xml:space="preserve"> </w:t>
      </w:r>
      <w:r w:rsidR="00184DBA" w:rsidRPr="00D00ABD">
        <w:rPr>
          <w:iCs/>
        </w:rPr>
        <w:t>the</w:t>
      </w:r>
      <w:r w:rsidR="004C519D" w:rsidRPr="00D00ABD">
        <w:rPr>
          <w:iCs/>
        </w:rPr>
        <w:t xml:space="preserve"> </w:t>
      </w:r>
      <w:r w:rsidR="00184DBA" w:rsidRPr="00D00ABD">
        <w:rPr>
          <w:iCs/>
        </w:rPr>
        <w:t>roles</w:t>
      </w:r>
      <w:r w:rsidR="004C519D" w:rsidRPr="00D00ABD">
        <w:rPr>
          <w:iCs/>
        </w:rPr>
        <w:t xml:space="preserve"> </w:t>
      </w:r>
      <w:r w:rsidR="00184DBA" w:rsidRPr="00D00ABD">
        <w:rPr>
          <w:iCs/>
        </w:rPr>
        <w:t>and</w:t>
      </w:r>
      <w:r w:rsidR="004C519D" w:rsidRPr="00D00ABD">
        <w:rPr>
          <w:iCs/>
        </w:rPr>
        <w:t xml:space="preserve"> </w:t>
      </w:r>
      <w:r w:rsidR="00184DBA" w:rsidRPr="00D00ABD">
        <w:rPr>
          <w:iCs/>
        </w:rPr>
        <w:t>responsibilities</w:t>
      </w:r>
      <w:r w:rsidR="004C519D" w:rsidRPr="00D00ABD">
        <w:rPr>
          <w:iCs/>
        </w:rPr>
        <w:t xml:space="preserve"> </w:t>
      </w:r>
      <w:r w:rsidR="00184DBA" w:rsidRPr="00D00ABD">
        <w:rPr>
          <w:iCs/>
        </w:rPr>
        <w:t>of</w:t>
      </w:r>
      <w:r w:rsidR="004C519D" w:rsidRPr="00D00ABD">
        <w:rPr>
          <w:iCs/>
        </w:rPr>
        <w:t xml:space="preserve"> </w:t>
      </w:r>
      <w:r w:rsidR="00184DBA" w:rsidRPr="00D00ABD">
        <w:rPr>
          <w:iCs/>
        </w:rPr>
        <w:t>the</w:t>
      </w:r>
      <w:r w:rsidR="004C519D" w:rsidRPr="00D00ABD">
        <w:rPr>
          <w:iCs/>
        </w:rPr>
        <w:t xml:space="preserve"> </w:t>
      </w:r>
      <w:r w:rsidR="00184DBA" w:rsidRPr="00D00ABD">
        <w:rPr>
          <w:iCs/>
        </w:rPr>
        <w:t>reserve</w:t>
      </w:r>
      <w:r w:rsidR="004C519D" w:rsidRPr="00D00ABD">
        <w:rPr>
          <w:iCs/>
        </w:rPr>
        <w:t xml:space="preserve"> </w:t>
      </w:r>
      <w:r w:rsidR="00184DBA" w:rsidRPr="00D00ABD">
        <w:rPr>
          <w:iCs/>
        </w:rPr>
        <w:t>connecting</w:t>
      </w:r>
      <w:r w:rsidR="004C519D" w:rsidRPr="00D00ABD">
        <w:rPr>
          <w:iCs/>
        </w:rPr>
        <w:t xml:space="preserve"> </w:t>
      </w:r>
      <w:r w:rsidR="00184DBA" w:rsidRPr="00D00ABD">
        <w:rPr>
          <w:iCs/>
        </w:rPr>
        <w:t>TSO,</w:t>
      </w:r>
      <w:r w:rsidR="004C519D" w:rsidRPr="00D00ABD">
        <w:rPr>
          <w:iCs/>
        </w:rPr>
        <w:t xml:space="preserve"> </w:t>
      </w:r>
      <w:r w:rsidR="00184DBA" w:rsidRPr="00D00ABD">
        <w:rPr>
          <w:iCs/>
        </w:rPr>
        <w:t>the</w:t>
      </w:r>
      <w:r w:rsidR="004C519D" w:rsidRPr="00D00ABD">
        <w:rPr>
          <w:iCs/>
        </w:rPr>
        <w:t xml:space="preserve"> </w:t>
      </w:r>
      <w:r w:rsidR="00184DBA" w:rsidRPr="00D00ABD">
        <w:rPr>
          <w:iCs/>
        </w:rPr>
        <w:t>reserve receiving</w:t>
      </w:r>
      <w:r w:rsidR="004C519D" w:rsidRPr="00D00ABD">
        <w:rPr>
          <w:iCs/>
        </w:rPr>
        <w:t xml:space="preserve"> </w:t>
      </w:r>
      <w:r w:rsidR="00184DBA" w:rsidRPr="00D00ABD">
        <w:rPr>
          <w:iCs/>
        </w:rPr>
        <w:t>TSO</w:t>
      </w:r>
      <w:r w:rsidR="004C519D" w:rsidRPr="00D00ABD">
        <w:rPr>
          <w:iCs/>
        </w:rPr>
        <w:t xml:space="preserve"> </w:t>
      </w:r>
      <w:r w:rsidR="00184DBA" w:rsidRPr="00D00ABD">
        <w:rPr>
          <w:iCs/>
        </w:rPr>
        <w:t>and</w:t>
      </w:r>
      <w:r w:rsidR="004C519D" w:rsidRPr="00D00ABD">
        <w:rPr>
          <w:iCs/>
        </w:rPr>
        <w:t xml:space="preserve"> </w:t>
      </w:r>
      <w:r w:rsidR="00184DBA" w:rsidRPr="00D00ABD">
        <w:rPr>
          <w:iCs/>
        </w:rPr>
        <w:t>the</w:t>
      </w:r>
      <w:r w:rsidR="004C519D" w:rsidRPr="00D00ABD">
        <w:rPr>
          <w:iCs/>
        </w:rPr>
        <w:t xml:space="preserve"> </w:t>
      </w:r>
      <w:r w:rsidR="00184DBA" w:rsidRPr="00D00ABD">
        <w:rPr>
          <w:iCs/>
        </w:rPr>
        <w:t>affected</w:t>
      </w:r>
      <w:r w:rsidR="004C519D" w:rsidRPr="00D00ABD">
        <w:rPr>
          <w:iCs/>
        </w:rPr>
        <w:t xml:space="preserve"> </w:t>
      </w:r>
      <w:r w:rsidR="00184DBA" w:rsidRPr="00D00ABD">
        <w:rPr>
          <w:iCs/>
        </w:rPr>
        <w:t>TSO</w:t>
      </w:r>
      <w:r w:rsidR="004C519D" w:rsidRPr="00D00ABD">
        <w:rPr>
          <w:iCs/>
        </w:rPr>
        <w:t xml:space="preserve"> </w:t>
      </w:r>
      <w:r w:rsidR="00184DBA" w:rsidRPr="00D00ABD">
        <w:rPr>
          <w:iCs/>
        </w:rPr>
        <w:t>for</w:t>
      </w:r>
      <w:r w:rsidR="004C519D" w:rsidRPr="00D00ABD">
        <w:rPr>
          <w:iCs/>
        </w:rPr>
        <w:t xml:space="preserve"> </w:t>
      </w:r>
      <w:r w:rsidR="00184DBA" w:rsidRPr="00D00ABD">
        <w:rPr>
          <w:iCs/>
        </w:rPr>
        <w:t>the</w:t>
      </w:r>
      <w:r w:rsidR="004C519D" w:rsidRPr="00D00ABD">
        <w:rPr>
          <w:iCs/>
        </w:rPr>
        <w:t xml:space="preserve"> </w:t>
      </w:r>
      <w:r w:rsidR="00184DBA" w:rsidRPr="00D00ABD">
        <w:rPr>
          <w:iCs/>
        </w:rPr>
        <w:t>exchange</w:t>
      </w:r>
      <w:r w:rsidR="004C519D" w:rsidRPr="00D00ABD">
        <w:rPr>
          <w:iCs/>
        </w:rPr>
        <w:t xml:space="preserve"> </w:t>
      </w:r>
      <w:r w:rsidR="00184DBA" w:rsidRPr="00D00ABD">
        <w:rPr>
          <w:iCs/>
        </w:rPr>
        <w:t>of</w:t>
      </w:r>
      <w:r w:rsidR="004C519D" w:rsidRPr="00D00ABD">
        <w:rPr>
          <w:iCs/>
        </w:rPr>
        <w:t xml:space="preserve"> </w:t>
      </w:r>
      <w:r w:rsidR="00184DBA" w:rsidRPr="00D00ABD">
        <w:rPr>
          <w:iCs/>
        </w:rPr>
        <w:t>reserves</w:t>
      </w:r>
      <w:r w:rsidR="004C519D" w:rsidRPr="00D00ABD">
        <w:rPr>
          <w:iCs/>
        </w:rPr>
        <w:t xml:space="preserve"> </w:t>
      </w:r>
      <w:r w:rsidR="00184DBA" w:rsidRPr="00D00ABD">
        <w:rPr>
          <w:iCs/>
        </w:rPr>
        <w:t>between synchronous</w:t>
      </w:r>
      <w:r w:rsidR="004C519D" w:rsidRPr="00D00ABD">
        <w:rPr>
          <w:iCs/>
        </w:rPr>
        <w:t xml:space="preserve"> </w:t>
      </w:r>
      <w:r w:rsidR="00184DBA" w:rsidRPr="00D00ABD">
        <w:rPr>
          <w:iCs/>
        </w:rPr>
        <w:t>areas,</w:t>
      </w:r>
      <w:r w:rsidR="004C519D" w:rsidRPr="00D00ABD">
        <w:rPr>
          <w:iCs/>
        </w:rPr>
        <w:t xml:space="preserve"> </w:t>
      </w:r>
      <w:r w:rsidR="00184DBA" w:rsidRPr="00D00ABD">
        <w:rPr>
          <w:iCs/>
        </w:rPr>
        <w:t>and</w:t>
      </w:r>
      <w:r w:rsidR="004C519D" w:rsidRPr="00D00ABD">
        <w:rPr>
          <w:iCs/>
        </w:rPr>
        <w:t xml:space="preserve"> </w:t>
      </w:r>
      <w:r w:rsidR="00184DBA" w:rsidRPr="00D00ABD">
        <w:rPr>
          <w:iCs/>
        </w:rPr>
        <w:t>of</w:t>
      </w:r>
      <w:r w:rsidR="004C519D" w:rsidRPr="00D00ABD">
        <w:rPr>
          <w:iCs/>
        </w:rPr>
        <w:t xml:space="preserve"> </w:t>
      </w:r>
      <w:r w:rsidR="00184DBA" w:rsidRPr="00D00ABD">
        <w:rPr>
          <w:iCs/>
        </w:rPr>
        <w:t>the</w:t>
      </w:r>
      <w:r w:rsidR="004C519D" w:rsidRPr="00D00ABD">
        <w:rPr>
          <w:iCs/>
        </w:rPr>
        <w:t xml:space="preserve"> </w:t>
      </w:r>
      <w:r w:rsidR="00184DBA" w:rsidRPr="00D00ABD">
        <w:rPr>
          <w:iCs/>
        </w:rPr>
        <w:t>control</w:t>
      </w:r>
      <w:r w:rsidR="004C519D" w:rsidRPr="00D00ABD">
        <w:rPr>
          <w:iCs/>
        </w:rPr>
        <w:t xml:space="preserve"> </w:t>
      </w:r>
      <w:r w:rsidR="00184DBA" w:rsidRPr="00D00ABD">
        <w:rPr>
          <w:iCs/>
        </w:rPr>
        <w:t>capability</w:t>
      </w:r>
      <w:r w:rsidR="004C519D" w:rsidRPr="00D00ABD">
        <w:rPr>
          <w:iCs/>
        </w:rPr>
        <w:t xml:space="preserve"> </w:t>
      </w:r>
      <w:r w:rsidR="00184DBA" w:rsidRPr="00D00ABD">
        <w:rPr>
          <w:iCs/>
        </w:rPr>
        <w:t>providing</w:t>
      </w:r>
      <w:r w:rsidR="004C519D" w:rsidRPr="00D00ABD">
        <w:rPr>
          <w:iCs/>
        </w:rPr>
        <w:t xml:space="preserve"> </w:t>
      </w:r>
      <w:r w:rsidR="00184DBA" w:rsidRPr="00D00ABD">
        <w:rPr>
          <w:iCs/>
        </w:rPr>
        <w:t>TSO,</w:t>
      </w:r>
      <w:r w:rsidR="004C519D" w:rsidRPr="00D00ABD">
        <w:rPr>
          <w:iCs/>
        </w:rPr>
        <w:t xml:space="preserve"> </w:t>
      </w:r>
      <w:r w:rsidR="00184DBA" w:rsidRPr="00D00ABD">
        <w:rPr>
          <w:iCs/>
        </w:rPr>
        <w:t>the</w:t>
      </w:r>
      <w:r w:rsidR="004C519D" w:rsidRPr="00D00ABD">
        <w:rPr>
          <w:iCs/>
        </w:rPr>
        <w:t xml:space="preserve"> </w:t>
      </w:r>
      <w:r w:rsidR="00184DBA" w:rsidRPr="00D00ABD">
        <w:rPr>
          <w:iCs/>
        </w:rPr>
        <w:t>control capability</w:t>
      </w:r>
      <w:r w:rsidR="004C519D" w:rsidRPr="00D00ABD">
        <w:rPr>
          <w:iCs/>
        </w:rPr>
        <w:t xml:space="preserve"> </w:t>
      </w:r>
      <w:r w:rsidR="00184DBA" w:rsidRPr="00D00ABD">
        <w:rPr>
          <w:iCs/>
        </w:rPr>
        <w:t>receiving</w:t>
      </w:r>
      <w:r w:rsidR="004C519D" w:rsidRPr="00D00ABD">
        <w:rPr>
          <w:iCs/>
        </w:rPr>
        <w:t xml:space="preserve"> </w:t>
      </w:r>
      <w:r w:rsidR="00184DBA" w:rsidRPr="00D00ABD">
        <w:rPr>
          <w:iCs/>
        </w:rPr>
        <w:t>TSO</w:t>
      </w:r>
      <w:r w:rsidR="004C519D" w:rsidRPr="00D00ABD">
        <w:rPr>
          <w:iCs/>
        </w:rPr>
        <w:t xml:space="preserve"> </w:t>
      </w:r>
      <w:r w:rsidR="00184DBA" w:rsidRPr="00D00ABD">
        <w:rPr>
          <w:iCs/>
        </w:rPr>
        <w:t>and</w:t>
      </w:r>
      <w:r w:rsidR="004C519D" w:rsidRPr="00D00ABD">
        <w:rPr>
          <w:iCs/>
        </w:rPr>
        <w:t xml:space="preserve"> </w:t>
      </w:r>
      <w:r w:rsidR="00184DBA" w:rsidRPr="00D00ABD">
        <w:rPr>
          <w:iCs/>
        </w:rPr>
        <w:t>the</w:t>
      </w:r>
      <w:r w:rsidR="004C519D" w:rsidRPr="00D00ABD">
        <w:rPr>
          <w:iCs/>
        </w:rPr>
        <w:t xml:space="preserve"> </w:t>
      </w:r>
      <w:r w:rsidR="00184DBA" w:rsidRPr="00D00ABD">
        <w:rPr>
          <w:iCs/>
        </w:rPr>
        <w:t>affected</w:t>
      </w:r>
      <w:r w:rsidR="004C519D" w:rsidRPr="00D00ABD">
        <w:rPr>
          <w:iCs/>
        </w:rPr>
        <w:t xml:space="preserve"> </w:t>
      </w:r>
      <w:r w:rsidR="00184DBA" w:rsidRPr="00D00ABD">
        <w:rPr>
          <w:iCs/>
        </w:rPr>
        <w:t>TSO</w:t>
      </w:r>
      <w:r w:rsidR="004C519D" w:rsidRPr="00D00ABD">
        <w:rPr>
          <w:iCs/>
        </w:rPr>
        <w:t xml:space="preserve"> </w:t>
      </w:r>
      <w:r w:rsidR="00184DBA" w:rsidRPr="00D00ABD">
        <w:rPr>
          <w:iCs/>
        </w:rPr>
        <w:t>for</w:t>
      </w:r>
      <w:r w:rsidR="004C519D" w:rsidRPr="00D00ABD">
        <w:rPr>
          <w:iCs/>
        </w:rPr>
        <w:t xml:space="preserve"> </w:t>
      </w:r>
      <w:r w:rsidR="00184DBA" w:rsidRPr="00D00ABD">
        <w:rPr>
          <w:iCs/>
        </w:rPr>
        <w:t>the</w:t>
      </w:r>
      <w:r w:rsidR="004C519D" w:rsidRPr="00D00ABD">
        <w:rPr>
          <w:iCs/>
        </w:rPr>
        <w:t xml:space="preserve"> </w:t>
      </w:r>
      <w:r w:rsidR="00184DBA" w:rsidRPr="00D00ABD">
        <w:rPr>
          <w:iCs/>
        </w:rPr>
        <w:t>sharing</w:t>
      </w:r>
      <w:r w:rsidR="004C519D" w:rsidRPr="00D00ABD">
        <w:rPr>
          <w:iCs/>
        </w:rPr>
        <w:t xml:space="preserve"> </w:t>
      </w:r>
      <w:r w:rsidR="00184DBA" w:rsidRPr="00D00ABD">
        <w:rPr>
          <w:iCs/>
        </w:rPr>
        <w:t>of</w:t>
      </w:r>
      <w:r w:rsidR="004C519D" w:rsidRPr="00D00ABD">
        <w:rPr>
          <w:iCs/>
        </w:rPr>
        <w:t xml:space="preserve"> </w:t>
      </w:r>
      <w:r w:rsidR="00184DBA" w:rsidRPr="00D00ABD">
        <w:rPr>
          <w:iCs/>
        </w:rPr>
        <w:t>reserves between synchronous areas defined in accordance with Article 171(2);</w:t>
      </w:r>
      <w:bookmarkEnd w:id="83"/>
      <w:bookmarkEnd w:id="84"/>
      <w:bookmarkEnd w:id="85"/>
    </w:p>
    <w:p w14:paraId="6D93C9F8" w14:textId="3D2906D0" w:rsidR="00184DBA" w:rsidRPr="00D00ABD" w:rsidRDefault="00184DBA" w:rsidP="00097B0F">
      <w:r w:rsidRPr="00D00ABD">
        <w:t xml:space="preserve"> </w:t>
      </w:r>
    </w:p>
    <w:p w14:paraId="65D331F9" w14:textId="5F84FF61" w:rsidR="00B44488" w:rsidRDefault="00C807F5" w:rsidP="00184DBA">
      <w:pPr>
        <w:pStyle w:val="Paragrapgh-numbered"/>
        <w:numPr>
          <w:ilvl w:val="0"/>
          <w:numId w:val="36"/>
        </w:numPr>
        <w:rPr>
          <w:lang w:val="en-GB"/>
        </w:rPr>
      </w:pPr>
      <w:r>
        <w:rPr>
          <w:lang w:val="en-GB"/>
        </w:rPr>
        <w:t>T</w:t>
      </w:r>
      <w:r w:rsidR="006D426F">
        <w:rPr>
          <w:lang w:val="en-GB"/>
        </w:rPr>
        <w:t xml:space="preserve">hese </w:t>
      </w:r>
      <w:r>
        <w:rPr>
          <w:lang w:val="en-GB"/>
        </w:rPr>
        <w:t>roles and security steps and procedures associated with the offering and activation of reserves cross border</w:t>
      </w:r>
      <w:r w:rsidR="006D426F">
        <w:rPr>
          <w:lang w:val="en-GB"/>
        </w:rPr>
        <w:t xml:space="preserve"> are defined in the operational agreements</w:t>
      </w:r>
      <w:r>
        <w:rPr>
          <w:lang w:val="en-GB"/>
        </w:rPr>
        <w:t xml:space="preserve"> which contain</w:t>
      </w:r>
      <w:r w:rsidR="006D426F">
        <w:rPr>
          <w:lang w:val="en-GB"/>
        </w:rPr>
        <w:t xml:space="preserve"> the rules, procedures and practices used between the ESO, the other TSOs of connecting areas/service users and the interconnector operators. </w:t>
      </w:r>
      <w:r w:rsidR="00B44488">
        <w:rPr>
          <w:lang w:val="en-GB"/>
        </w:rPr>
        <w:t xml:space="preserve">The SOGL concerns itself with </w:t>
      </w:r>
      <w:r w:rsidR="00DF22EE">
        <w:rPr>
          <w:lang w:val="en-GB"/>
        </w:rPr>
        <w:t>security and control process implications of making available and transferring reserves from one area to another. The commercial, market and settlement frameworks the surround these are the subject of the Electricity Balancing Guideline (EBGL).</w:t>
      </w:r>
    </w:p>
    <w:p w14:paraId="430FA118" w14:textId="2D1C2B5C" w:rsidR="00321F4A" w:rsidRPr="00EA3F1F" w:rsidRDefault="008D79D1" w:rsidP="00EA3F1F">
      <w:pPr>
        <w:pStyle w:val="Paragrapgh-numbered"/>
        <w:numPr>
          <w:ilvl w:val="0"/>
          <w:numId w:val="36"/>
        </w:numPr>
        <w:rPr>
          <w:lang w:val="en-GB"/>
        </w:rPr>
      </w:pPr>
      <w:r>
        <w:rPr>
          <w:lang w:val="en-GB"/>
        </w:rPr>
        <w:t xml:space="preserve">Each </w:t>
      </w:r>
      <w:r w:rsidR="00DF22EE">
        <w:rPr>
          <w:lang w:val="en-GB"/>
        </w:rPr>
        <w:t xml:space="preserve">cross-border reserve </w:t>
      </w:r>
      <w:r>
        <w:rPr>
          <w:lang w:val="en-GB"/>
        </w:rPr>
        <w:t xml:space="preserve">service involving the ESO and one or more foreign TSO and one or more HVDC interconnector will have these roles </w:t>
      </w:r>
      <w:r w:rsidR="00321F4A">
        <w:rPr>
          <w:lang w:val="en-GB"/>
        </w:rPr>
        <w:t>and principles defined</w:t>
      </w:r>
      <w:r w:rsidR="00DF22EE">
        <w:rPr>
          <w:lang w:val="en-GB"/>
        </w:rPr>
        <w:t xml:space="preserve"> in operational agreements.</w:t>
      </w:r>
      <w:r w:rsidR="00321F4A">
        <w:rPr>
          <w:lang w:val="en-GB"/>
        </w:rPr>
        <w:t xml:space="preserve">  The roles </w:t>
      </w:r>
      <w:r w:rsidR="00DF22EE">
        <w:rPr>
          <w:lang w:val="en-GB"/>
        </w:rPr>
        <w:t xml:space="preserve">defined in this Article </w:t>
      </w:r>
      <w:r w:rsidR="00321F4A">
        <w:rPr>
          <w:lang w:val="en-GB"/>
        </w:rPr>
        <w:t>are not ‘static’ but depend on specific activation sequence</w:t>
      </w:r>
      <w:r w:rsidR="00DF22EE">
        <w:rPr>
          <w:lang w:val="en-GB"/>
        </w:rPr>
        <w:t xml:space="preserve"> and which TSO is ‘playing’ the role of connecting, affected or receiving at any given time</w:t>
      </w:r>
      <w:r w:rsidR="00321F4A">
        <w:rPr>
          <w:lang w:val="en-GB"/>
        </w:rPr>
        <w:t>.</w:t>
      </w:r>
      <w:r w:rsidR="00DF22EE">
        <w:rPr>
          <w:lang w:val="en-GB"/>
        </w:rPr>
        <w:t xml:space="preserve">  The trigger to this sequence can be a simple TSO need or be extended to cover considerations beyond SOGL and the subject of EBGL.</w:t>
      </w:r>
    </w:p>
    <w:p w14:paraId="59B80FAD" w14:textId="29712CFA" w:rsidR="00184DBA" w:rsidRPr="00D00ABD" w:rsidRDefault="00184DBA" w:rsidP="00184DBA">
      <w:pPr>
        <w:pStyle w:val="Paragrapgh-numbered"/>
        <w:numPr>
          <w:ilvl w:val="0"/>
          <w:numId w:val="36"/>
        </w:numPr>
        <w:rPr>
          <w:lang w:val="en-GB"/>
        </w:rPr>
      </w:pPr>
      <w:r w:rsidRPr="00D00ABD">
        <w:rPr>
          <w:lang w:val="en-GB"/>
        </w:rPr>
        <w:t xml:space="preserve">Sharing of Reserves is a concept which allows a TSO to take a cross-border activation process into account while organising the availability of the required Active Power </w:t>
      </w:r>
      <w:r w:rsidRPr="00D00ABD">
        <w:rPr>
          <w:lang w:val="en-GB"/>
        </w:rPr>
        <w:lastRenderedPageBreak/>
        <w:t>Reserves. This means that Sharing of Reserves cannot be technically linked to a specific Reserve Providing Unit or a Reserve Providing Group. Generally speaking, Sharing of Reserves provides a control capability offered by one TSO to another without ensuring the availability of additional corresponding Reserve Capacity</w:t>
      </w:r>
      <w:r w:rsidR="008D79D1">
        <w:rPr>
          <w:lang w:val="en-GB"/>
        </w:rPr>
        <w:t xml:space="preserve"> (as it is shared it can suffer from a greater number of reasons as to why it may be unavailable; i.e. already in use by another TSO)</w:t>
      </w:r>
      <w:r w:rsidRPr="00D00ABD">
        <w:rPr>
          <w:lang w:val="en-GB"/>
        </w:rPr>
        <w:t>. The Exchange of Reserves provides a control capability and additional corresponding Reserve Capacity at the same time</w:t>
      </w:r>
      <w:r w:rsidR="008D79D1">
        <w:rPr>
          <w:lang w:val="en-GB"/>
        </w:rPr>
        <w:t xml:space="preserve"> (since the exchanged reserves are now exclusively for the use of the receiving TSO).</w:t>
      </w:r>
    </w:p>
    <w:p w14:paraId="40011D8F" w14:textId="77777777" w:rsidR="00184DBA" w:rsidRPr="00D00ABD" w:rsidRDefault="00184DBA" w:rsidP="00184DBA">
      <w:pPr>
        <w:pStyle w:val="Paragrapgh-numbered"/>
        <w:numPr>
          <w:ilvl w:val="0"/>
          <w:numId w:val="36"/>
        </w:numPr>
        <w:rPr>
          <w:lang w:val="en-GB"/>
        </w:rPr>
      </w:pPr>
      <w:r w:rsidRPr="00D00ABD">
        <w:rPr>
          <w:lang w:val="en-GB"/>
        </w:rPr>
        <w:t xml:space="preserve">In order to define clear and consistent responsibilities for TSOs involved in Exchange of Reserves or Sharing of Reserves, the SOGL introduces the respective roles for the involved TSOs. </w:t>
      </w:r>
    </w:p>
    <w:p w14:paraId="05D7BC69" w14:textId="5B73383D" w:rsidR="00184DBA" w:rsidRPr="00D00ABD" w:rsidRDefault="008D79D1" w:rsidP="00184DBA">
      <w:pPr>
        <w:pStyle w:val="Paragrapgh-numbered"/>
        <w:numPr>
          <w:ilvl w:val="0"/>
          <w:numId w:val="36"/>
        </w:numPr>
        <w:rPr>
          <w:lang w:val="en-GB"/>
        </w:rPr>
      </w:pPr>
      <w:r w:rsidRPr="00D00ABD">
        <w:rPr>
          <w:lang w:val="en-GB"/>
        </w:rPr>
        <w:t xml:space="preserve">Reserve </w:t>
      </w:r>
      <w:r>
        <w:rPr>
          <w:lang w:val="en-GB"/>
        </w:rPr>
        <w:t>C</w:t>
      </w:r>
      <w:r w:rsidRPr="00D00ABD">
        <w:rPr>
          <w:lang w:val="en-GB"/>
        </w:rPr>
        <w:t xml:space="preserve">onnecting </w:t>
      </w:r>
      <w:r>
        <w:rPr>
          <w:lang w:val="en-GB"/>
        </w:rPr>
        <w:t>TSO</w:t>
      </w:r>
      <w:r w:rsidRPr="00D00ABD">
        <w:rPr>
          <w:lang w:val="en-GB"/>
        </w:rPr>
        <w:t xml:space="preserve"> and reserve receiving </w:t>
      </w:r>
      <w:r>
        <w:rPr>
          <w:lang w:val="en-GB"/>
        </w:rPr>
        <w:t>TSO</w:t>
      </w:r>
      <w:r w:rsidRPr="00D00ABD">
        <w:rPr>
          <w:lang w:val="en-GB"/>
        </w:rPr>
        <w:t xml:space="preserve"> </w:t>
      </w:r>
    </w:p>
    <w:p w14:paraId="4063CA3B" w14:textId="77777777" w:rsidR="00184DBA" w:rsidRPr="00D00ABD" w:rsidRDefault="00184DBA" w:rsidP="00184DBA">
      <w:pPr>
        <w:pStyle w:val="Paragrapgh-numbered"/>
        <w:numPr>
          <w:ilvl w:val="1"/>
          <w:numId w:val="36"/>
        </w:numPr>
        <w:rPr>
          <w:lang w:val="en-GB"/>
        </w:rPr>
      </w:pPr>
      <w:r w:rsidRPr="00D00ABD">
        <w:rPr>
          <w:lang w:val="en-GB"/>
        </w:rPr>
        <w:t xml:space="preserve">In context of Exchange of Reserves the role of the Reserve Connecting TSO does not change but is supplemented with an additional meaning: </w:t>
      </w:r>
    </w:p>
    <w:p w14:paraId="4F521B37" w14:textId="77777777" w:rsidR="00184DBA" w:rsidRPr="00D00ABD" w:rsidRDefault="00184DBA" w:rsidP="00EA3F1F">
      <w:pPr>
        <w:pStyle w:val="Paragrapgh-numbered"/>
        <w:numPr>
          <w:ilvl w:val="2"/>
          <w:numId w:val="36"/>
        </w:numPr>
        <w:rPr>
          <w:lang w:val="en-GB"/>
        </w:rPr>
      </w:pPr>
      <w:r w:rsidRPr="00D00ABD">
        <w:rPr>
          <w:lang w:val="en-GB"/>
        </w:rPr>
        <w:t xml:space="preserve">The Reserve Connecting TSO is still the TSO which operates the Monitoring Area, LFC Area or LFC Block to which a Reserve Providing Unit or a Reserve Providing Group is physically connected to while a certain amount of the Reserve Capacity is required by a different TSO, the Reserve Receiving TSO, to fulfil its dimensioning requirements. </w:t>
      </w:r>
    </w:p>
    <w:p w14:paraId="1DE2353F" w14:textId="105A4BF1" w:rsidR="00184DBA" w:rsidRPr="00D00ABD" w:rsidRDefault="008D79D1" w:rsidP="00EA3F1F">
      <w:pPr>
        <w:pStyle w:val="Paragrapgh-numbered"/>
        <w:numPr>
          <w:ilvl w:val="2"/>
          <w:numId w:val="36"/>
        </w:numPr>
        <w:rPr>
          <w:lang w:val="en-GB"/>
        </w:rPr>
      </w:pPr>
      <w:r>
        <w:rPr>
          <w:lang w:val="en-GB"/>
        </w:rPr>
        <w:t xml:space="preserve">The </w:t>
      </w:r>
      <w:r w:rsidR="00184DBA" w:rsidRPr="00D00ABD">
        <w:rPr>
          <w:lang w:val="en-GB"/>
        </w:rPr>
        <w:t xml:space="preserve">Reserve Receiving TSO means the TSO involved in an exchange with a Reserve Connecting TSO and/or a Reserve Providing Unit or a Reserve Providing Group connected to another Monitoring or LFC Area. </w:t>
      </w:r>
    </w:p>
    <w:p w14:paraId="427061F6" w14:textId="30500B80" w:rsidR="00184DBA" w:rsidRPr="00D00ABD" w:rsidRDefault="008D79D1" w:rsidP="00184DBA">
      <w:pPr>
        <w:pStyle w:val="Paragrapgh-numbered"/>
        <w:numPr>
          <w:ilvl w:val="0"/>
          <w:numId w:val="36"/>
        </w:numPr>
        <w:rPr>
          <w:lang w:val="en-GB"/>
        </w:rPr>
      </w:pPr>
      <w:r w:rsidRPr="00D00ABD">
        <w:rPr>
          <w:lang w:val="en-GB"/>
        </w:rPr>
        <w:t xml:space="preserve">Control capability providing and control capability receiving </w:t>
      </w:r>
      <w:r>
        <w:rPr>
          <w:lang w:val="en-GB"/>
        </w:rPr>
        <w:t>TSO:</w:t>
      </w:r>
      <w:r w:rsidRPr="00D00ABD">
        <w:rPr>
          <w:lang w:val="en-GB"/>
        </w:rPr>
        <w:t xml:space="preserve"> </w:t>
      </w:r>
    </w:p>
    <w:p w14:paraId="6C6AE8E4" w14:textId="77777777" w:rsidR="00184DBA" w:rsidRPr="00D00ABD" w:rsidRDefault="00184DBA" w:rsidP="00184DBA">
      <w:pPr>
        <w:pStyle w:val="Paragrapgh-numbered"/>
        <w:numPr>
          <w:ilvl w:val="1"/>
          <w:numId w:val="36"/>
        </w:numPr>
        <w:rPr>
          <w:lang w:val="en-GB"/>
        </w:rPr>
      </w:pPr>
      <w:r w:rsidRPr="00D00ABD">
        <w:rPr>
          <w:lang w:val="en-GB"/>
        </w:rPr>
        <w:t xml:space="preserve">The roles of Control Capability Providing TSO and Control Capability Receiving TSO are defined as follows: </w:t>
      </w:r>
    </w:p>
    <w:p w14:paraId="5C755A74" w14:textId="77777777" w:rsidR="00184DBA" w:rsidRPr="00D00ABD" w:rsidRDefault="00184DBA" w:rsidP="00EA3F1F">
      <w:pPr>
        <w:pStyle w:val="Paragrapgh-numbered"/>
        <w:numPr>
          <w:ilvl w:val="2"/>
          <w:numId w:val="36"/>
        </w:numPr>
        <w:rPr>
          <w:lang w:val="en-GB"/>
        </w:rPr>
      </w:pPr>
      <w:r w:rsidRPr="00D00ABD">
        <w:rPr>
          <w:lang w:val="en-GB"/>
        </w:rPr>
        <w:t xml:space="preserve">Control Capability Providing TSO means the TSO which shall trigger the activation of its Reserve Capacity for a Control Capability Receiving TSO under conditions of an agreement for the Sharing of Reserves. </w:t>
      </w:r>
    </w:p>
    <w:p w14:paraId="1D1BF613" w14:textId="77777777" w:rsidR="00184DBA" w:rsidRPr="00D00ABD" w:rsidRDefault="00184DBA" w:rsidP="00EA3F1F">
      <w:pPr>
        <w:pStyle w:val="Paragrapgh-numbered"/>
        <w:numPr>
          <w:ilvl w:val="2"/>
          <w:numId w:val="36"/>
        </w:numPr>
        <w:rPr>
          <w:lang w:val="en-GB"/>
        </w:rPr>
      </w:pPr>
      <w:r w:rsidRPr="00D00ABD">
        <w:rPr>
          <w:lang w:val="en-GB"/>
        </w:rPr>
        <w:t xml:space="preserve">Control Capability Receiving TSO means the TSO calculating Reserve Capacity by taking into account Reserve Capacity which is accessible through a Control Capability Providing TSO under conditions of an agreement for the Sharing of Reserves. </w:t>
      </w:r>
    </w:p>
    <w:p w14:paraId="54BBF9E3" w14:textId="77777777" w:rsidR="00184DBA" w:rsidRPr="00D00ABD" w:rsidRDefault="00184DBA" w:rsidP="00184DBA">
      <w:pPr>
        <w:pStyle w:val="Paragrapgh-numbered"/>
        <w:numPr>
          <w:ilvl w:val="1"/>
          <w:numId w:val="36"/>
        </w:numPr>
        <w:rPr>
          <w:lang w:val="en-GB"/>
        </w:rPr>
      </w:pPr>
      <w:r w:rsidRPr="00D00ABD">
        <w:rPr>
          <w:lang w:val="en-GB"/>
        </w:rPr>
        <w:t xml:space="preserve">Therefore, the respective terms describe the relationship in context of Sharing of Reserves between two TSOs enabling the NC LFCR to directly and explicitly target the respective obligations without inconsistencies with the roles of the Reserve Connecting TSO, the Reserve Receiving TSO and the Reserve Instructing TSO. </w:t>
      </w:r>
    </w:p>
    <w:p w14:paraId="4A6E6224" w14:textId="77777777" w:rsidR="00184DBA" w:rsidRPr="00D00ABD" w:rsidRDefault="00184DBA" w:rsidP="00184DBA">
      <w:pPr>
        <w:pStyle w:val="Paragrapgh-numbered"/>
        <w:numPr>
          <w:ilvl w:val="1"/>
          <w:numId w:val="36"/>
        </w:numPr>
        <w:rPr>
          <w:lang w:val="en-GB"/>
        </w:rPr>
      </w:pPr>
      <w:r w:rsidRPr="00D00ABD">
        <w:rPr>
          <w:lang w:val="en-GB"/>
        </w:rPr>
        <w:t xml:space="preserve">The Control Capability Providing and Receiving TSOs shall follow the Notification Process for the Sharing of Reserves. </w:t>
      </w:r>
    </w:p>
    <w:p w14:paraId="07B7CF68" w14:textId="09D5FD27" w:rsidR="00184DBA" w:rsidRPr="00D00ABD" w:rsidRDefault="008D79D1" w:rsidP="00184DBA">
      <w:pPr>
        <w:pStyle w:val="Paragrapgh-numbered"/>
        <w:numPr>
          <w:ilvl w:val="0"/>
          <w:numId w:val="36"/>
        </w:numPr>
        <w:rPr>
          <w:lang w:val="en-GB"/>
        </w:rPr>
      </w:pPr>
      <w:r w:rsidRPr="00D00ABD">
        <w:rPr>
          <w:lang w:val="en-GB"/>
        </w:rPr>
        <w:t xml:space="preserve">Affected </w:t>
      </w:r>
      <w:r>
        <w:rPr>
          <w:lang w:val="en-GB"/>
        </w:rPr>
        <w:t>TSO</w:t>
      </w:r>
    </w:p>
    <w:p w14:paraId="319C7178" w14:textId="29CC4A0E" w:rsidR="00184DBA" w:rsidRPr="00D00ABD" w:rsidRDefault="00184DBA" w:rsidP="00184DBA">
      <w:pPr>
        <w:pStyle w:val="Paragrapgh-numbered"/>
        <w:numPr>
          <w:ilvl w:val="1"/>
          <w:numId w:val="36"/>
        </w:numPr>
        <w:rPr>
          <w:lang w:val="en-GB"/>
        </w:rPr>
      </w:pPr>
      <w:r w:rsidRPr="00D00ABD">
        <w:rPr>
          <w:lang w:val="en-GB"/>
        </w:rPr>
        <w:t xml:space="preserve">In addition to the Reserve Connecting TSO and the Reserve Receiving TSO for the Exchange of Reserves and the Control Capability Providing TSO and Control Capability Receiving TSO for the Sharing of Reserves, any Affected TSO has the </w:t>
      </w:r>
      <w:r w:rsidRPr="00D00ABD">
        <w:rPr>
          <w:lang w:val="en-GB"/>
        </w:rPr>
        <w:lastRenderedPageBreak/>
        <w:t>right to refuse respectively the Exchange or Sharing of Reserves in the case the activation of the concerned Reserve Capacity would result in power flows in violation with the Operational Security Limits</w:t>
      </w:r>
      <w:r w:rsidR="008D79D1">
        <w:rPr>
          <w:lang w:val="en-GB"/>
        </w:rPr>
        <w:t>.</w:t>
      </w:r>
    </w:p>
    <w:p w14:paraId="59B9D445" w14:textId="77777777" w:rsidR="00184DBA" w:rsidRPr="00097B0F" w:rsidRDefault="00184DBA" w:rsidP="00097B0F"/>
    <w:p w14:paraId="4995B2E3" w14:textId="7DF4C369" w:rsidR="00151098" w:rsidRPr="00D00ABD" w:rsidRDefault="0051359E" w:rsidP="00EA3F1F">
      <w:pPr>
        <w:pStyle w:val="Heading2"/>
        <w:spacing w:line="240" w:lineRule="auto"/>
        <w:ind w:left="11"/>
      </w:pPr>
      <w:bookmarkStart w:id="86" w:name="_Toc519422438"/>
      <w:r w:rsidRPr="00D00ABD">
        <w:t>SAOM</w:t>
      </w:r>
      <w:r w:rsidR="00151098" w:rsidRPr="00D00ABD">
        <w:t xml:space="preserve"> Article</w:t>
      </w:r>
      <w:r w:rsidR="004C519D" w:rsidRPr="00D00ABD">
        <w:t xml:space="preserve"> </w:t>
      </w:r>
      <w:r w:rsidR="007A3E39">
        <w:t xml:space="preserve">31 </w:t>
      </w:r>
      <w:r w:rsidR="00151098" w:rsidRPr="00D00ABD">
        <w:t>- SOGL Article 118(x) - “the</w:t>
      </w:r>
      <w:r w:rsidR="004C519D" w:rsidRPr="00D00ABD">
        <w:t xml:space="preserve"> </w:t>
      </w:r>
      <w:r w:rsidR="00151098" w:rsidRPr="00D00ABD">
        <w:t>methodology</w:t>
      </w:r>
      <w:r w:rsidR="004C519D" w:rsidRPr="00D00ABD">
        <w:t xml:space="preserve"> </w:t>
      </w:r>
      <w:r w:rsidR="00151098" w:rsidRPr="00D00ABD">
        <w:t>to</w:t>
      </w:r>
      <w:r w:rsidR="004C519D" w:rsidRPr="00D00ABD">
        <w:t xml:space="preserve"> </w:t>
      </w:r>
      <w:r w:rsidR="00151098" w:rsidRPr="00D00ABD">
        <w:t>determine</w:t>
      </w:r>
      <w:r w:rsidR="004C519D" w:rsidRPr="00D00ABD">
        <w:t xml:space="preserve"> </w:t>
      </w:r>
      <w:r w:rsidR="00151098" w:rsidRPr="00D00ABD">
        <w:t>limits</w:t>
      </w:r>
      <w:r w:rsidR="004C519D" w:rsidRPr="00D00ABD">
        <w:t xml:space="preserve"> </w:t>
      </w:r>
      <w:r w:rsidR="00151098" w:rsidRPr="00D00ABD">
        <w:t>on</w:t>
      </w:r>
      <w:r w:rsidR="004C519D" w:rsidRPr="00D00ABD">
        <w:t xml:space="preserve"> </w:t>
      </w:r>
      <w:r w:rsidR="00151098" w:rsidRPr="00D00ABD">
        <w:t>the</w:t>
      </w:r>
      <w:r w:rsidR="004C519D" w:rsidRPr="00D00ABD">
        <w:t xml:space="preserve"> </w:t>
      </w:r>
      <w:r w:rsidR="00151098" w:rsidRPr="00D00ABD">
        <w:t>amount</w:t>
      </w:r>
      <w:r w:rsidR="004C519D" w:rsidRPr="00D00ABD">
        <w:t xml:space="preserve"> </w:t>
      </w:r>
      <w:r w:rsidR="00151098" w:rsidRPr="00D00ABD">
        <w:t>of</w:t>
      </w:r>
      <w:r w:rsidR="004C519D" w:rsidRPr="00D00ABD">
        <w:t xml:space="preserve"> </w:t>
      </w:r>
      <w:r w:rsidR="00151098" w:rsidRPr="00D00ABD">
        <w:t>sharing of</w:t>
      </w:r>
      <w:r w:rsidR="004C519D" w:rsidRPr="00D00ABD">
        <w:t xml:space="preserve"> </w:t>
      </w:r>
      <w:r w:rsidR="00151098" w:rsidRPr="00D00ABD">
        <w:t>FCR between synchronous areas defined in accordance with Article 174(2);”</w:t>
      </w:r>
      <w:bookmarkEnd w:id="86"/>
    </w:p>
    <w:p w14:paraId="7E7C4DD7" w14:textId="76DF6E15" w:rsidR="005B3ACE" w:rsidRDefault="005B3ACE" w:rsidP="001538D8">
      <w:pPr>
        <w:pStyle w:val="Paragrapgh-numbered"/>
        <w:numPr>
          <w:ilvl w:val="0"/>
          <w:numId w:val="0"/>
        </w:numPr>
        <w:ind w:left="360"/>
        <w:rPr>
          <w:lang w:val="en-GB"/>
        </w:rPr>
      </w:pPr>
    </w:p>
    <w:p w14:paraId="748F110A" w14:textId="30264F02" w:rsidR="005B3ACE" w:rsidRPr="00EA3F1F" w:rsidRDefault="005B3ACE" w:rsidP="00EA3F1F">
      <w:pPr>
        <w:pStyle w:val="Paragrapgh-numbered"/>
        <w:numPr>
          <w:ilvl w:val="0"/>
          <w:numId w:val="67"/>
        </w:numPr>
        <w:rPr>
          <w:lang w:val="en-GB"/>
        </w:rPr>
      </w:pPr>
      <w:r>
        <w:rPr>
          <w:lang w:val="en-GB"/>
        </w:rPr>
        <w:t>The principles guiding this security limitation have already been fully explained in SAOM Article 10</w:t>
      </w:r>
    </w:p>
    <w:p w14:paraId="42569E67" w14:textId="3FA31DB5" w:rsidR="005B3ACE" w:rsidRDefault="005B3ACE" w:rsidP="00EA3F1F">
      <w:pPr>
        <w:ind w:left="360"/>
        <w:rPr>
          <w:rFonts w:ascii="Arial" w:hAnsi="Arial" w:cstheme="minorHAnsi"/>
          <w:lang w:eastAsia="de-DE"/>
        </w:rPr>
      </w:pPr>
    </w:p>
    <w:p w14:paraId="6FB784C3" w14:textId="13863DB2" w:rsidR="005B3ACE" w:rsidRPr="00EA3F1F" w:rsidRDefault="005B3ACE" w:rsidP="00EA3F1F">
      <w:pPr>
        <w:pStyle w:val="Heading2"/>
        <w:spacing w:line="240" w:lineRule="auto"/>
        <w:ind w:left="11"/>
      </w:pPr>
      <w:bookmarkStart w:id="87" w:name="_Toc519422439"/>
      <w:r w:rsidRPr="00D00ABD">
        <w:t xml:space="preserve">SAOM Article </w:t>
      </w:r>
      <w:r>
        <w:t>32 – Timescales for implementation</w:t>
      </w:r>
      <w:bookmarkEnd w:id="87"/>
    </w:p>
    <w:p w14:paraId="6C72E7C7" w14:textId="27ADF935" w:rsidR="001538D8" w:rsidRDefault="001538D8" w:rsidP="00EA3F1F">
      <w:pPr>
        <w:pStyle w:val="Paragrapgh-numbered"/>
        <w:numPr>
          <w:ilvl w:val="0"/>
          <w:numId w:val="0"/>
        </w:numPr>
        <w:ind w:left="360"/>
        <w:rPr>
          <w:lang w:val="en-GB"/>
        </w:rPr>
      </w:pPr>
    </w:p>
    <w:p w14:paraId="583E3933" w14:textId="42D1882A" w:rsidR="005B3ACE" w:rsidRDefault="005B3ACE" w:rsidP="00EA3F1F">
      <w:pPr>
        <w:pStyle w:val="Paragrapgh-numbered"/>
        <w:numPr>
          <w:ilvl w:val="0"/>
          <w:numId w:val="0"/>
        </w:numPr>
        <w:ind w:left="360"/>
        <w:rPr>
          <w:lang w:val="en-GB"/>
        </w:rPr>
      </w:pPr>
      <w:r>
        <w:rPr>
          <w:lang w:val="en-GB"/>
        </w:rPr>
        <w:t>This was defined at the start of this document.</w:t>
      </w:r>
    </w:p>
    <w:p w14:paraId="7B619B2E" w14:textId="243BDC5D" w:rsidR="005B3ACE" w:rsidRPr="00D00ABD" w:rsidRDefault="005B3ACE" w:rsidP="00EA3F1F">
      <w:pPr>
        <w:pStyle w:val="Paragrapgh-numbered"/>
        <w:numPr>
          <w:ilvl w:val="0"/>
          <w:numId w:val="0"/>
        </w:numPr>
        <w:ind w:left="360"/>
        <w:rPr>
          <w:lang w:val="en-GB"/>
        </w:rPr>
      </w:pPr>
    </w:p>
    <w:sectPr w:rsidR="005B3ACE" w:rsidRPr="00D00ABD" w:rsidSect="00626274">
      <w:pgSz w:w="11920" w:h="16840"/>
      <w:pgMar w:top="1460" w:right="1572" w:bottom="280" w:left="1240" w:header="567" w:footer="4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2F91E" w14:textId="77777777" w:rsidR="00391B2A" w:rsidRDefault="00391B2A">
      <w:pPr>
        <w:spacing w:after="0" w:line="240" w:lineRule="auto"/>
      </w:pPr>
      <w:r>
        <w:separator/>
      </w:r>
    </w:p>
  </w:endnote>
  <w:endnote w:type="continuationSeparator" w:id="0">
    <w:p w14:paraId="61F5495C" w14:textId="77777777" w:rsidR="00391B2A" w:rsidRDefault="0039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02178"/>
      <w:docPartObj>
        <w:docPartGallery w:val="Page Numbers (Bottom of Page)"/>
        <w:docPartUnique/>
      </w:docPartObj>
    </w:sdtPr>
    <w:sdtEndPr>
      <w:rPr>
        <w:noProof/>
      </w:rPr>
    </w:sdtEndPr>
    <w:sdtContent>
      <w:p w14:paraId="4D94BFBF" w14:textId="5266062B" w:rsidR="004B6A1C" w:rsidRDefault="004B6A1C" w:rsidP="00AB22AA">
        <w:pPr>
          <w:pStyle w:val="Footer"/>
          <w:jc w:val="center"/>
        </w:pPr>
        <w:r>
          <w:fldChar w:fldCharType="begin"/>
        </w:r>
        <w:r>
          <w:instrText xml:space="preserve"> PAGE   \* MERGEFORMAT </w:instrText>
        </w:r>
        <w:r>
          <w:fldChar w:fldCharType="separate"/>
        </w:r>
        <w:r w:rsidR="00285689">
          <w:rPr>
            <w:noProof/>
          </w:rPr>
          <w:t>2</w:t>
        </w:r>
        <w:r>
          <w:rPr>
            <w:noProof/>
          </w:rPr>
          <w:fldChar w:fldCharType="end"/>
        </w:r>
      </w:p>
    </w:sdtContent>
  </w:sdt>
  <w:p w14:paraId="5E8CE1C5" w14:textId="77777777" w:rsidR="004B6A1C" w:rsidRDefault="004B6A1C" w:rsidP="00AB22AA">
    <w:pPr>
      <w:widowControl w:val="0"/>
      <w:pBdr>
        <w:top w:val="single" w:sz="4" w:space="0" w:color="auto"/>
      </w:pBdr>
      <w:autoSpaceDE w:val="0"/>
      <w:autoSpaceDN w:val="0"/>
      <w:adjustRightInd w:val="0"/>
      <w:spacing w:after="0" w:line="200" w:lineRule="exact"/>
      <w:rPr>
        <w:rFonts w:ascii="Times New Roman" w:hAnsi="Times New Roman"/>
        <w:sz w:val="20"/>
        <w:szCs w:val="20"/>
      </w:rPr>
    </w:pPr>
  </w:p>
  <w:p w14:paraId="56A24A85" w14:textId="77777777" w:rsidR="004B6A1C" w:rsidRDefault="004B6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003438"/>
      <w:docPartObj>
        <w:docPartGallery w:val="Page Numbers (Bottom of Page)"/>
        <w:docPartUnique/>
      </w:docPartObj>
    </w:sdtPr>
    <w:sdtEndPr>
      <w:rPr>
        <w:noProof/>
      </w:rPr>
    </w:sdtEndPr>
    <w:sdtContent>
      <w:p w14:paraId="6C72E7CD" w14:textId="0FF538C2" w:rsidR="004B6A1C" w:rsidRDefault="004B6A1C">
        <w:pPr>
          <w:pStyle w:val="Footer"/>
          <w:jc w:val="center"/>
        </w:pPr>
        <w:r>
          <w:fldChar w:fldCharType="begin"/>
        </w:r>
        <w:r>
          <w:instrText xml:space="preserve"> PAGE   \* MERGEFORMAT </w:instrText>
        </w:r>
        <w:r>
          <w:fldChar w:fldCharType="separate"/>
        </w:r>
        <w:r w:rsidR="00285689">
          <w:rPr>
            <w:noProof/>
          </w:rPr>
          <w:t>14</w:t>
        </w:r>
        <w:r>
          <w:rPr>
            <w:noProof/>
          </w:rPr>
          <w:fldChar w:fldCharType="end"/>
        </w:r>
      </w:p>
    </w:sdtContent>
  </w:sdt>
  <w:p w14:paraId="6C72E7CE" w14:textId="77777777" w:rsidR="004B6A1C" w:rsidRDefault="004B6A1C" w:rsidP="00CD0A62">
    <w:pPr>
      <w:widowControl w:val="0"/>
      <w:pBdr>
        <w:top w:val="single" w:sz="4" w:space="0" w:color="auto"/>
      </w:pBdr>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A1211" w14:textId="77777777" w:rsidR="00391B2A" w:rsidRDefault="00391B2A">
      <w:pPr>
        <w:spacing w:after="0" w:line="240" w:lineRule="auto"/>
      </w:pPr>
      <w:r>
        <w:separator/>
      </w:r>
    </w:p>
  </w:footnote>
  <w:footnote w:type="continuationSeparator" w:id="0">
    <w:p w14:paraId="577293F0" w14:textId="77777777" w:rsidR="00391B2A" w:rsidRDefault="00391B2A">
      <w:pPr>
        <w:spacing w:after="0" w:line="240" w:lineRule="auto"/>
      </w:pPr>
      <w:r>
        <w:continuationSeparator/>
      </w:r>
    </w:p>
  </w:footnote>
  <w:footnote w:id="1">
    <w:p w14:paraId="59519152" w14:textId="540D03B0" w:rsidR="004B6A1C" w:rsidRDefault="004B6A1C">
      <w:pPr>
        <w:pStyle w:val="FootnoteText"/>
      </w:pPr>
      <w:r>
        <w:rPr>
          <w:rStyle w:val="FootnoteReference"/>
        </w:rPr>
        <w:footnoteRef/>
      </w:r>
      <w:r>
        <w:t xml:space="preserve"> </w:t>
      </w:r>
      <w:hyperlink r:id="rId1" w:history="1">
        <w:r w:rsidRPr="00ED3392">
          <w:rPr>
            <w:rStyle w:val="Hyperlink"/>
            <w:lang w:eastAsia="en-US"/>
          </w:rPr>
          <w:t>https://www.ofgem.gov.uk/publications-and-updates/future-arrangements-electricity-system-operator-response-consultation-so-separation</w:t>
        </w:r>
      </w:hyperlink>
    </w:p>
  </w:footnote>
  <w:footnote w:id="2">
    <w:p w14:paraId="5085EA01" w14:textId="1D0EDB06" w:rsidR="004B6A1C" w:rsidRDefault="004B6A1C">
      <w:pPr>
        <w:pStyle w:val="FootnoteText"/>
      </w:pPr>
      <w:r>
        <w:rPr>
          <w:rStyle w:val="FootnoteReference"/>
        </w:rPr>
        <w:footnoteRef/>
      </w:r>
      <w:r>
        <w:t xml:space="preserve"> The TSO mapping document for assigning SOGL TSO roles to individual license holders as SO, TO, IC, OFTO within GB.  This mapping used a former acronym for this regulation, namely TSOG: </w:t>
      </w:r>
      <w:hyperlink r:id="rId2" w:history="1">
        <w:r w:rsidRPr="00ED3392">
          <w:rPr>
            <w:rStyle w:val="Hyperlink"/>
            <w:lang w:eastAsia="en-US"/>
          </w:rPr>
          <w:t>https://www.ofgem.gov.uk/publications-and-updates/decision-assignment-transmission-system-operator-obligations-under-guideline-electricity-transmission-system-operation-regulation-within-gb</w:t>
        </w:r>
      </w:hyperlink>
    </w:p>
  </w:footnote>
  <w:footnote w:id="3">
    <w:p w14:paraId="0FFE74A4" w14:textId="514984E8" w:rsidR="004B6A1C" w:rsidRDefault="004B6A1C">
      <w:pPr>
        <w:pStyle w:val="FootnoteText"/>
      </w:pPr>
      <w:r>
        <w:rPr>
          <w:rStyle w:val="FootnoteReference"/>
        </w:rPr>
        <w:footnoteRef/>
      </w:r>
      <w:r>
        <w:t xml:space="preserve"> EBGL – European Balancing Guideline - </w:t>
      </w:r>
      <w:r w:rsidRPr="00873FED">
        <w:t>https://eur-lex.europa.eu/legal-content/EN/TXT/?uri=CELEX:32017R2195</w:t>
      </w:r>
    </w:p>
  </w:footnote>
  <w:footnote w:id="4">
    <w:p w14:paraId="4BE63CFF" w14:textId="6CA20744" w:rsidR="004B6A1C" w:rsidRDefault="004B6A1C">
      <w:pPr>
        <w:pStyle w:val="FootnoteText"/>
      </w:pPr>
      <w:r>
        <w:rPr>
          <w:rStyle w:val="FootnoteReference"/>
        </w:rPr>
        <w:footnoteRef/>
      </w:r>
      <w:r>
        <w:t xml:space="preserve"> </w:t>
      </w:r>
      <w:hyperlink r:id="rId3" w:history="1">
        <w:r w:rsidRPr="00D95296">
          <w:rPr>
            <w:rStyle w:val="Hyperlink"/>
          </w:rPr>
          <w:t>https://www.nationalgrid.com/uk/electricity/codes/grid-code/modifications/gc0114-system-operation-guideline-prequalification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B934" w14:textId="4FD9D626" w:rsidR="004B6A1C" w:rsidRDefault="004B6A1C">
    <w:pPr>
      <w:pStyle w:val="Header"/>
    </w:pPr>
    <w:r>
      <w:tab/>
    </w:r>
    <w:r>
      <w:tab/>
    </w:r>
    <w:r>
      <w:rPr>
        <w:noProof/>
        <w:lang w:val="en-US" w:eastAsia="zh-CN"/>
      </w:rPr>
      <w:drawing>
        <wp:inline distT="0" distB="0" distL="0" distR="0" wp14:anchorId="7D4DE6B8" wp14:editId="30990F37">
          <wp:extent cx="2209800" cy="518160"/>
          <wp:effectExtent l="0" t="0" r="0" b="0"/>
          <wp:docPr id="1" name="Picture 1" descr="Image result for national gr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grid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08530" cy="5178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ED30" w14:textId="0F0F4937" w:rsidR="004B6A1C" w:rsidRDefault="004B6A1C">
    <w:pPr>
      <w:pStyle w:val="Header"/>
    </w:pPr>
    <w:r>
      <w:rPr>
        <w:noProof/>
        <w:lang w:val="en-US" w:eastAsia="zh-CN"/>
      </w:rPr>
      <mc:AlternateContent>
        <mc:Choice Requires="wps">
          <w:drawing>
            <wp:anchor distT="0" distB="0" distL="114300" distR="114300" simplePos="0" relativeHeight="251659264" behindDoc="1" locked="0" layoutInCell="0" allowOverlap="1" wp14:anchorId="58787747" wp14:editId="74335B14">
              <wp:simplePos x="0" y="0"/>
              <wp:positionH relativeFrom="margin">
                <wp:align>left</wp:align>
              </wp:positionH>
              <wp:positionV relativeFrom="page">
                <wp:posOffset>361950</wp:posOffset>
              </wp:positionV>
              <wp:extent cx="3600450" cy="478155"/>
              <wp:effectExtent l="0" t="0" r="0" b="1714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C0750" w14:textId="5E09F27C" w:rsidR="004B6A1C" w:rsidRDefault="004B6A1C" w:rsidP="00AB22AA">
                          <w:pPr>
                            <w:widowControl w:val="0"/>
                            <w:autoSpaceDE w:val="0"/>
                            <w:autoSpaceDN w:val="0"/>
                            <w:adjustRightInd w:val="0"/>
                            <w:spacing w:after="0" w:line="184" w:lineRule="exact"/>
                            <w:ind w:left="20" w:right="733"/>
                            <w:rPr>
                              <w:rFonts w:ascii="Times New Roman" w:hAnsi="Times New Roman"/>
                              <w:sz w:val="16"/>
                              <w:szCs w:val="16"/>
                            </w:rPr>
                          </w:pPr>
                          <w:r w:rsidRPr="009242CF">
                            <w:rPr>
                              <w:rFonts w:ascii="Times New Roman" w:hAnsi="Times New Roman"/>
                              <w:spacing w:val="-1"/>
                              <w:sz w:val="16"/>
                              <w:szCs w:val="16"/>
                            </w:rPr>
                            <w:t xml:space="preserve">Supporting document to the </w:t>
                          </w:r>
                          <w:r>
                            <w:rPr>
                              <w:rFonts w:ascii="Times New Roman" w:hAnsi="Times New Roman"/>
                              <w:spacing w:val="-1"/>
                              <w:sz w:val="16"/>
                              <w:szCs w:val="16"/>
                            </w:rPr>
                            <w:t>GB Synchronous Area Operational Methodology</w:t>
                          </w:r>
                          <w:r w:rsidRPr="009242CF">
                            <w:rPr>
                              <w:rFonts w:ascii="Times New Roman" w:hAnsi="Times New Roman"/>
                              <w:spacing w:val="-1"/>
                              <w:sz w:val="16"/>
                              <w:szCs w:val="16"/>
                            </w:rPr>
                            <w:t xml:space="preserve"> developed</w:t>
                          </w:r>
                          <w:r>
                            <w:rPr>
                              <w:rFonts w:ascii="Times New Roman" w:hAnsi="Times New Roman"/>
                              <w:spacing w:val="-1"/>
                              <w:sz w:val="16"/>
                              <w:szCs w:val="16"/>
                            </w:rPr>
                            <w:t xml:space="preserve"> </w:t>
                          </w:r>
                          <w:r w:rsidRPr="009242CF">
                            <w:rPr>
                              <w:rFonts w:ascii="Times New Roman" w:hAnsi="Times New Roman"/>
                              <w:spacing w:val="-1"/>
                              <w:sz w:val="16"/>
                              <w:szCs w:val="16"/>
                            </w:rPr>
                            <w:t xml:space="preserve">in accordance with article </w:t>
                          </w:r>
                          <w:r>
                            <w:rPr>
                              <w:rFonts w:ascii="Times New Roman" w:hAnsi="Times New Roman"/>
                              <w:spacing w:val="-1"/>
                              <w:sz w:val="16"/>
                              <w:szCs w:val="16"/>
                            </w:rPr>
                            <w:t>119</w:t>
                          </w:r>
                          <w:r w:rsidRPr="009242CF">
                            <w:rPr>
                              <w:rFonts w:ascii="Times New Roman" w:hAnsi="Times New Roman"/>
                              <w:spacing w:val="-1"/>
                              <w:sz w:val="16"/>
                              <w:szCs w:val="16"/>
                            </w:rPr>
                            <w:t xml:space="preserve"> of Commission Regulation (EU) 2017/1485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87747" id="_x0000_t202" coordsize="21600,21600" o:spt="202" path="m,l,21600r21600,l21600,xe">
              <v:stroke joinstyle="miter"/>
              <v:path gradientshapeok="t" o:connecttype="rect"/>
            </v:shapetype>
            <v:shape id="Text Box 11" o:spid="_x0000_s1026" type="#_x0000_t202" style="position:absolute;margin-left:0;margin-top:28.5pt;width:283.5pt;height:37.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" o:allowincell="f" filled="f" stroked="f">
              <v:textbox inset="0,0,0,0">
                <w:txbxContent>
                  <w:p w14:paraId="7DAC0750" w14:textId="5E09F27C" w:rsidR="004B6A1C" w:rsidRDefault="004B6A1C" w:rsidP="00AB22AA">
                    <w:pPr>
                      <w:widowControl w:val="0"/>
                      <w:autoSpaceDE w:val="0"/>
                      <w:autoSpaceDN w:val="0"/>
                      <w:adjustRightInd w:val="0"/>
                      <w:spacing w:after="0" w:line="184" w:lineRule="exact"/>
                      <w:ind w:left="20" w:right="733"/>
                      <w:rPr>
                        <w:rFonts w:ascii="Times New Roman" w:hAnsi="Times New Roman"/>
                        <w:sz w:val="16"/>
                        <w:szCs w:val="16"/>
                      </w:rPr>
                    </w:pPr>
                    <w:r w:rsidRPr="009242CF">
                      <w:rPr>
                        <w:rFonts w:ascii="Times New Roman" w:hAnsi="Times New Roman"/>
                        <w:spacing w:val="-1"/>
                        <w:sz w:val="16"/>
                        <w:szCs w:val="16"/>
                      </w:rPr>
                      <w:t xml:space="preserve">Supporting document to the </w:t>
                    </w:r>
                    <w:r>
                      <w:rPr>
                        <w:rFonts w:ascii="Times New Roman" w:hAnsi="Times New Roman"/>
                        <w:spacing w:val="-1"/>
                        <w:sz w:val="16"/>
                        <w:szCs w:val="16"/>
                      </w:rPr>
                      <w:t>GB Synchronous Area Operational Methodology</w:t>
                    </w:r>
                    <w:r w:rsidRPr="009242CF">
                      <w:rPr>
                        <w:rFonts w:ascii="Times New Roman" w:hAnsi="Times New Roman"/>
                        <w:spacing w:val="-1"/>
                        <w:sz w:val="16"/>
                        <w:szCs w:val="16"/>
                      </w:rPr>
                      <w:t xml:space="preserve"> developed</w:t>
                    </w:r>
                    <w:r>
                      <w:rPr>
                        <w:rFonts w:ascii="Times New Roman" w:hAnsi="Times New Roman"/>
                        <w:spacing w:val="-1"/>
                        <w:sz w:val="16"/>
                        <w:szCs w:val="16"/>
                      </w:rPr>
                      <w:t xml:space="preserve"> </w:t>
                    </w:r>
                    <w:r w:rsidRPr="009242CF">
                      <w:rPr>
                        <w:rFonts w:ascii="Times New Roman" w:hAnsi="Times New Roman"/>
                        <w:spacing w:val="-1"/>
                        <w:sz w:val="16"/>
                        <w:szCs w:val="16"/>
                      </w:rPr>
                      <w:t xml:space="preserve">in accordance with article </w:t>
                    </w:r>
                    <w:r>
                      <w:rPr>
                        <w:rFonts w:ascii="Times New Roman" w:hAnsi="Times New Roman"/>
                        <w:spacing w:val="-1"/>
                        <w:sz w:val="16"/>
                        <w:szCs w:val="16"/>
                      </w:rPr>
                      <w:t>119</w:t>
                    </w:r>
                    <w:r w:rsidRPr="009242CF">
                      <w:rPr>
                        <w:rFonts w:ascii="Times New Roman" w:hAnsi="Times New Roman"/>
                        <w:spacing w:val="-1"/>
                        <w:sz w:val="16"/>
                        <w:szCs w:val="16"/>
                      </w:rPr>
                      <w:t xml:space="preserve"> of Commission Regulation (EU) 2017/1485</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2E7CC" w14:textId="39F1B40F" w:rsidR="004B6A1C" w:rsidRDefault="004B6A1C">
    <w:pPr>
      <w:widowControl w:val="0"/>
      <w:autoSpaceDE w:val="0"/>
      <w:autoSpaceDN w:val="0"/>
      <w:adjustRightInd w:val="0"/>
      <w:spacing w:after="0" w:line="200" w:lineRule="exact"/>
      <w:rPr>
        <w:rFonts w:ascii="Times New Roman" w:hAnsi="Times New Roman"/>
        <w:sz w:val="20"/>
        <w:szCs w:val="20"/>
      </w:rPr>
    </w:pPr>
    <w:r>
      <w:rPr>
        <w:noProof/>
        <w:lang w:val="en-US" w:eastAsia="zh-CN"/>
      </w:rPr>
      <mc:AlternateContent>
        <mc:Choice Requires="wps">
          <w:drawing>
            <wp:anchor distT="0" distB="0" distL="114300" distR="114300" simplePos="0" relativeHeight="251661312" behindDoc="1" locked="0" layoutInCell="0" allowOverlap="1" wp14:anchorId="08957606" wp14:editId="68DD7E19">
              <wp:simplePos x="0" y="0"/>
              <wp:positionH relativeFrom="margin">
                <wp:posOffset>0</wp:posOffset>
              </wp:positionH>
              <wp:positionV relativeFrom="page">
                <wp:posOffset>360045</wp:posOffset>
              </wp:positionV>
              <wp:extent cx="3600450" cy="478155"/>
              <wp:effectExtent l="0" t="0" r="0" b="1714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67ACC" w14:textId="77777777" w:rsidR="004B6A1C" w:rsidRDefault="004B6A1C" w:rsidP="00AB22AA">
                          <w:pPr>
                            <w:widowControl w:val="0"/>
                            <w:autoSpaceDE w:val="0"/>
                            <w:autoSpaceDN w:val="0"/>
                            <w:adjustRightInd w:val="0"/>
                            <w:spacing w:after="0" w:line="184" w:lineRule="exact"/>
                            <w:ind w:left="20" w:right="733"/>
                            <w:rPr>
                              <w:rFonts w:ascii="Times New Roman" w:hAnsi="Times New Roman"/>
                              <w:sz w:val="16"/>
                              <w:szCs w:val="16"/>
                            </w:rPr>
                          </w:pPr>
                          <w:r w:rsidRPr="009242CF">
                            <w:rPr>
                              <w:rFonts w:ascii="Times New Roman" w:hAnsi="Times New Roman"/>
                              <w:spacing w:val="-1"/>
                              <w:sz w:val="16"/>
                              <w:szCs w:val="16"/>
                            </w:rPr>
                            <w:t xml:space="preserve">Supporting document to the </w:t>
                          </w:r>
                          <w:r>
                            <w:rPr>
                              <w:rFonts w:ascii="Times New Roman" w:hAnsi="Times New Roman"/>
                              <w:spacing w:val="-1"/>
                              <w:sz w:val="16"/>
                              <w:szCs w:val="16"/>
                            </w:rPr>
                            <w:t>GB Synchronous Area Operational Methodology</w:t>
                          </w:r>
                          <w:r w:rsidRPr="009242CF">
                            <w:rPr>
                              <w:rFonts w:ascii="Times New Roman" w:hAnsi="Times New Roman"/>
                              <w:spacing w:val="-1"/>
                              <w:sz w:val="16"/>
                              <w:szCs w:val="16"/>
                            </w:rPr>
                            <w:t xml:space="preserve"> developed</w:t>
                          </w:r>
                          <w:r>
                            <w:rPr>
                              <w:rFonts w:ascii="Times New Roman" w:hAnsi="Times New Roman"/>
                              <w:spacing w:val="-1"/>
                              <w:sz w:val="16"/>
                              <w:szCs w:val="16"/>
                            </w:rPr>
                            <w:t xml:space="preserve"> </w:t>
                          </w:r>
                          <w:r w:rsidRPr="009242CF">
                            <w:rPr>
                              <w:rFonts w:ascii="Times New Roman" w:hAnsi="Times New Roman"/>
                              <w:spacing w:val="-1"/>
                              <w:sz w:val="16"/>
                              <w:szCs w:val="16"/>
                            </w:rPr>
                            <w:t xml:space="preserve">in accordance with article </w:t>
                          </w:r>
                          <w:r>
                            <w:rPr>
                              <w:rFonts w:ascii="Times New Roman" w:hAnsi="Times New Roman"/>
                              <w:spacing w:val="-1"/>
                              <w:sz w:val="16"/>
                              <w:szCs w:val="16"/>
                            </w:rPr>
                            <w:t>119</w:t>
                          </w:r>
                          <w:r w:rsidRPr="009242CF">
                            <w:rPr>
                              <w:rFonts w:ascii="Times New Roman" w:hAnsi="Times New Roman"/>
                              <w:spacing w:val="-1"/>
                              <w:sz w:val="16"/>
                              <w:szCs w:val="16"/>
                            </w:rPr>
                            <w:t xml:space="preserve"> of Commission Regulation (EU) 2017/1485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57606" id="_x0000_t202" coordsize="21600,21600" o:spt="202" path="m,l,21600r21600,l21600,xe">
              <v:stroke joinstyle="miter"/>
              <v:path gradientshapeok="t" o:connecttype="rect"/>
            </v:shapetype>
            <v:shape id="_x0000_s1027" type="#_x0000_t202" style="position:absolute;margin-left:0;margin-top:28.35pt;width:283.5pt;height:37.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" o:allowincell="f" filled="f" stroked="f">
              <v:textbox inset="0,0,0,0">
                <w:txbxContent>
                  <w:p w14:paraId="3A967ACC" w14:textId="77777777" w:rsidR="004B6A1C" w:rsidRDefault="004B6A1C" w:rsidP="00AB22AA">
                    <w:pPr>
                      <w:widowControl w:val="0"/>
                      <w:autoSpaceDE w:val="0"/>
                      <w:autoSpaceDN w:val="0"/>
                      <w:adjustRightInd w:val="0"/>
                      <w:spacing w:after="0" w:line="184" w:lineRule="exact"/>
                      <w:ind w:left="20" w:right="733"/>
                      <w:rPr>
                        <w:rFonts w:ascii="Times New Roman" w:hAnsi="Times New Roman"/>
                        <w:sz w:val="16"/>
                        <w:szCs w:val="16"/>
                      </w:rPr>
                    </w:pPr>
                    <w:r w:rsidRPr="009242CF">
                      <w:rPr>
                        <w:rFonts w:ascii="Times New Roman" w:hAnsi="Times New Roman"/>
                        <w:spacing w:val="-1"/>
                        <w:sz w:val="16"/>
                        <w:szCs w:val="16"/>
                      </w:rPr>
                      <w:t xml:space="preserve">Supporting document to the </w:t>
                    </w:r>
                    <w:r>
                      <w:rPr>
                        <w:rFonts w:ascii="Times New Roman" w:hAnsi="Times New Roman"/>
                        <w:spacing w:val="-1"/>
                        <w:sz w:val="16"/>
                        <w:szCs w:val="16"/>
                      </w:rPr>
                      <w:t>GB Synchronous Area Operational Methodology</w:t>
                    </w:r>
                    <w:r w:rsidRPr="009242CF">
                      <w:rPr>
                        <w:rFonts w:ascii="Times New Roman" w:hAnsi="Times New Roman"/>
                        <w:spacing w:val="-1"/>
                        <w:sz w:val="16"/>
                        <w:szCs w:val="16"/>
                      </w:rPr>
                      <w:t xml:space="preserve"> developed</w:t>
                    </w:r>
                    <w:r>
                      <w:rPr>
                        <w:rFonts w:ascii="Times New Roman" w:hAnsi="Times New Roman"/>
                        <w:spacing w:val="-1"/>
                        <w:sz w:val="16"/>
                        <w:szCs w:val="16"/>
                      </w:rPr>
                      <w:t xml:space="preserve"> </w:t>
                    </w:r>
                    <w:r w:rsidRPr="009242CF">
                      <w:rPr>
                        <w:rFonts w:ascii="Times New Roman" w:hAnsi="Times New Roman"/>
                        <w:spacing w:val="-1"/>
                        <w:sz w:val="16"/>
                        <w:szCs w:val="16"/>
                      </w:rPr>
                      <w:t xml:space="preserve">in accordance with article </w:t>
                    </w:r>
                    <w:r>
                      <w:rPr>
                        <w:rFonts w:ascii="Times New Roman" w:hAnsi="Times New Roman"/>
                        <w:spacing w:val="-1"/>
                        <w:sz w:val="16"/>
                        <w:szCs w:val="16"/>
                      </w:rPr>
                      <w:t>119</w:t>
                    </w:r>
                    <w:r w:rsidRPr="009242CF">
                      <w:rPr>
                        <w:rFonts w:ascii="Times New Roman" w:hAnsi="Times New Roman"/>
                        <w:spacing w:val="-1"/>
                        <w:sz w:val="16"/>
                        <w:szCs w:val="16"/>
                      </w:rPr>
                      <w:t xml:space="preserve"> of Commission Regulation (EU) 2017/1485</w:t>
                    </w:r>
                  </w:p>
                </w:txbxContent>
              </v:textbox>
              <w10:wrap anchorx="margin" anchory="page"/>
            </v:shape>
          </w:pict>
        </mc:Fallback>
      </mc:AlternateContent>
    </w:r>
    <w:r>
      <w:rPr>
        <w:noProof/>
        <w:lang w:val="en-US" w:eastAsia="zh-CN"/>
      </w:rPr>
      <mc:AlternateContent>
        <mc:Choice Requires="wpg">
          <w:drawing>
            <wp:anchor distT="0" distB="0" distL="114300" distR="114300" simplePos="0" relativeHeight="251657216" behindDoc="1" locked="0" layoutInCell="0" allowOverlap="1" wp14:anchorId="6C72E7D1" wp14:editId="6C72E7D2">
              <wp:simplePos x="0" y="0"/>
              <wp:positionH relativeFrom="page">
                <wp:posOffset>864235</wp:posOffset>
              </wp:positionH>
              <wp:positionV relativeFrom="page">
                <wp:posOffset>769620</wp:posOffset>
              </wp:positionV>
              <wp:extent cx="6060440" cy="12700"/>
              <wp:effectExtent l="0" t="0" r="16510" b="635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0440" cy="12700"/>
                        <a:chOff x="1351" y="1662"/>
                        <a:chExt cx="9544" cy="20"/>
                      </a:xfrm>
                    </wpg:grpSpPr>
                    <wps:wsp>
                      <wps:cNvPr id="5" name="Freeform 9"/>
                      <wps:cNvSpPr>
                        <a:spLocks/>
                      </wps:cNvSpPr>
                      <wps:spPr bwMode="auto">
                        <a:xfrm>
                          <a:off x="1361" y="1672"/>
                          <a:ext cx="9524" cy="0"/>
                        </a:xfrm>
                        <a:custGeom>
                          <a:avLst/>
                          <a:gdLst>
                            <a:gd name="T0" fmla="*/ 0 w 9524"/>
                            <a:gd name="T1" fmla="*/ 9524 w 9524"/>
                          </a:gdLst>
                          <a:ahLst/>
                          <a:cxnLst>
                            <a:cxn ang="0">
                              <a:pos x="T0" y="0"/>
                            </a:cxn>
                            <a:cxn ang="0">
                              <a:pos x="T1" y="0"/>
                            </a:cxn>
                          </a:cxnLst>
                          <a:rect l="0" t="0" r="r" b="b"/>
                          <a:pathLst>
                            <a:path w="9524">
                              <a:moveTo>
                                <a:pt x="0" y="0"/>
                              </a:moveTo>
                              <a:lnTo>
                                <a:pt x="9524" y="0"/>
                              </a:lnTo>
                            </a:path>
                          </a:pathLst>
                        </a:custGeom>
                        <a:noFill/>
                        <a:ln w="12700">
                          <a:solidFill>
                            <a:srgbClr val="2222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0"/>
                      <wps:cNvSpPr>
                        <a:spLocks/>
                      </wps:cNvSpPr>
                      <wps:spPr bwMode="auto">
                        <a:xfrm>
                          <a:off x="1361" y="1672"/>
                          <a:ext cx="9524" cy="0"/>
                        </a:xfrm>
                        <a:custGeom>
                          <a:avLst/>
                          <a:gdLst>
                            <a:gd name="T0" fmla="*/ 9524 w 9524"/>
                            <a:gd name="T1" fmla="*/ 0 w 9524"/>
                          </a:gdLst>
                          <a:ahLst/>
                          <a:cxnLst>
                            <a:cxn ang="0">
                              <a:pos x="T0" y="0"/>
                            </a:cxn>
                            <a:cxn ang="0">
                              <a:pos x="T1" y="0"/>
                            </a:cxn>
                          </a:cxnLst>
                          <a:rect l="0" t="0" r="r" b="b"/>
                          <a:pathLst>
                            <a:path w="9524">
                              <a:moveTo>
                                <a:pt x="9524" y="0"/>
                              </a:moveTo>
                              <a:lnTo>
                                <a:pt x="0" y="0"/>
                              </a:lnTo>
                            </a:path>
                          </a:pathLst>
                        </a:custGeom>
                        <a:noFill/>
                        <a:ln w="12700">
                          <a:solidFill>
                            <a:srgbClr val="2222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CDDF2" id="Group 8" o:spid="_x0000_s1026" style="position:absolute;margin-left:68.05pt;margin-top:60.6pt;width:477.2pt;height:1pt;z-index:-251659264;mso-position-horizontal-relative:page;mso-position-vertical-relative:page" coordorigin="1351,1662" coordsize="95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" o:allowincell="f">
              <v:shape id="Freeform 9" o:spid="_x0000_s1027" style="position:absolute;left:1361;top:1672;width:9524;height:0;visibility:visible;mso-wrap-style:square;v-text-anchor:top" coordsize="9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" path="m,l9524,e" filled="f" strokecolor="#22226d" strokeweight="1pt">
                <v:path arrowok="t" o:connecttype="custom" o:connectlocs="0,0;9524,0" o:connectangles="0,0"/>
              </v:shape>
              <v:shape id="Freeform 10" o:spid="_x0000_s1028" style="position:absolute;left:1361;top:1672;width:9524;height:0;visibility:visible;mso-wrap-style:square;v-text-anchor:top" coordsize="9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" path="m9524,l,e" filled="f" strokecolor="#22226d" strokeweight="1pt">
                <v:path arrowok="t" o:connecttype="custom" o:connectlocs="9524,0;0,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4CC"/>
    <w:multiLevelType w:val="hybridMultilevel"/>
    <w:tmpl w:val="1B26D122"/>
    <w:lvl w:ilvl="0" w:tplc="A56CCE36">
      <w:start w:val="1"/>
      <w:numFmt w:val="decimal"/>
      <w:pStyle w:val="Artnr"/>
      <w:lvlText w:val="Article %1"/>
      <w:lvlJc w:val="center"/>
      <w:pPr>
        <w:ind w:left="7165" w:hanging="360"/>
      </w:pPr>
      <w:rPr>
        <w:rFonts w:ascii="Times New Roman" w:hAnsi="Times New Roman" w:cs="Times New Roman" w:hint="default"/>
        <w:b/>
        <w:bCs w:val="0"/>
        <w:i w:val="0"/>
        <w:iCs w:val="0"/>
        <w:caps w:val="0"/>
        <w:strike w:val="0"/>
        <w:dstrike w:val="0"/>
        <w:vanish w:val="0"/>
        <w:color w:val="1F497D" w:themeColor="text2"/>
        <w:spacing w:val="0"/>
        <w:kern w:val="0"/>
        <w:position w:val="0"/>
        <w:sz w:val="24"/>
        <w:u w:val="none"/>
        <w:effect w:val="none"/>
        <w:vertAlign w:val="baseline"/>
        <w:em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95"/>
    <w:multiLevelType w:val="hybridMultilevel"/>
    <w:tmpl w:val="2B14235A"/>
    <w:lvl w:ilvl="0" w:tplc="0BECD81C">
      <w:start w:val="1"/>
      <w:numFmt w:val="decimal"/>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 w15:restartNumberingAfterBreak="0">
    <w:nsid w:val="07A8696A"/>
    <w:multiLevelType w:val="hybridMultilevel"/>
    <w:tmpl w:val="5AFAAD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E5881"/>
    <w:multiLevelType w:val="hybridMultilevel"/>
    <w:tmpl w:val="E50816DE"/>
    <w:lvl w:ilvl="0" w:tplc="0C07000F">
      <w:start w:val="1"/>
      <w:numFmt w:val="decimal"/>
      <w:pStyle w:val="Paragrapgh-numbered"/>
      <w:lvlText w:val="%1."/>
      <w:lvlJc w:val="left"/>
      <w:pPr>
        <w:ind w:left="360" w:hanging="360"/>
      </w:pPr>
      <w:rPr>
        <w:rFonts w:hint="default"/>
      </w:r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start w:val="1"/>
      <w:numFmt w:val="decimal"/>
      <w:lvlText w:val="%4."/>
      <w:lvlJc w:val="left"/>
      <w:pPr>
        <w:ind w:left="2523" w:hanging="360"/>
      </w:pPr>
    </w:lvl>
    <w:lvl w:ilvl="4" w:tplc="08090019">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 w15:restartNumberingAfterBreak="0">
    <w:nsid w:val="08B369D6"/>
    <w:multiLevelType w:val="hybridMultilevel"/>
    <w:tmpl w:val="6374BC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767054"/>
    <w:multiLevelType w:val="hybridMultilevel"/>
    <w:tmpl w:val="4FF6F718"/>
    <w:lvl w:ilvl="0" w:tplc="09DEFDF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C426B7"/>
    <w:multiLevelType w:val="hybridMultilevel"/>
    <w:tmpl w:val="C818E168"/>
    <w:lvl w:ilvl="0" w:tplc="330474F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A4347"/>
    <w:multiLevelType w:val="hybridMultilevel"/>
    <w:tmpl w:val="DF58BA8A"/>
    <w:lvl w:ilvl="0" w:tplc="7E00530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E36494"/>
    <w:multiLevelType w:val="hybridMultilevel"/>
    <w:tmpl w:val="8B68B3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8B970E0"/>
    <w:multiLevelType w:val="hybridMultilevel"/>
    <w:tmpl w:val="47E0C5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59429FC"/>
    <w:multiLevelType w:val="hybridMultilevel"/>
    <w:tmpl w:val="D1F66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0368E7"/>
    <w:multiLevelType w:val="hybridMultilevel"/>
    <w:tmpl w:val="25489EEC"/>
    <w:lvl w:ilvl="0" w:tplc="68F03964">
      <w:start w:val="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5058BE"/>
    <w:multiLevelType w:val="hybridMultilevel"/>
    <w:tmpl w:val="5AFAA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4"/>
  </w:num>
  <w:num w:numId="8">
    <w:abstractNumId w:val="3"/>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7"/>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num>
  <w:num w:numId="38">
    <w:abstractNumId w:val="1"/>
  </w:num>
  <w:num w:numId="39">
    <w:abstractNumId w:val="10"/>
  </w:num>
  <w:num w:numId="40">
    <w:abstractNumId w:val="6"/>
  </w:num>
  <w:num w:numId="41">
    <w:abstractNumId w:val="3"/>
  </w:num>
  <w:num w:numId="42">
    <w:abstractNumId w:val="3"/>
  </w:num>
  <w:num w:numId="43">
    <w:abstractNumId w:val="8"/>
  </w:num>
  <w:num w:numId="44">
    <w:abstractNumId w:val="9"/>
  </w:num>
  <w:num w:numId="45">
    <w:abstractNumId w:val="11"/>
  </w:num>
  <w:num w:numId="46">
    <w:abstractNumId w:val="5"/>
  </w:num>
  <w:num w:numId="47">
    <w:abstractNumId w:val="3"/>
  </w:num>
  <w:num w:numId="48">
    <w:abstractNumId w:val="3"/>
  </w:num>
  <w:num w:numId="49">
    <w:abstractNumId w:val="3"/>
  </w:num>
  <w:num w:numId="50">
    <w:abstractNumId w:val="3"/>
  </w:num>
  <w:num w:numId="51">
    <w:abstractNumId w:val="3"/>
    <w:lvlOverride w:ilvl="0">
      <w:startOverride w:val="1"/>
    </w:lvlOverride>
  </w:num>
  <w:num w:numId="52">
    <w:abstractNumId w:val="3"/>
  </w:num>
  <w:num w:numId="53">
    <w:abstractNumId w:val="3"/>
  </w:num>
  <w:num w:numId="54">
    <w:abstractNumId w:val="3"/>
  </w:num>
  <w:num w:numId="55">
    <w:abstractNumId w:val="12"/>
  </w:num>
  <w:num w:numId="56">
    <w:abstractNumId w:val="3"/>
    <w:lvlOverride w:ilvl="0">
      <w:startOverride w:val="1"/>
    </w:lvlOverride>
  </w:num>
  <w:num w:numId="57">
    <w:abstractNumId w:val="2"/>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num>
  <w:num w:numId="62">
    <w:abstractNumId w:val="3"/>
    <w:lvlOverride w:ilvl="0">
      <w:startOverride w:val="1"/>
    </w:lvlOverride>
  </w:num>
  <w:num w:numId="63">
    <w:abstractNumId w:val="3"/>
    <w:lvlOverride w:ilvl="0">
      <w:startOverride w:val="1"/>
    </w:lvlOverride>
  </w:num>
  <w:num w:numId="64">
    <w:abstractNumId w:val="3"/>
  </w:num>
  <w:num w:numId="65">
    <w:abstractNumId w:val="3"/>
  </w:num>
  <w:num w:numId="66">
    <w:abstractNumId w:val="3"/>
  </w:num>
  <w:num w:numId="67">
    <w:abstractNumId w:val="3"/>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05"/>
    <w:rsid w:val="00020526"/>
    <w:rsid w:val="000222DE"/>
    <w:rsid w:val="00022E9F"/>
    <w:rsid w:val="000350AC"/>
    <w:rsid w:val="000623A6"/>
    <w:rsid w:val="00062C16"/>
    <w:rsid w:val="00067A7E"/>
    <w:rsid w:val="00067CCD"/>
    <w:rsid w:val="00073164"/>
    <w:rsid w:val="00074D3D"/>
    <w:rsid w:val="00085E82"/>
    <w:rsid w:val="000926F6"/>
    <w:rsid w:val="00097B0F"/>
    <w:rsid w:val="000A2320"/>
    <w:rsid w:val="000B0602"/>
    <w:rsid w:val="000B49C4"/>
    <w:rsid w:val="000B7480"/>
    <w:rsid w:val="000C5701"/>
    <w:rsid w:val="000C5E2C"/>
    <w:rsid w:val="000F13D5"/>
    <w:rsid w:val="000F5990"/>
    <w:rsid w:val="001023CE"/>
    <w:rsid w:val="00121340"/>
    <w:rsid w:val="00137953"/>
    <w:rsid w:val="00151098"/>
    <w:rsid w:val="00151973"/>
    <w:rsid w:val="001538D8"/>
    <w:rsid w:val="00154E5F"/>
    <w:rsid w:val="00173A8F"/>
    <w:rsid w:val="0018413B"/>
    <w:rsid w:val="00184DBA"/>
    <w:rsid w:val="0018599B"/>
    <w:rsid w:val="00191C05"/>
    <w:rsid w:val="001B77E1"/>
    <w:rsid w:val="001C336A"/>
    <w:rsid w:val="001C5A40"/>
    <w:rsid w:val="001D131B"/>
    <w:rsid w:val="001D1595"/>
    <w:rsid w:val="001D7A49"/>
    <w:rsid w:val="002039E6"/>
    <w:rsid w:val="00245742"/>
    <w:rsid w:val="00285689"/>
    <w:rsid w:val="002867DA"/>
    <w:rsid w:val="00295441"/>
    <w:rsid w:val="002A577A"/>
    <w:rsid w:val="002B03F5"/>
    <w:rsid w:val="002B2FC8"/>
    <w:rsid w:val="002C4DD0"/>
    <w:rsid w:val="002D2CCF"/>
    <w:rsid w:val="002D784A"/>
    <w:rsid w:val="002F12C0"/>
    <w:rsid w:val="00303249"/>
    <w:rsid w:val="00307CA4"/>
    <w:rsid w:val="00310BFE"/>
    <w:rsid w:val="003145E7"/>
    <w:rsid w:val="00321F4A"/>
    <w:rsid w:val="00357A49"/>
    <w:rsid w:val="00364BDC"/>
    <w:rsid w:val="00370D31"/>
    <w:rsid w:val="00372934"/>
    <w:rsid w:val="00381E3B"/>
    <w:rsid w:val="00385EF4"/>
    <w:rsid w:val="00391B2A"/>
    <w:rsid w:val="003C40B2"/>
    <w:rsid w:val="003C46F6"/>
    <w:rsid w:val="003C6293"/>
    <w:rsid w:val="003C7AA0"/>
    <w:rsid w:val="003D0E5D"/>
    <w:rsid w:val="003D6A10"/>
    <w:rsid w:val="003E04B6"/>
    <w:rsid w:val="0040127F"/>
    <w:rsid w:val="00406173"/>
    <w:rsid w:val="00417171"/>
    <w:rsid w:val="00422836"/>
    <w:rsid w:val="00430152"/>
    <w:rsid w:val="0045752A"/>
    <w:rsid w:val="0048149B"/>
    <w:rsid w:val="00487AC6"/>
    <w:rsid w:val="0049302E"/>
    <w:rsid w:val="004A7EF0"/>
    <w:rsid w:val="004B6A1C"/>
    <w:rsid w:val="004C1270"/>
    <w:rsid w:val="004C519D"/>
    <w:rsid w:val="004D39DA"/>
    <w:rsid w:val="004F5DDD"/>
    <w:rsid w:val="0051359E"/>
    <w:rsid w:val="00515FC6"/>
    <w:rsid w:val="00520870"/>
    <w:rsid w:val="00521605"/>
    <w:rsid w:val="00541913"/>
    <w:rsid w:val="00550067"/>
    <w:rsid w:val="00551356"/>
    <w:rsid w:val="00580BA8"/>
    <w:rsid w:val="005824B2"/>
    <w:rsid w:val="005B3ACE"/>
    <w:rsid w:val="005D012E"/>
    <w:rsid w:val="005E5741"/>
    <w:rsid w:val="00626274"/>
    <w:rsid w:val="006467B0"/>
    <w:rsid w:val="00651599"/>
    <w:rsid w:val="00653D19"/>
    <w:rsid w:val="00655220"/>
    <w:rsid w:val="00663730"/>
    <w:rsid w:val="00683E51"/>
    <w:rsid w:val="006857EA"/>
    <w:rsid w:val="006D426F"/>
    <w:rsid w:val="006D63AF"/>
    <w:rsid w:val="006D69B8"/>
    <w:rsid w:val="006E774A"/>
    <w:rsid w:val="006F2A04"/>
    <w:rsid w:val="006F2AAD"/>
    <w:rsid w:val="00710BC9"/>
    <w:rsid w:val="007365AD"/>
    <w:rsid w:val="00740697"/>
    <w:rsid w:val="00740F15"/>
    <w:rsid w:val="00744FFB"/>
    <w:rsid w:val="0074522C"/>
    <w:rsid w:val="00756412"/>
    <w:rsid w:val="00765FBA"/>
    <w:rsid w:val="00766D1A"/>
    <w:rsid w:val="0076717C"/>
    <w:rsid w:val="00774970"/>
    <w:rsid w:val="007838CA"/>
    <w:rsid w:val="00787613"/>
    <w:rsid w:val="007A3E39"/>
    <w:rsid w:val="007A58E9"/>
    <w:rsid w:val="007B3B94"/>
    <w:rsid w:val="007B437F"/>
    <w:rsid w:val="007B7099"/>
    <w:rsid w:val="007C109D"/>
    <w:rsid w:val="007C4B18"/>
    <w:rsid w:val="007C52F1"/>
    <w:rsid w:val="007C6C0F"/>
    <w:rsid w:val="007D0FA2"/>
    <w:rsid w:val="007D7EBC"/>
    <w:rsid w:val="007E2A02"/>
    <w:rsid w:val="007E3570"/>
    <w:rsid w:val="007E35D4"/>
    <w:rsid w:val="00824C10"/>
    <w:rsid w:val="00826115"/>
    <w:rsid w:val="0083478A"/>
    <w:rsid w:val="00841B01"/>
    <w:rsid w:val="00846F04"/>
    <w:rsid w:val="00861FE3"/>
    <w:rsid w:val="00873FED"/>
    <w:rsid w:val="00875520"/>
    <w:rsid w:val="00881D87"/>
    <w:rsid w:val="00886133"/>
    <w:rsid w:val="008935B8"/>
    <w:rsid w:val="008A71AD"/>
    <w:rsid w:val="008C6BA0"/>
    <w:rsid w:val="008C730E"/>
    <w:rsid w:val="008D5AA7"/>
    <w:rsid w:val="008D79D1"/>
    <w:rsid w:val="008E6926"/>
    <w:rsid w:val="008E7A50"/>
    <w:rsid w:val="008E7B4D"/>
    <w:rsid w:val="009021D0"/>
    <w:rsid w:val="00907FD3"/>
    <w:rsid w:val="009242CF"/>
    <w:rsid w:val="00941D07"/>
    <w:rsid w:val="00944B14"/>
    <w:rsid w:val="00946F21"/>
    <w:rsid w:val="009617E2"/>
    <w:rsid w:val="00962F21"/>
    <w:rsid w:val="00980032"/>
    <w:rsid w:val="00985404"/>
    <w:rsid w:val="009B6FE2"/>
    <w:rsid w:val="00A0493F"/>
    <w:rsid w:val="00A074BD"/>
    <w:rsid w:val="00A17D47"/>
    <w:rsid w:val="00A8652D"/>
    <w:rsid w:val="00AA34F5"/>
    <w:rsid w:val="00AB10D7"/>
    <w:rsid w:val="00AB22AA"/>
    <w:rsid w:val="00AB47D8"/>
    <w:rsid w:val="00AB4CCB"/>
    <w:rsid w:val="00AE6D30"/>
    <w:rsid w:val="00AE7DC2"/>
    <w:rsid w:val="00AF07AF"/>
    <w:rsid w:val="00AF7C13"/>
    <w:rsid w:val="00B15F55"/>
    <w:rsid w:val="00B15FCB"/>
    <w:rsid w:val="00B16272"/>
    <w:rsid w:val="00B44488"/>
    <w:rsid w:val="00B45BF5"/>
    <w:rsid w:val="00B57BF7"/>
    <w:rsid w:val="00B77663"/>
    <w:rsid w:val="00B957D6"/>
    <w:rsid w:val="00BB4E75"/>
    <w:rsid w:val="00BE2F42"/>
    <w:rsid w:val="00C25749"/>
    <w:rsid w:val="00C70F5C"/>
    <w:rsid w:val="00C807F5"/>
    <w:rsid w:val="00C91CB9"/>
    <w:rsid w:val="00C94582"/>
    <w:rsid w:val="00C958CA"/>
    <w:rsid w:val="00CA14BB"/>
    <w:rsid w:val="00CA6DB3"/>
    <w:rsid w:val="00CA7280"/>
    <w:rsid w:val="00CB5624"/>
    <w:rsid w:val="00CC3227"/>
    <w:rsid w:val="00CC4BA6"/>
    <w:rsid w:val="00CD0A62"/>
    <w:rsid w:val="00CD45D6"/>
    <w:rsid w:val="00CF054A"/>
    <w:rsid w:val="00CF5D8E"/>
    <w:rsid w:val="00D00ABD"/>
    <w:rsid w:val="00D03928"/>
    <w:rsid w:val="00D07538"/>
    <w:rsid w:val="00D22187"/>
    <w:rsid w:val="00D2484B"/>
    <w:rsid w:val="00D24CBD"/>
    <w:rsid w:val="00D32DD5"/>
    <w:rsid w:val="00D40177"/>
    <w:rsid w:val="00D510FA"/>
    <w:rsid w:val="00D765AB"/>
    <w:rsid w:val="00DA4014"/>
    <w:rsid w:val="00DB1BB6"/>
    <w:rsid w:val="00DB4F3B"/>
    <w:rsid w:val="00DC0240"/>
    <w:rsid w:val="00DC21D4"/>
    <w:rsid w:val="00DC2339"/>
    <w:rsid w:val="00DC2798"/>
    <w:rsid w:val="00DC732B"/>
    <w:rsid w:val="00DD26EF"/>
    <w:rsid w:val="00DE04A7"/>
    <w:rsid w:val="00DF22EE"/>
    <w:rsid w:val="00E0147C"/>
    <w:rsid w:val="00E35B8A"/>
    <w:rsid w:val="00E378D4"/>
    <w:rsid w:val="00E401FE"/>
    <w:rsid w:val="00E47B3F"/>
    <w:rsid w:val="00E52FCA"/>
    <w:rsid w:val="00E56354"/>
    <w:rsid w:val="00E63521"/>
    <w:rsid w:val="00E7585F"/>
    <w:rsid w:val="00EA3F1F"/>
    <w:rsid w:val="00EB3F83"/>
    <w:rsid w:val="00EC4A73"/>
    <w:rsid w:val="00ED52A9"/>
    <w:rsid w:val="00EE517B"/>
    <w:rsid w:val="00F15A35"/>
    <w:rsid w:val="00F3316D"/>
    <w:rsid w:val="00F60A8E"/>
    <w:rsid w:val="00F6635D"/>
    <w:rsid w:val="00FB2509"/>
    <w:rsid w:val="00FD31E2"/>
    <w:rsid w:val="00FD3DC2"/>
    <w:rsid w:val="00FD6E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72E6D8"/>
  <w14:defaultImageDpi w14:val="0"/>
  <w15:docId w15:val="{F38C5462-CFE0-4B71-A63E-73BF9729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15A35"/>
    <w:pPr>
      <w:keepNext/>
      <w:keepLines/>
      <w:spacing w:before="480" w:after="0"/>
      <w:outlineLvl w:val="0"/>
    </w:pPr>
    <w:rPr>
      <w:rFonts w:ascii="Times New Roman" w:eastAsiaTheme="majorEastAsia" w:hAnsi="Times New Roman" w:cstheme="majorBidi"/>
      <w:b/>
      <w:bCs/>
      <w:color w:val="1F497D" w:themeColor="text2"/>
      <w:sz w:val="24"/>
      <w:szCs w:val="28"/>
    </w:rPr>
  </w:style>
  <w:style w:type="paragraph" w:styleId="Heading2">
    <w:name w:val="heading 2"/>
    <w:basedOn w:val="Normal"/>
    <w:next w:val="Normal"/>
    <w:link w:val="Heading2Char"/>
    <w:uiPriority w:val="9"/>
    <w:unhideWhenUsed/>
    <w:qFormat/>
    <w:rsid w:val="00F15A35"/>
    <w:pPr>
      <w:keepNext/>
      <w:keepLines/>
      <w:spacing w:before="200" w:after="0"/>
      <w:outlineLvl w:val="1"/>
    </w:pPr>
    <w:rPr>
      <w:rFonts w:ascii="Times New Roman" w:eastAsiaTheme="majorEastAsia" w:hAnsi="Times New Roman" w:cstheme="majorBidi"/>
      <w:b/>
      <w:bCs/>
      <w:color w:val="1F497D" w:themeColor="text2"/>
      <w:sz w:val="24"/>
      <w:szCs w:val="26"/>
    </w:rPr>
  </w:style>
  <w:style w:type="paragraph" w:styleId="Heading3">
    <w:name w:val="heading 3"/>
    <w:basedOn w:val="Normal"/>
    <w:next w:val="Normal"/>
    <w:link w:val="Heading3Char"/>
    <w:uiPriority w:val="9"/>
    <w:unhideWhenUsed/>
    <w:qFormat/>
    <w:rsid w:val="00F60A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84DB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2CF"/>
    <w:rPr>
      <w:rFonts w:ascii="Tahoma" w:hAnsi="Tahoma" w:cs="Tahoma"/>
      <w:sz w:val="16"/>
      <w:szCs w:val="16"/>
    </w:rPr>
  </w:style>
  <w:style w:type="table" w:styleId="TableGrid">
    <w:name w:val="Table Grid"/>
    <w:basedOn w:val="TableNormal"/>
    <w:uiPriority w:val="59"/>
    <w:rsid w:val="0092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2CF"/>
    <w:rPr>
      <w:sz w:val="22"/>
      <w:szCs w:val="22"/>
    </w:rPr>
  </w:style>
  <w:style w:type="paragraph" w:styleId="Footer">
    <w:name w:val="footer"/>
    <w:basedOn w:val="Normal"/>
    <w:link w:val="FooterChar"/>
    <w:uiPriority w:val="99"/>
    <w:unhideWhenUsed/>
    <w:rsid w:val="00924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2CF"/>
    <w:rPr>
      <w:sz w:val="22"/>
      <w:szCs w:val="22"/>
    </w:rPr>
  </w:style>
  <w:style w:type="character" w:customStyle="1" w:styleId="Heading1Char">
    <w:name w:val="Heading 1 Char"/>
    <w:basedOn w:val="DefaultParagraphFont"/>
    <w:link w:val="Heading1"/>
    <w:uiPriority w:val="9"/>
    <w:rsid w:val="00F15A35"/>
    <w:rPr>
      <w:rFonts w:ascii="Times New Roman" w:eastAsiaTheme="majorEastAsia" w:hAnsi="Times New Roman" w:cstheme="majorBidi"/>
      <w:b/>
      <w:bCs/>
      <w:color w:val="1F497D" w:themeColor="text2"/>
      <w:sz w:val="24"/>
      <w:szCs w:val="28"/>
    </w:rPr>
  </w:style>
  <w:style w:type="paragraph" w:styleId="TOCHeading">
    <w:name w:val="TOC Heading"/>
    <w:basedOn w:val="Heading1"/>
    <w:next w:val="Normal"/>
    <w:uiPriority w:val="39"/>
    <w:semiHidden/>
    <w:unhideWhenUsed/>
    <w:qFormat/>
    <w:rsid w:val="00EE517B"/>
    <w:pPr>
      <w:outlineLvl w:val="9"/>
    </w:pPr>
    <w:rPr>
      <w:lang w:val="en-US" w:eastAsia="ja-JP"/>
    </w:rPr>
  </w:style>
  <w:style w:type="paragraph" w:styleId="TOC1">
    <w:name w:val="toc 1"/>
    <w:basedOn w:val="Normal"/>
    <w:next w:val="Normal"/>
    <w:autoRedefine/>
    <w:uiPriority w:val="39"/>
    <w:unhideWhenUsed/>
    <w:rsid w:val="004F5DDD"/>
    <w:pPr>
      <w:tabs>
        <w:tab w:val="right" w:leader="dot" w:pos="9214"/>
      </w:tabs>
      <w:spacing w:after="100"/>
    </w:pPr>
  </w:style>
  <w:style w:type="character" w:styleId="Hyperlink">
    <w:name w:val="Hyperlink"/>
    <w:basedOn w:val="DefaultParagraphFont"/>
    <w:uiPriority w:val="99"/>
    <w:unhideWhenUsed/>
    <w:rsid w:val="00EE517B"/>
    <w:rPr>
      <w:color w:val="0000FF" w:themeColor="hyperlink"/>
      <w:u w:val="single"/>
    </w:rPr>
  </w:style>
  <w:style w:type="character" w:styleId="CommentReference">
    <w:name w:val="annotation reference"/>
    <w:aliases w:val="Stinking Styles6"/>
    <w:basedOn w:val="DefaultParagraphFont"/>
    <w:uiPriority w:val="99"/>
    <w:rsid w:val="00CD0A62"/>
    <w:rPr>
      <w:rFonts w:cs="Times New Roman"/>
      <w:sz w:val="16"/>
    </w:rPr>
  </w:style>
  <w:style w:type="paragraph" w:styleId="CommentText">
    <w:name w:val="annotation text"/>
    <w:aliases w:val="Stinking Styles5"/>
    <w:basedOn w:val="Normal"/>
    <w:link w:val="CommentTextChar1"/>
    <w:uiPriority w:val="99"/>
    <w:rsid w:val="00CD0A62"/>
    <w:rPr>
      <w:rFonts w:ascii="Arial" w:hAnsi="Arial"/>
      <w:sz w:val="20"/>
      <w:szCs w:val="20"/>
      <w:lang w:eastAsia="de-DE"/>
    </w:rPr>
  </w:style>
  <w:style w:type="character" w:customStyle="1" w:styleId="CommentTextChar">
    <w:name w:val="Comment Text Char"/>
    <w:basedOn w:val="DefaultParagraphFont"/>
    <w:uiPriority w:val="99"/>
    <w:semiHidden/>
    <w:rsid w:val="00CD0A62"/>
  </w:style>
  <w:style w:type="character" w:customStyle="1" w:styleId="CommentTextChar1">
    <w:name w:val="Comment Text Char1"/>
    <w:aliases w:val="Stinking Styles5 Char"/>
    <w:basedOn w:val="DefaultParagraphFont"/>
    <w:link w:val="CommentText"/>
    <w:rsid w:val="00CD0A62"/>
    <w:rPr>
      <w:rFonts w:ascii="Arial" w:hAnsi="Arial"/>
      <w:lang w:eastAsia="de-DE"/>
    </w:rPr>
  </w:style>
  <w:style w:type="paragraph" w:customStyle="1" w:styleId="Artnr">
    <w:name w:val="Art nr"/>
    <w:basedOn w:val="Normal"/>
    <w:next w:val="Normal"/>
    <w:link w:val="ArtnrChar"/>
    <w:qFormat/>
    <w:rsid w:val="00CD0A62"/>
    <w:pPr>
      <w:keepNext/>
      <w:keepLines/>
      <w:numPr>
        <w:numId w:val="1"/>
      </w:numPr>
      <w:spacing w:before="240" w:after="240" w:line="288" w:lineRule="auto"/>
      <w:ind w:left="0" w:firstLine="170"/>
      <w:jc w:val="center"/>
      <w:outlineLvl w:val="2"/>
    </w:pPr>
    <w:rPr>
      <w:rFonts w:ascii="Times New Roman" w:hAnsi="Times New Roman"/>
      <w:b/>
      <w:color w:val="1F497D" w:themeColor="text2"/>
      <w:sz w:val="24"/>
      <w:szCs w:val="24"/>
      <w:lang w:val="de-DE" w:eastAsia="de-DE"/>
    </w:rPr>
  </w:style>
  <w:style w:type="character" w:customStyle="1" w:styleId="ArtnrChar">
    <w:name w:val="Art nr Char"/>
    <w:basedOn w:val="DefaultParagraphFont"/>
    <w:link w:val="Artnr"/>
    <w:rsid w:val="00CD0A62"/>
    <w:rPr>
      <w:rFonts w:ascii="Times New Roman" w:hAnsi="Times New Roman"/>
      <w:b/>
      <w:color w:val="1F497D" w:themeColor="text2"/>
      <w:sz w:val="24"/>
      <w:szCs w:val="24"/>
      <w:lang w:val="de-DE" w:eastAsia="de-DE"/>
    </w:rPr>
  </w:style>
  <w:style w:type="paragraph" w:customStyle="1" w:styleId="Paragrapgh-numbered">
    <w:name w:val="Paragrapgh - numbered"/>
    <w:basedOn w:val="Normal"/>
    <w:link w:val="Paragrapgh-numberedChar"/>
    <w:qFormat/>
    <w:rsid w:val="00F15A35"/>
    <w:pPr>
      <w:numPr>
        <w:numId w:val="37"/>
      </w:numPr>
      <w:spacing w:after="120" w:line="288" w:lineRule="auto"/>
      <w:jc w:val="both"/>
    </w:pPr>
    <w:rPr>
      <w:rFonts w:ascii="Arial" w:hAnsi="Arial" w:cstheme="minorHAnsi"/>
      <w:lang w:val="en-US" w:eastAsia="de-DE"/>
    </w:rPr>
  </w:style>
  <w:style w:type="character" w:customStyle="1" w:styleId="Paragrapgh-numberedChar">
    <w:name w:val="Paragrapgh - numbered Char"/>
    <w:basedOn w:val="DefaultParagraphFont"/>
    <w:link w:val="Paragrapgh-numbered"/>
    <w:rsid w:val="00F15A35"/>
    <w:rPr>
      <w:rFonts w:ascii="Arial" w:hAnsi="Arial" w:cstheme="minorHAnsi"/>
      <w:sz w:val="22"/>
      <w:szCs w:val="22"/>
      <w:lang w:val="en-US" w:eastAsia="de-DE"/>
    </w:rPr>
  </w:style>
  <w:style w:type="table" w:styleId="LightList-Accent1">
    <w:name w:val="Light List Accent 1"/>
    <w:basedOn w:val="TableNormal"/>
    <w:uiPriority w:val="61"/>
    <w:rsid w:val="00CD0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F15A35"/>
    <w:rPr>
      <w:rFonts w:ascii="Times New Roman" w:eastAsiaTheme="majorEastAsia" w:hAnsi="Times New Roman" w:cstheme="majorBidi"/>
      <w:b/>
      <w:bCs/>
      <w:color w:val="1F497D" w:themeColor="text2"/>
      <w:sz w:val="24"/>
      <w:szCs w:val="26"/>
    </w:rPr>
  </w:style>
  <w:style w:type="paragraph" w:styleId="NoSpacing">
    <w:name w:val="No Spacing"/>
    <w:uiPriority w:val="1"/>
    <w:qFormat/>
    <w:rsid w:val="00F60A8E"/>
    <w:rPr>
      <w:sz w:val="22"/>
      <w:szCs w:val="22"/>
    </w:rPr>
  </w:style>
  <w:style w:type="character" w:customStyle="1" w:styleId="Heading3Char">
    <w:name w:val="Heading 3 Char"/>
    <w:basedOn w:val="DefaultParagraphFont"/>
    <w:link w:val="Heading3"/>
    <w:uiPriority w:val="9"/>
    <w:rsid w:val="00F60A8E"/>
    <w:rPr>
      <w:rFonts w:asciiTheme="majorHAnsi" w:eastAsiaTheme="majorEastAsia" w:hAnsiTheme="majorHAnsi" w:cstheme="majorBidi"/>
      <w:b/>
      <w:bCs/>
      <w:color w:val="4F81BD" w:themeColor="accent1"/>
      <w:sz w:val="22"/>
      <w:szCs w:val="22"/>
    </w:rPr>
  </w:style>
  <w:style w:type="paragraph" w:styleId="TOC2">
    <w:name w:val="toc 2"/>
    <w:basedOn w:val="Normal"/>
    <w:next w:val="Normal"/>
    <w:autoRedefine/>
    <w:uiPriority w:val="39"/>
    <w:unhideWhenUsed/>
    <w:rsid w:val="00AE7DC2"/>
    <w:pPr>
      <w:spacing w:after="100"/>
      <w:ind w:left="220"/>
    </w:pPr>
  </w:style>
  <w:style w:type="paragraph" w:styleId="Title">
    <w:name w:val="Title"/>
    <w:basedOn w:val="Normal"/>
    <w:next w:val="Normal"/>
    <w:link w:val="TitleChar"/>
    <w:uiPriority w:val="10"/>
    <w:qFormat/>
    <w:rsid w:val="004A7E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7EF0"/>
    <w:rPr>
      <w:rFonts w:asciiTheme="majorHAnsi" w:eastAsiaTheme="majorEastAsia" w:hAnsiTheme="majorHAnsi" w:cstheme="majorBidi"/>
      <w:color w:val="17365D" w:themeColor="text2" w:themeShade="BF"/>
      <w:spacing w:val="5"/>
      <w:kern w:val="28"/>
      <w:sz w:val="52"/>
      <w:szCs w:val="52"/>
    </w:rPr>
  </w:style>
  <w:style w:type="paragraph" w:customStyle="1" w:styleId="MMTopic5">
    <w:name w:val="MM Topic 5"/>
    <w:basedOn w:val="Heading5"/>
    <w:link w:val="MMTopic5Char"/>
    <w:rsid w:val="00184DBA"/>
    <w:pPr>
      <w:spacing w:before="200"/>
    </w:pPr>
    <w:rPr>
      <w:color w:val="243F60" w:themeColor="accent1" w:themeShade="7F"/>
      <w:lang w:eastAsia="en-US"/>
    </w:rPr>
  </w:style>
  <w:style w:type="character" w:customStyle="1" w:styleId="MMTopic5Char">
    <w:name w:val="MM Topic 5 Char"/>
    <w:basedOn w:val="Heading5Char"/>
    <w:link w:val="MMTopic5"/>
    <w:rsid w:val="00184DBA"/>
    <w:rPr>
      <w:rFonts w:asciiTheme="majorHAnsi" w:eastAsiaTheme="majorEastAsia" w:hAnsiTheme="majorHAnsi" w:cstheme="majorBidi"/>
      <w:color w:val="243F60" w:themeColor="accent1" w:themeShade="7F"/>
      <w:sz w:val="22"/>
      <w:szCs w:val="22"/>
      <w:lang w:eastAsia="en-US"/>
    </w:rPr>
  </w:style>
  <w:style w:type="paragraph" w:styleId="ListParagraph">
    <w:name w:val="List Paragraph"/>
    <w:basedOn w:val="Normal"/>
    <w:uiPriority w:val="34"/>
    <w:qFormat/>
    <w:rsid w:val="00184DBA"/>
    <w:pPr>
      <w:ind w:left="720"/>
      <w:contextualSpacing/>
    </w:pPr>
    <w:rPr>
      <w:rFonts w:asciiTheme="minorHAnsi" w:eastAsiaTheme="minorHAnsi" w:hAnsiTheme="minorHAnsi" w:cstheme="minorBidi"/>
      <w:lang w:eastAsia="en-US"/>
    </w:rPr>
  </w:style>
  <w:style w:type="character" w:customStyle="1" w:styleId="Heading5Char">
    <w:name w:val="Heading 5 Char"/>
    <w:basedOn w:val="DefaultParagraphFont"/>
    <w:link w:val="Heading5"/>
    <w:uiPriority w:val="9"/>
    <w:semiHidden/>
    <w:rsid w:val="00184DBA"/>
    <w:rPr>
      <w:rFonts w:asciiTheme="majorHAnsi" w:eastAsiaTheme="majorEastAsia" w:hAnsiTheme="majorHAnsi" w:cstheme="majorBidi"/>
      <w:color w:val="365F91" w:themeColor="accent1" w:themeShade="BF"/>
      <w:sz w:val="22"/>
      <w:szCs w:val="22"/>
    </w:rPr>
  </w:style>
  <w:style w:type="paragraph" w:styleId="TOC3">
    <w:name w:val="toc 3"/>
    <w:basedOn w:val="Normal"/>
    <w:next w:val="Normal"/>
    <w:autoRedefine/>
    <w:uiPriority w:val="39"/>
    <w:unhideWhenUsed/>
    <w:rsid w:val="00655220"/>
    <w:pPr>
      <w:spacing w:after="100"/>
      <w:ind w:left="440"/>
    </w:pPr>
  </w:style>
  <w:style w:type="paragraph" w:customStyle="1" w:styleId="CM1">
    <w:name w:val="CM1"/>
    <w:basedOn w:val="Normal"/>
    <w:next w:val="Normal"/>
    <w:uiPriority w:val="99"/>
    <w:rsid w:val="006857EA"/>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6857EA"/>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6857EA"/>
    <w:pPr>
      <w:autoSpaceDE w:val="0"/>
      <w:autoSpaceDN w:val="0"/>
      <w:adjustRightInd w:val="0"/>
      <w:spacing w:after="0" w:line="240" w:lineRule="auto"/>
    </w:pPr>
    <w:rPr>
      <w:rFonts w:ascii="EUAlbertina" w:hAnsi="EUAlbertina"/>
      <w:sz w:val="24"/>
      <w:szCs w:val="24"/>
    </w:rPr>
  </w:style>
  <w:style w:type="paragraph" w:styleId="FootnoteText">
    <w:name w:val="footnote text"/>
    <w:basedOn w:val="Normal"/>
    <w:link w:val="FootnoteTextChar"/>
    <w:uiPriority w:val="99"/>
    <w:semiHidden/>
    <w:unhideWhenUsed/>
    <w:rsid w:val="003E0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4B6"/>
  </w:style>
  <w:style w:type="character" w:styleId="FootnoteReference">
    <w:name w:val="footnote reference"/>
    <w:basedOn w:val="DefaultParagraphFont"/>
    <w:uiPriority w:val="99"/>
    <w:semiHidden/>
    <w:unhideWhenUsed/>
    <w:rsid w:val="003E04B6"/>
    <w:rPr>
      <w:vertAlign w:val="superscript"/>
    </w:rPr>
  </w:style>
  <w:style w:type="paragraph" w:styleId="CommentSubject">
    <w:name w:val="annotation subject"/>
    <w:basedOn w:val="CommentText"/>
    <w:next w:val="CommentText"/>
    <w:link w:val="CommentSubjectChar"/>
    <w:uiPriority w:val="99"/>
    <w:semiHidden/>
    <w:unhideWhenUsed/>
    <w:rsid w:val="008E7A50"/>
    <w:pPr>
      <w:spacing w:line="240" w:lineRule="auto"/>
    </w:pPr>
    <w:rPr>
      <w:rFonts w:ascii="Calibri" w:hAnsi="Calibri"/>
      <w:b/>
      <w:bCs/>
      <w:lang w:eastAsia="en-GB"/>
    </w:rPr>
  </w:style>
  <w:style w:type="character" w:customStyle="1" w:styleId="CommentSubjectChar">
    <w:name w:val="Comment Subject Char"/>
    <w:basedOn w:val="CommentTextChar1"/>
    <w:link w:val="CommentSubject"/>
    <w:uiPriority w:val="99"/>
    <w:semiHidden/>
    <w:rsid w:val="008E7A50"/>
    <w:rPr>
      <w:rFonts w:ascii="Arial" w:hAnsi="Arial"/>
      <w:b/>
      <w:bCs/>
      <w:lang w:eastAsia="de-DE"/>
    </w:rPr>
  </w:style>
  <w:style w:type="paragraph" w:styleId="Revision">
    <w:name w:val="Revision"/>
    <w:hidden/>
    <w:uiPriority w:val="99"/>
    <w:semiHidden/>
    <w:rsid w:val="00DC2798"/>
    <w:rPr>
      <w:sz w:val="22"/>
      <w:szCs w:val="22"/>
    </w:rPr>
  </w:style>
  <w:style w:type="character" w:styleId="Mention">
    <w:name w:val="Mention"/>
    <w:basedOn w:val="DefaultParagraphFont"/>
    <w:uiPriority w:val="99"/>
    <w:semiHidden/>
    <w:unhideWhenUsed/>
    <w:rsid w:val="00861FE3"/>
    <w:rPr>
      <w:color w:val="2B579A"/>
      <w:shd w:val="clear" w:color="auto" w:fill="E6E6E6"/>
    </w:rPr>
  </w:style>
  <w:style w:type="character" w:styleId="FollowedHyperlink">
    <w:name w:val="FollowedHyperlink"/>
    <w:basedOn w:val="DefaultParagraphFont"/>
    <w:uiPriority w:val="99"/>
    <w:semiHidden/>
    <w:unhideWhenUsed/>
    <w:rsid w:val="00493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n.wikipedia.org/wiki/SCADA" TargetMode="External"/><Relationship Id="rId3" Type="http://schemas.openxmlformats.org/officeDocument/2006/relationships/customXml" Target="../customXml/item3.xml"/><Relationship Id="rId21" Type="http://schemas.openxmlformats.org/officeDocument/2006/relationships/hyperlink" Target="https://standards.globalspec.com/std/9951475/ng-ts-3-24-03"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transparency.entsoe.eu/" TargetMode="External"/><Relationship Id="rId20" Type="http://schemas.openxmlformats.org/officeDocument/2006/relationships/hyperlink" Target="https://www.nationalgrid.com/uk/electricity/codes/grid-code/electrical-standards-docu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ationalgrid.com/sites/default/files/documents/A%20Guide%20to%20EDT%20EDL%20and%20CT%20with%20National%20Grid%20Issue%20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grid.com/uk/electricity/codes/grid-code/modifications/gc0114-system-operation-guideline-prequalification" TargetMode="External"/><Relationship Id="rId2" Type="http://schemas.openxmlformats.org/officeDocument/2006/relationships/hyperlink" Target="https://www.ofgem.gov.uk/publications-and-updates/decision-assignment-transmission-system-operator-obligations-under-guideline-electricity-transmission-system-operation-regulation-within-gb" TargetMode="External"/><Relationship Id="rId1" Type="http://schemas.openxmlformats.org/officeDocument/2006/relationships/hyperlink" Target="https://www.ofgem.gov.uk/publications-and-updates/future-arrangements-electricity-system-operator-response-consultation-so-sepa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and_x0020_time xmlns="f6735893-03d1-4b5c-93f0-2ac1c56603d6">2018-07-14T23:00:00+00:00</Date_x0020_and_x0020_ti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2497F387DEA4C977588B99327BEC3" ma:contentTypeVersion="1" ma:contentTypeDescription="Create a new document." ma:contentTypeScope="" ma:versionID="fdfa4b9edc1ae0c4a8af46f50e980bc7">
  <xsd:schema xmlns:xsd="http://www.w3.org/2001/XMLSchema" xmlns:xs="http://www.w3.org/2001/XMLSchema" xmlns:p="http://schemas.microsoft.com/office/2006/metadata/properties" xmlns:ns2="f6735893-03d1-4b5c-93f0-2ac1c56603d6" targetNamespace="http://schemas.microsoft.com/office/2006/metadata/properties" ma:root="true" ma:fieldsID="ccb1d98dbd21119745c988dacf073c74" ns2:_="">
    <xsd:import namespace="f6735893-03d1-4b5c-93f0-2ac1c56603d6"/>
    <xsd:element name="properties">
      <xsd:complexType>
        <xsd:sequence>
          <xsd:element name="documentManagement">
            <xsd:complexType>
              <xsd:all>
                <xsd:element ref="ns2: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35893-03d1-4b5c-93f0-2ac1c56603d6" elementFormDefault="qualified">
    <xsd:import namespace="http://schemas.microsoft.com/office/2006/documentManagement/types"/>
    <xsd:import namespace="http://schemas.microsoft.com/office/infopath/2007/PartnerControls"/>
    <xsd:element name="Date_x0020_and_x0020_time" ma:index="8" nillable="true" ma:displayName="Date and time" ma:format="DateOnly"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549B-483D-4F10-82DB-415D8C860605}">
  <ds:schemaRefs>
    <ds:schemaRef ds:uri="http://schemas.microsoft.com/sharepoint/v3/contenttype/forms"/>
  </ds:schemaRefs>
</ds:datastoreItem>
</file>

<file path=customXml/itemProps2.xml><?xml version="1.0" encoding="utf-8"?>
<ds:datastoreItem xmlns:ds="http://schemas.openxmlformats.org/officeDocument/2006/customXml" ds:itemID="{32B5220B-3547-4273-A789-E941DD6DDE80}">
  <ds:schemaRefs>
    <ds:schemaRef ds:uri="http://schemas.microsoft.com/office/2006/metadata/properties"/>
    <ds:schemaRef ds:uri="http://schemas.microsoft.com/office/infopath/2007/PartnerControls"/>
    <ds:schemaRef ds:uri="f6735893-03d1-4b5c-93f0-2ac1c56603d6"/>
  </ds:schemaRefs>
</ds:datastoreItem>
</file>

<file path=customXml/itemProps3.xml><?xml version="1.0" encoding="utf-8"?>
<ds:datastoreItem xmlns:ds="http://schemas.openxmlformats.org/officeDocument/2006/customXml" ds:itemID="{CADD08FF-B5B3-48F3-90C8-87DF5661F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35893-03d1-4b5c-93f0-2ac1c5660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B41AB-8652-40C5-92CF-5AB81B41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12380</Words>
  <Characters>70570</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Supporting document to the Synchronous Area Operational Methodologies docuement</vt:lpstr>
    </vt:vector>
  </TitlesOfParts>
  <Company>National Grid</Company>
  <LinksUpToDate>false</LinksUpToDate>
  <CharactersWithSpaces>82785</CharactersWithSpaces>
  <SharedDoc>false</SharedDoc>
  <HLinks>
    <vt:vector size="12" baseType="variant">
      <vt:variant>
        <vt:i4>3145755</vt:i4>
      </vt:variant>
      <vt:variant>
        <vt:i4>0</vt:i4>
      </vt:variant>
      <vt:variant>
        <vt:i4>0</vt:i4>
      </vt:variant>
      <vt:variant>
        <vt:i4>5</vt:i4>
      </vt:variant>
      <vt:variant>
        <vt:lpwstr>mailto:info@entsoe.eu</vt:lpwstr>
      </vt:variant>
      <vt:variant>
        <vt:lpwstr/>
      </vt:variant>
      <vt:variant>
        <vt:i4>3145755</vt:i4>
      </vt:variant>
      <vt:variant>
        <vt:i4>3</vt:i4>
      </vt:variant>
      <vt:variant>
        <vt:i4>0</vt:i4>
      </vt:variant>
      <vt:variant>
        <vt:i4>5</vt:i4>
      </vt:variant>
      <vt:variant>
        <vt:lpwstr>mailto:info@entsoe.eu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document to the Synchronous Area Operational Methodologies docuement</dc:title>
  <dc:subject/>
  <dc:creator>david.bunney@nationalgrid.com</dc:creator>
  <cp:keywords/>
  <dc:description/>
  <cp:lastModifiedBy>Steiner, Michelle</cp:lastModifiedBy>
  <cp:revision>2</cp:revision>
  <cp:lastPrinted>2018-07-15T14:37:00Z</cp:lastPrinted>
  <dcterms:created xsi:type="dcterms:W3CDTF">2018-07-20T07:09:00Z</dcterms:created>
  <dcterms:modified xsi:type="dcterms:W3CDTF">2018-07-20T07:09:00Z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0x010100F262497F387DEA4C977588B99327BEC3</vt:lpwstr>
  </property>
</Properties>
</file>