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5575F" w14:textId="77777777" w:rsidR="00FF1AB2" w:rsidRPr="00323B2A" w:rsidRDefault="00FF1AB2" w:rsidP="00FF1AB2"/>
    <w:p w14:paraId="72F5957A" w14:textId="06ADD012" w:rsidR="00FF1AB2" w:rsidRPr="00323B2A" w:rsidRDefault="00D61DE5" w:rsidP="00BF670E">
      <w:pPr>
        <w:tabs>
          <w:tab w:val="left" w:pos="3555"/>
        </w:tabs>
      </w:pPr>
      <w:r>
        <w:tab/>
      </w:r>
    </w:p>
    <w:p w14:paraId="52744B7A" w14:textId="77777777" w:rsidR="00FF1AB2" w:rsidRPr="00323B2A" w:rsidRDefault="00FF1AB2" w:rsidP="00FF1AB2"/>
    <w:p w14:paraId="52805F5C" w14:textId="77777777" w:rsidR="00FF1AB2" w:rsidRPr="00323B2A" w:rsidRDefault="00FF1AB2" w:rsidP="00FF1AB2"/>
    <w:p w14:paraId="21D736AC" w14:textId="77777777" w:rsidR="00FF1AB2" w:rsidRPr="00323B2A" w:rsidRDefault="00FF1AB2" w:rsidP="00FF1AB2">
      <w:pPr>
        <w:pStyle w:val="Title"/>
      </w:pPr>
    </w:p>
    <w:p w14:paraId="58592DB0" w14:textId="47AFB327" w:rsidR="00FF1AB2" w:rsidRPr="00323B2A" w:rsidRDefault="006212B2" w:rsidP="00FF1AB2">
      <w:pPr>
        <w:pStyle w:val="Title"/>
      </w:pPr>
      <w:r w:rsidRPr="00323B2A">
        <w:t xml:space="preserve">GB Synchronous Area </w:t>
      </w:r>
      <w:r w:rsidR="009C015F" w:rsidRPr="00323B2A">
        <w:t>Operati</w:t>
      </w:r>
      <w:r w:rsidR="007C1C58" w:rsidRPr="00323B2A">
        <w:t xml:space="preserve">onal </w:t>
      </w:r>
      <w:r w:rsidR="008E7123">
        <w:t>Methodologies</w:t>
      </w:r>
      <w:r w:rsidR="00FF1AB2" w:rsidRPr="00323B2A">
        <w:br/>
      </w:r>
    </w:p>
    <w:p w14:paraId="703AA488" w14:textId="77777777" w:rsidR="00FF1AB2" w:rsidRPr="00323B2A" w:rsidRDefault="00FF1AB2" w:rsidP="00FF1AB2"/>
    <w:p w14:paraId="14C6EF51" w14:textId="77777777" w:rsidR="006212B2" w:rsidRPr="00323B2A" w:rsidRDefault="006212B2" w:rsidP="006212B2"/>
    <w:p w14:paraId="2ED7BE49" w14:textId="77777777" w:rsidR="00C4001B" w:rsidRPr="00323B2A" w:rsidRDefault="00C4001B" w:rsidP="00C4001B">
      <w:r w:rsidRPr="00323B2A">
        <w:t>Revision History</w:t>
      </w:r>
    </w:p>
    <w:tbl>
      <w:tblPr>
        <w:tblW w:w="8782" w:type="dxa"/>
        <w:tblInd w:w="101" w:type="dxa"/>
        <w:tblLayout w:type="fixed"/>
        <w:tblCellMar>
          <w:left w:w="0" w:type="dxa"/>
          <w:right w:w="0" w:type="dxa"/>
        </w:tblCellMar>
        <w:tblLook w:val="01E0" w:firstRow="1" w:lastRow="1" w:firstColumn="1" w:lastColumn="1" w:noHBand="0" w:noVBand="0"/>
      </w:tblPr>
      <w:tblGrid>
        <w:gridCol w:w="705"/>
        <w:gridCol w:w="781"/>
        <w:gridCol w:w="1342"/>
        <w:gridCol w:w="1607"/>
        <w:gridCol w:w="4347"/>
      </w:tblGrid>
      <w:tr w:rsidR="00165AB9" w:rsidRPr="00323B2A" w14:paraId="17FD79D2" w14:textId="77777777" w:rsidTr="00365D34">
        <w:trPr>
          <w:trHeight w:hRule="exact" w:val="723"/>
        </w:trPr>
        <w:tc>
          <w:tcPr>
            <w:tcW w:w="705" w:type="dxa"/>
            <w:tcBorders>
              <w:top w:val="nil"/>
              <w:left w:val="nil"/>
              <w:bottom w:val="nil"/>
              <w:right w:val="nil"/>
            </w:tcBorders>
          </w:tcPr>
          <w:p w14:paraId="25ABB16A" w14:textId="77777777" w:rsidR="00165AB9" w:rsidRPr="00323B2A" w:rsidRDefault="00165AB9" w:rsidP="004A495F">
            <w:pPr>
              <w:spacing w:before="71" w:after="0" w:line="240" w:lineRule="auto"/>
              <w:ind w:left="119" w:right="-20"/>
              <w:rPr>
                <w:rFonts w:ascii="Arial" w:eastAsia="Arial" w:hAnsi="Arial" w:cs="Arial"/>
                <w:b/>
              </w:rPr>
            </w:pPr>
          </w:p>
        </w:tc>
        <w:tc>
          <w:tcPr>
            <w:tcW w:w="781" w:type="dxa"/>
            <w:tcBorders>
              <w:top w:val="nil"/>
              <w:left w:val="nil"/>
              <w:bottom w:val="nil"/>
              <w:right w:val="nil"/>
            </w:tcBorders>
          </w:tcPr>
          <w:p w14:paraId="46C20081" w14:textId="77777777" w:rsidR="00165AB9" w:rsidRPr="00323B2A" w:rsidRDefault="0069514C" w:rsidP="0069514C">
            <w:pPr>
              <w:spacing w:before="71" w:after="0" w:line="240" w:lineRule="auto"/>
              <w:ind w:left="134" w:right="-20"/>
              <w:rPr>
                <w:rFonts w:ascii="Arial" w:eastAsia="Arial" w:hAnsi="Arial" w:cs="Arial"/>
                <w:b/>
              </w:rPr>
            </w:pPr>
            <w:r w:rsidRPr="00323B2A">
              <w:rPr>
                <w:rFonts w:ascii="Arial" w:eastAsia="Arial" w:hAnsi="Arial" w:cs="Arial"/>
                <w:b/>
              </w:rPr>
              <w:t>V0.1</w:t>
            </w:r>
          </w:p>
        </w:tc>
        <w:tc>
          <w:tcPr>
            <w:tcW w:w="1342" w:type="dxa"/>
            <w:tcBorders>
              <w:top w:val="nil"/>
              <w:left w:val="nil"/>
              <w:bottom w:val="nil"/>
              <w:right w:val="nil"/>
            </w:tcBorders>
          </w:tcPr>
          <w:p w14:paraId="1B9A3C44" w14:textId="77777777" w:rsidR="00165AB9" w:rsidRPr="00323B2A" w:rsidRDefault="0069514C" w:rsidP="005F43AD">
            <w:pPr>
              <w:spacing w:before="71" w:after="0" w:line="240" w:lineRule="auto"/>
              <w:ind w:left="73" w:right="-20"/>
              <w:rPr>
                <w:rFonts w:ascii="Arial" w:eastAsia="Arial" w:hAnsi="Arial" w:cs="Arial"/>
                <w:b/>
              </w:rPr>
            </w:pPr>
            <w:r w:rsidRPr="00323B2A">
              <w:rPr>
                <w:rFonts w:ascii="Arial" w:eastAsia="Arial" w:hAnsi="Arial" w:cs="Arial"/>
                <w:b/>
              </w:rPr>
              <w:t>05.0</w:t>
            </w:r>
            <w:r w:rsidR="005F43AD" w:rsidRPr="00323B2A">
              <w:rPr>
                <w:rFonts w:ascii="Arial" w:eastAsia="Arial" w:hAnsi="Arial" w:cs="Arial"/>
                <w:b/>
              </w:rPr>
              <w:t>4.</w:t>
            </w:r>
            <w:r w:rsidRPr="00323B2A">
              <w:rPr>
                <w:rFonts w:ascii="Arial" w:eastAsia="Arial" w:hAnsi="Arial" w:cs="Arial"/>
                <w:b/>
              </w:rPr>
              <w:t>2018</w:t>
            </w:r>
          </w:p>
        </w:tc>
        <w:tc>
          <w:tcPr>
            <w:tcW w:w="1607" w:type="dxa"/>
            <w:tcBorders>
              <w:top w:val="nil"/>
              <w:left w:val="nil"/>
              <w:bottom w:val="nil"/>
              <w:right w:val="nil"/>
            </w:tcBorders>
          </w:tcPr>
          <w:p w14:paraId="0706C9A9" w14:textId="77777777" w:rsidR="00165AB9" w:rsidRPr="00323B2A" w:rsidRDefault="00165AB9" w:rsidP="00A8560C">
            <w:pPr>
              <w:spacing w:before="71" w:after="0" w:line="240" w:lineRule="auto"/>
              <w:ind w:left="169" w:right="-20"/>
              <w:rPr>
                <w:rFonts w:ascii="Arial" w:eastAsia="Arial" w:hAnsi="Arial" w:cs="Arial"/>
                <w:b/>
              </w:rPr>
            </w:pPr>
          </w:p>
        </w:tc>
        <w:tc>
          <w:tcPr>
            <w:tcW w:w="4347" w:type="dxa"/>
            <w:tcBorders>
              <w:top w:val="nil"/>
              <w:left w:val="nil"/>
              <w:bottom w:val="nil"/>
              <w:right w:val="nil"/>
            </w:tcBorders>
          </w:tcPr>
          <w:p w14:paraId="602E9DAC" w14:textId="77777777" w:rsidR="00165AB9" w:rsidRDefault="00273A0D" w:rsidP="001339A1">
            <w:pPr>
              <w:spacing w:before="71" w:after="0" w:line="240" w:lineRule="auto"/>
              <w:ind w:left="231" w:right="-20"/>
              <w:rPr>
                <w:rFonts w:ascii="Arial" w:eastAsia="Arial" w:hAnsi="Arial" w:cs="Arial"/>
                <w:b/>
              </w:rPr>
            </w:pPr>
            <w:r>
              <w:rPr>
                <w:rFonts w:ascii="Arial" w:eastAsia="Arial" w:hAnsi="Arial" w:cs="Arial"/>
                <w:b/>
              </w:rPr>
              <w:t xml:space="preserve">NGET </w:t>
            </w:r>
            <w:r w:rsidR="001339A1" w:rsidRPr="00323B2A">
              <w:rPr>
                <w:rFonts w:ascii="Arial" w:eastAsia="Arial" w:hAnsi="Arial" w:cs="Arial"/>
                <w:b/>
              </w:rPr>
              <w:t>proposal</w:t>
            </w:r>
            <w:r w:rsidR="0069514C" w:rsidRPr="00323B2A">
              <w:rPr>
                <w:rFonts w:ascii="Arial" w:eastAsia="Arial" w:hAnsi="Arial" w:cs="Arial"/>
                <w:b/>
              </w:rPr>
              <w:t xml:space="preserve"> for public consultation </w:t>
            </w:r>
          </w:p>
          <w:p w14:paraId="2A72FA6A" w14:textId="31BAA3E7" w:rsidR="00273A0D" w:rsidRPr="00323B2A" w:rsidRDefault="00273A0D" w:rsidP="001339A1">
            <w:pPr>
              <w:spacing w:before="71" w:after="0" w:line="240" w:lineRule="auto"/>
              <w:ind w:left="231" w:right="-20"/>
              <w:rPr>
                <w:rFonts w:ascii="Arial" w:eastAsia="Arial" w:hAnsi="Arial" w:cs="Arial"/>
                <w:b/>
              </w:rPr>
            </w:pPr>
          </w:p>
        </w:tc>
      </w:tr>
      <w:tr w:rsidR="008A49D4" w:rsidRPr="00323B2A" w14:paraId="2E06F404" w14:textId="77777777" w:rsidTr="00273A0D">
        <w:trPr>
          <w:trHeight w:hRule="exact" w:val="767"/>
        </w:trPr>
        <w:tc>
          <w:tcPr>
            <w:tcW w:w="705" w:type="dxa"/>
            <w:tcBorders>
              <w:top w:val="nil"/>
              <w:left w:val="nil"/>
              <w:bottom w:val="nil"/>
              <w:right w:val="nil"/>
            </w:tcBorders>
          </w:tcPr>
          <w:p w14:paraId="72372170" w14:textId="77777777" w:rsidR="008A49D4" w:rsidRPr="00323B2A" w:rsidRDefault="008A49D4" w:rsidP="006071CF">
            <w:pPr>
              <w:spacing w:before="71" w:after="0" w:line="240" w:lineRule="auto"/>
              <w:ind w:left="119" w:right="-20"/>
              <w:rPr>
                <w:rFonts w:ascii="Arial" w:eastAsia="Arial" w:hAnsi="Arial" w:cs="Arial"/>
                <w:b/>
              </w:rPr>
            </w:pPr>
          </w:p>
        </w:tc>
        <w:tc>
          <w:tcPr>
            <w:tcW w:w="781" w:type="dxa"/>
            <w:tcBorders>
              <w:top w:val="nil"/>
              <w:left w:val="nil"/>
              <w:bottom w:val="nil"/>
              <w:right w:val="nil"/>
            </w:tcBorders>
          </w:tcPr>
          <w:p w14:paraId="480AAFB6" w14:textId="1A0E7CEB" w:rsidR="008A49D4" w:rsidRPr="00323B2A" w:rsidRDefault="00273A0D" w:rsidP="006071CF">
            <w:pPr>
              <w:spacing w:before="71" w:after="0" w:line="240" w:lineRule="auto"/>
              <w:ind w:left="134" w:right="-20"/>
              <w:rPr>
                <w:rFonts w:ascii="Arial" w:eastAsia="Arial" w:hAnsi="Arial" w:cs="Arial"/>
                <w:b/>
              </w:rPr>
            </w:pPr>
            <w:r>
              <w:rPr>
                <w:rFonts w:ascii="Arial" w:eastAsia="Arial" w:hAnsi="Arial" w:cs="Arial"/>
                <w:b/>
              </w:rPr>
              <w:t>V.02</w:t>
            </w:r>
          </w:p>
        </w:tc>
        <w:tc>
          <w:tcPr>
            <w:tcW w:w="1342" w:type="dxa"/>
            <w:tcBorders>
              <w:top w:val="nil"/>
              <w:left w:val="nil"/>
              <w:bottom w:val="nil"/>
              <w:right w:val="nil"/>
            </w:tcBorders>
          </w:tcPr>
          <w:p w14:paraId="5D03B3DB" w14:textId="38DB0E00" w:rsidR="008A49D4" w:rsidRPr="00273A0D" w:rsidRDefault="00273A0D" w:rsidP="006071CF">
            <w:pPr>
              <w:spacing w:before="71" w:after="0" w:line="240" w:lineRule="auto"/>
              <w:ind w:left="73" w:right="-20"/>
              <w:rPr>
                <w:rFonts w:ascii="Arial" w:eastAsia="Arial" w:hAnsi="Arial" w:cs="Arial"/>
                <w:b/>
              </w:rPr>
            </w:pPr>
            <w:r w:rsidRPr="00273A0D">
              <w:rPr>
                <w:rFonts w:ascii="Arial" w:eastAsia="Arial" w:hAnsi="Arial" w:cs="Arial"/>
                <w:b/>
              </w:rPr>
              <w:t>23.07.2018</w:t>
            </w:r>
          </w:p>
        </w:tc>
        <w:tc>
          <w:tcPr>
            <w:tcW w:w="1607" w:type="dxa"/>
            <w:tcBorders>
              <w:top w:val="nil"/>
              <w:left w:val="nil"/>
              <w:bottom w:val="nil"/>
              <w:right w:val="nil"/>
            </w:tcBorders>
          </w:tcPr>
          <w:p w14:paraId="7217B11F" w14:textId="77777777" w:rsidR="008A49D4" w:rsidRPr="00273A0D" w:rsidRDefault="008A49D4" w:rsidP="006071CF">
            <w:pPr>
              <w:spacing w:before="71" w:after="0" w:line="240" w:lineRule="auto"/>
              <w:ind w:left="169" w:right="-20"/>
              <w:rPr>
                <w:rFonts w:ascii="Arial" w:eastAsia="Arial" w:hAnsi="Arial" w:cs="Arial"/>
                <w:b/>
              </w:rPr>
            </w:pPr>
          </w:p>
        </w:tc>
        <w:tc>
          <w:tcPr>
            <w:tcW w:w="4347" w:type="dxa"/>
            <w:tcBorders>
              <w:top w:val="nil"/>
              <w:left w:val="nil"/>
              <w:bottom w:val="nil"/>
              <w:right w:val="nil"/>
            </w:tcBorders>
          </w:tcPr>
          <w:p w14:paraId="2E91E4E5" w14:textId="442D19E1" w:rsidR="00851FE4" w:rsidRPr="00323B2A" w:rsidRDefault="00273A0D" w:rsidP="006071CF">
            <w:pPr>
              <w:spacing w:before="71" w:after="0" w:line="240" w:lineRule="auto"/>
              <w:ind w:left="231" w:right="-20"/>
              <w:rPr>
                <w:rFonts w:ascii="Arial" w:eastAsia="Arial" w:hAnsi="Arial" w:cs="Arial"/>
                <w:b/>
              </w:rPr>
            </w:pPr>
            <w:r>
              <w:rPr>
                <w:rFonts w:ascii="Arial" w:eastAsia="Arial" w:hAnsi="Arial" w:cs="Arial"/>
                <w:b/>
              </w:rPr>
              <w:t>NGET proposal for public consultation (revised Part_A; Part B texts added)</w:t>
            </w:r>
          </w:p>
        </w:tc>
      </w:tr>
      <w:tr w:rsidR="00851FE4" w:rsidRPr="00323B2A" w14:paraId="7B36455D" w14:textId="77777777" w:rsidTr="006A4139">
        <w:trPr>
          <w:trHeight w:hRule="exact" w:val="496"/>
        </w:trPr>
        <w:tc>
          <w:tcPr>
            <w:tcW w:w="705" w:type="dxa"/>
            <w:tcBorders>
              <w:top w:val="nil"/>
              <w:left w:val="nil"/>
              <w:bottom w:val="nil"/>
              <w:right w:val="nil"/>
            </w:tcBorders>
          </w:tcPr>
          <w:p w14:paraId="5BCC1A96" w14:textId="77777777" w:rsidR="00851FE4" w:rsidRPr="00323B2A" w:rsidRDefault="00851FE4" w:rsidP="00675B23">
            <w:pPr>
              <w:spacing w:before="71" w:after="0" w:line="240" w:lineRule="auto"/>
              <w:ind w:left="119" w:right="-20"/>
              <w:rPr>
                <w:rFonts w:ascii="Arial" w:eastAsia="Arial" w:hAnsi="Arial" w:cs="Arial"/>
                <w:b/>
              </w:rPr>
            </w:pPr>
          </w:p>
        </w:tc>
        <w:tc>
          <w:tcPr>
            <w:tcW w:w="781" w:type="dxa"/>
            <w:tcBorders>
              <w:top w:val="nil"/>
              <w:left w:val="nil"/>
              <w:bottom w:val="nil"/>
              <w:right w:val="nil"/>
            </w:tcBorders>
          </w:tcPr>
          <w:p w14:paraId="4024E43A" w14:textId="114699FE" w:rsidR="00851FE4" w:rsidRPr="00323B2A" w:rsidRDefault="00851FE4" w:rsidP="00675B23">
            <w:pPr>
              <w:spacing w:before="71" w:after="0" w:line="240" w:lineRule="auto"/>
              <w:ind w:left="134" w:right="-20"/>
              <w:rPr>
                <w:rFonts w:ascii="Arial" w:eastAsia="Arial" w:hAnsi="Arial" w:cs="Arial"/>
                <w:b/>
              </w:rPr>
            </w:pPr>
          </w:p>
        </w:tc>
        <w:tc>
          <w:tcPr>
            <w:tcW w:w="1342" w:type="dxa"/>
            <w:tcBorders>
              <w:top w:val="nil"/>
              <w:left w:val="nil"/>
              <w:bottom w:val="nil"/>
              <w:right w:val="nil"/>
            </w:tcBorders>
          </w:tcPr>
          <w:p w14:paraId="625468F3" w14:textId="5C8E632A" w:rsidR="00851FE4" w:rsidRPr="00323B2A" w:rsidRDefault="00851FE4" w:rsidP="00675B23">
            <w:pPr>
              <w:spacing w:before="71" w:after="0" w:line="240" w:lineRule="auto"/>
              <w:ind w:left="73" w:right="-20"/>
              <w:rPr>
                <w:rFonts w:ascii="Arial" w:eastAsia="Arial" w:hAnsi="Arial" w:cs="Arial"/>
                <w:b/>
              </w:rPr>
            </w:pPr>
          </w:p>
        </w:tc>
        <w:tc>
          <w:tcPr>
            <w:tcW w:w="1607" w:type="dxa"/>
            <w:tcBorders>
              <w:top w:val="nil"/>
              <w:left w:val="nil"/>
              <w:bottom w:val="nil"/>
              <w:right w:val="nil"/>
            </w:tcBorders>
          </w:tcPr>
          <w:p w14:paraId="5B4B10FC" w14:textId="77777777" w:rsidR="00851FE4" w:rsidRPr="00323B2A" w:rsidRDefault="00851FE4" w:rsidP="00675B23">
            <w:pPr>
              <w:spacing w:before="71" w:after="0" w:line="240" w:lineRule="auto"/>
              <w:ind w:left="169" w:right="-20"/>
              <w:rPr>
                <w:rFonts w:ascii="Arial" w:eastAsia="Arial" w:hAnsi="Arial" w:cs="Arial"/>
                <w:b/>
              </w:rPr>
            </w:pPr>
          </w:p>
        </w:tc>
        <w:tc>
          <w:tcPr>
            <w:tcW w:w="4347" w:type="dxa"/>
            <w:tcBorders>
              <w:top w:val="nil"/>
              <w:left w:val="nil"/>
              <w:bottom w:val="nil"/>
              <w:right w:val="nil"/>
            </w:tcBorders>
          </w:tcPr>
          <w:p w14:paraId="0BF61953" w14:textId="77777777" w:rsidR="00851FE4" w:rsidRPr="00323B2A" w:rsidRDefault="00851FE4" w:rsidP="00675B23">
            <w:pPr>
              <w:spacing w:before="71" w:after="0" w:line="240" w:lineRule="auto"/>
              <w:ind w:left="231" w:right="-20"/>
              <w:rPr>
                <w:rFonts w:ascii="Arial" w:eastAsia="Arial" w:hAnsi="Arial" w:cs="Arial"/>
                <w:b/>
              </w:rPr>
            </w:pPr>
          </w:p>
        </w:tc>
      </w:tr>
      <w:tr w:rsidR="002C0B70" w:rsidRPr="00323B2A" w14:paraId="29690DC8" w14:textId="77777777" w:rsidTr="006A4139">
        <w:trPr>
          <w:trHeight w:hRule="exact" w:val="418"/>
        </w:trPr>
        <w:tc>
          <w:tcPr>
            <w:tcW w:w="705" w:type="dxa"/>
            <w:tcBorders>
              <w:top w:val="nil"/>
              <w:left w:val="nil"/>
              <w:bottom w:val="nil"/>
              <w:right w:val="nil"/>
            </w:tcBorders>
          </w:tcPr>
          <w:p w14:paraId="6C0FF42C" w14:textId="77777777" w:rsidR="002C0B70" w:rsidRPr="00323B2A" w:rsidRDefault="002C0B70" w:rsidP="002C0B70">
            <w:pPr>
              <w:spacing w:before="71" w:after="0" w:line="240" w:lineRule="auto"/>
              <w:ind w:left="119" w:right="-20"/>
              <w:rPr>
                <w:rFonts w:ascii="Arial" w:eastAsia="Arial" w:hAnsi="Arial" w:cs="Arial"/>
                <w:b/>
              </w:rPr>
            </w:pPr>
          </w:p>
        </w:tc>
        <w:tc>
          <w:tcPr>
            <w:tcW w:w="781" w:type="dxa"/>
            <w:tcBorders>
              <w:top w:val="nil"/>
              <w:left w:val="nil"/>
              <w:bottom w:val="nil"/>
              <w:right w:val="nil"/>
            </w:tcBorders>
          </w:tcPr>
          <w:p w14:paraId="3B1731B3" w14:textId="4AFA8389" w:rsidR="002C0B70" w:rsidRPr="00323B2A" w:rsidRDefault="002C0B70" w:rsidP="002C0B70">
            <w:pPr>
              <w:spacing w:before="71" w:after="0" w:line="240" w:lineRule="auto"/>
              <w:ind w:left="134" w:right="-20"/>
              <w:rPr>
                <w:rFonts w:ascii="Arial" w:eastAsia="Arial" w:hAnsi="Arial" w:cs="Arial"/>
                <w:b/>
              </w:rPr>
            </w:pPr>
          </w:p>
        </w:tc>
        <w:tc>
          <w:tcPr>
            <w:tcW w:w="1342" w:type="dxa"/>
            <w:tcBorders>
              <w:top w:val="nil"/>
              <w:left w:val="nil"/>
              <w:bottom w:val="nil"/>
              <w:right w:val="nil"/>
            </w:tcBorders>
          </w:tcPr>
          <w:p w14:paraId="03DA614B" w14:textId="77777777" w:rsidR="002C0B70" w:rsidRPr="00323B2A" w:rsidRDefault="002C0B70" w:rsidP="002C0B70">
            <w:pPr>
              <w:spacing w:before="71" w:after="0" w:line="240" w:lineRule="auto"/>
              <w:ind w:left="73" w:right="-20"/>
              <w:rPr>
                <w:rFonts w:ascii="Arial" w:eastAsia="Arial" w:hAnsi="Arial" w:cs="Arial"/>
                <w:b/>
                <w:color w:val="FF0000"/>
              </w:rPr>
            </w:pPr>
          </w:p>
        </w:tc>
        <w:tc>
          <w:tcPr>
            <w:tcW w:w="1607" w:type="dxa"/>
            <w:tcBorders>
              <w:top w:val="nil"/>
              <w:left w:val="nil"/>
              <w:bottom w:val="nil"/>
              <w:right w:val="nil"/>
            </w:tcBorders>
          </w:tcPr>
          <w:p w14:paraId="6BD335BD" w14:textId="77777777" w:rsidR="002C0B70" w:rsidRPr="00323B2A" w:rsidRDefault="002C0B70" w:rsidP="002C0B70">
            <w:pPr>
              <w:spacing w:before="71" w:after="0" w:line="240" w:lineRule="auto"/>
              <w:ind w:left="169" w:right="-20"/>
              <w:rPr>
                <w:rFonts w:ascii="Arial" w:eastAsia="Arial" w:hAnsi="Arial" w:cs="Arial"/>
                <w:b/>
              </w:rPr>
            </w:pPr>
          </w:p>
        </w:tc>
        <w:tc>
          <w:tcPr>
            <w:tcW w:w="4347" w:type="dxa"/>
            <w:tcBorders>
              <w:top w:val="nil"/>
              <w:left w:val="nil"/>
              <w:bottom w:val="nil"/>
              <w:right w:val="nil"/>
            </w:tcBorders>
          </w:tcPr>
          <w:p w14:paraId="38DA4A81" w14:textId="77777777" w:rsidR="002C0B70" w:rsidRPr="00323B2A" w:rsidRDefault="002C0B70" w:rsidP="002C0B70">
            <w:pPr>
              <w:spacing w:before="71" w:after="0" w:line="240" w:lineRule="auto"/>
              <w:ind w:left="231" w:right="-20"/>
              <w:rPr>
                <w:rFonts w:ascii="Arial" w:eastAsia="Arial" w:hAnsi="Arial" w:cs="Arial"/>
                <w:b/>
              </w:rPr>
            </w:pPr>
          </w:p>
        </w:tc>
      </w:tr>
      <w:tr w:rsidR="002C0B70" w:rsidRPr="00323B2A" w14:paraId="6A52D72C" w14:textId="77777777" w:rsidTr="006A4139">
        <w:trPr>
          <w:trHeight w:hRule="exact" w:val="424"/>
        </w:trPr>
        <w:tc>
          <w:tcPr>
            <w:tcW w:w="705" w:type="dxa"/>
            <w:tcBorders>
              <w:top w:val="nil"/>
              <w:left w:val="nil"/>
              <w:bottom w:val="nil"/>
              <w:right w:val="nil"/>
            </w:tcBorders>
          </w:tcPr>
          <w:p w14:paraId="3E42801B" w14:textId="77777777" w:rsidR="002C0B70" w:rsidRPr="00323B2A" w:rsidRDefault="002C0B70" w:rsidP="002C0B70">
            <w:pPr>
              <w:spacing w:before="71" w:after="0" w:line="240" w:lineRule="auto"/>
              <w:ind w:left="119" w:right="-20"/>
              <w:rPr>
                <w:rFonts w:ascii="Arial" w:eastAsia="Arial" w:hAnsi="Arial" w:cs="Arial"/>
                <w:b/>
              </w:rPr>
            </w:pPr>
          </w:p>
        </w:tc>
        <w:tc>
          <w:tcPr>
            <w:tcW w:w="781" w:type="dxa"/>
            <w:tcBorders>
              <w:top w:val="nil"/>
              <w:left w:val="nil"/>
              <w:bottom w:val="nil"/>
              <w:right w:val="nil"/>
            </w:tcBorders>
          </w:tcPr>
          <w:p w14:paraId="18396C78" w14:textId="3C20725B" w:rsidR="002C0B70" w:rsidRPr="00323B2A" w:rsidRDefault="002C0B70" w:rsidP="002C0B70">
            <w:pPr>
              <w:spacing w:before="71" w:after="0" w:line="240" w:lineRule="auto"/>
              <w:ind w:left="134" w:right="-20"/>
              <w:rPr>
                <w:rFonts w:ascii="Arial" w:eastAsia="Arial" w:hAnsi="Arial" w:cs="Arial"/>
                <w:b/>
              </w:rPr>
            </w:pPr>
          </w:p>
        </w:tc>
        <w:tc>
          <w:tcPr>
            <w:tcW w:w="1342" w:type="dxa"/>
            <w:tcBorders>
              <w:top w:val="nil"/>
              <w:left w:val="nil"/>
              <w:bottom w:val="nil"/>
              <w:right w:val="nil"/>
            </w:tcBorders>
          </w:tcPr>
          <w:p w14:paraId="6E02F735" w14:textId="77777777" w:rsidR="002C0B70" w:rsidRPr="00323B2A" w:rsidRDefault="002C0B70" w:rsidP="002C0B70">
            <w:pPr>
              <w:spacing w:before="71" w:after="0" w:line="240" w:lineRule="auto"/>
              <w:ind w:left="73" w:right="-20"/>
              <w:rPr>
                <w:rFonts w:ascii="Arial" w:eastAsia="Arial" w:hAnsi="Arial" w:cs="Arial"/>
                <w:b/>
              </w:rPr>
            </w:pPr>
          </w:p>
        </w:tc>
        <w:tc>
          <w:tcPr>
            <w:tcW w:w="1607" w:type="dxa"/>
            <w:tcBorders>
              <w:top w:val="nil"/>
              <w:left w:val="nil"/>
              <w:bottom w:val="nil"/>
              <w:right w:val="nil"/>
            </w:tcBorders>
          </w:tcPr>
          <w:p w14:paraId="02D28E44" w14:textId="77777777" w:rsidR="002C0B70" w:rsidRPr="00323B2A" w:rsidRDefault="002C0B70" w:rsidP="002C0B70">
            <w:pPr>
              <w:spacing w:before="71" w:after="0" w:line="240" w:lineRule="auto"/>
              <w:ind w:left="169" w:right="-20"/>
              <w:rPr>
                <w:rFonts w:ascii="Arial" w:eastAsia="Arial" w:hAnsi="Arial" w:cs="Arial"/>
                <w:b/>
              </w:rPr>
            </w:pPr>
          </w:p>
        </w:tc>
        <w:tc>
          <w:tcPr>
            <w:tcW w:w="4347" w:type="dxa"/>
            <w:tcBorders>
              <w:top w:val="nil"/>
              <w:left w:val="nil"/>
              <w:bottom w:val="nil"/>
              <w:right w:val="nil"/>
            </w:tcBorders>
          </w:tcPr>
          <w:p w14:paraId="7202A3CD" w14:textId="77777777" w:rsidR="002C0B70" w:rsidRPr="00323B2A" w:rsidRDefault="002C0B70" w:rsidP="002C0B70">
            <w:pPr>
              <w:spacing w:before="71" w:after="0" w:line="240" w:lineRule="auto"/>
              <w:ind w:left="231" w:right="-20"/>
              <w:rPr>
                <w:rFonts w:ascii="Arial" w:eastAsia="Arial" w:hAnsi="Arial" w:cs="Arial"/>
                <w:b/>
              </w:rPr>
            </w:pPr>
          </w:p>
        </w:tc>
      </w:tr>
      <w:tr w:rsidR="002C0B70" w:rsidRPr="00323B2A" w14:paraId="4E5F66B8" w14:textId="77777777" w:rsidTr="001339A1">
        <w:trPr>
          <w:trHeight w:hRule="exact" w:val="420"/>
        </w:trPr>
        <w:tc>
          <w:tcPr>
            <w:tcW w:w="705" w:type="dxa"/>
            <w:tcBorders>
              <w:top w:val="nil"/>
              <w:left w:val="nil"/>
              <w:bottom w:val="nil"/>
              <w:right w:val="nil"/>
            </w:tcBorders>
          </w:tcPr>
          <w:p w14:paraId="552E57BE" w14:textId="77777777" w:rsidR="002C0B70" w:rsidRPr="00323B2A" w:rsidRDefault="002C0B70" w:rsidP="002C0B70">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6DE8F055" w14:textId="33965D4E" w:rsidR="002C0B70" w:rsidRPr="00323B2A" w:rsidRDefault="002C0B70" w:rsidP="002C0B70">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1C58E4B1" w14:textId="77777777" w:rsidR="002C0B70" w:rsidRPr="00323B2A" w:rsidRDefault="002C0B70" w:rsidP="002C0B70">
            <w:pPr>
              <w:spacing w:before="71" w:after="0" w:line="240" w:lineRule="auto"/>
              <w:ind w:left="73" w:right="-20"/>
              <w:rPr>
                <w:rFonts w:ascii="Arial" w:eastAsia="Arial" w:hAnsi="Arial" w:cs="Arial"/>
              </w:rPr>
            </w:pPr>
          </w:p>
        </w:tc>
        <w:tc>
          <w:tcPr>
            <w:tcW w:w="1607" w:type="dxa"/>
            <w:tcBorders>
              <w:top w:val="nil"/>
              <w:left w:val="nil"/>
              <w:bottom w:val="nil"/>
              <w:right w:val="nil"/>
            </w:tcBorders>
          </w:tcPr>
          <w:p w14:paraId="194A1EDD" w14:textId="77777777" w:rsidR="002C0B70" w:rsidRPr="00323B2A" w:rsidRDefault="002C0B70" w:rsidP="002C0B70">
            <w:pPr>
              <w:spacing w:before="71" w:after="0" w:line="240" w:lineRule="auto"/>
              <w:ind w:left="169" w:right="-20"/>
              <w:rPr>
                <w:rFonts w:ascii="Arial" w:eastAsia="Arial" w:hAnsi="Arial" w:cs="Arial"/>
              </w:rPr>
            </w:pPr>
          </w:p>
        </w:tc>
        <w:tc>
          <w:tcPr>
            <w:tcW w:w="4347" w:type="dxa"/>
            <w:tcBorders>
              <w:top w:val="nil"/>
              <w:left w:val="nil"/>
              <w:bottom w:val="nil"/>
              <w:right w:val="nil"/>
            </w:tcBorders>
          </w:tcPr>
          <w:p w14:paraId="3E549831" w14:textId="77777777" w:rsidR="002C0B70" w:rsidRPr="00323B2A" w:rsidRDefault="002C0B70" w:rsidP="002C0B70">
            <w:pPr>
              <w:spacing w:before="71" w:after="0" w:line="240" w:lineRule="auto"/>
              <w:ind w:left="232" w:right="-20"/>
              <w:rPr>
                <w:rFonts w:ascii="Arial" w:eastAsia="Arial" w:hAnsi="Arial" w:cs="Arial"/>
              </w:rPr>
            </w:pPr>
          </w:p>
        </w:tc>
      </w:tr>
      <w:tr w:rsidR="002C0B70" w:rsidRPr="00323B2A" w14:paraId="2B04533D" w14:textId="77777777" w:rsidTr="001339A1">
        <w:trPr>
          <w:trHeight w:hRule="exact" w:val="609"/>
        </w:trPr>
        <w:tc>
          <w:tcPr>
            <w:tcW w:w="705" w:type="dxa"/>
            <w:tcBorders>
              <w:top w:val="nil"/>
              <w:left w:val="nil"/>
              <w:bottom w:val="nil"/>
              <w:right w:val="nil"/>
            </w:tcBorders>
          </w:tcPr>
          <w:p w14:paraId="3CF46F4B" w14:textId="77777777" w:rsidR="002C0B70" w:rsidRPr="00323B2A" w:rsidRDefault="002C0B70" w:rsidP="002C0B70">
            <w:pPr>
              <w:spacing w:before="71" w:after="0" w:line="240" w:lineRule="auto"/>
              <w:ind w:left="119" w:right="-20"/>
              <w:rPr>
                <w:rFonts w:ascii="Arial" w:eastAsia="Arial" w:hAnsi="Arial" w:cs="Arial"/>
                <w:b/>
                <w:bCs/>
              </w:rPr>
            </w:pPr>
          </w:p>
        </w:tc>
        <w:tc>
          <w:tcPr>
            <w:tcW w:w="781" w:type="dxa"/>
            <w:tcBorders>
              <w:top w:val="nil"/>
              <w:left w:val="nil"/>
              <w:bottom w:val="nil"/>
              <w:right w:val="nil"/>
            </w:tcBorders>
          </w:tcPr>
          <w:p w14:paraId="085E70E8" w14:textId="2A8655CD" w:rsidR="002C0B70" w:rsidRPr="00323B2A" w:rsidRDefault="002C0B70" w:rsidP="002C0B70">
            <w:pPr>
              <w:spacing w:before="71" w:after="0" w:line="240" w:lineRule="auto"/>
              <w:ind w:left="134" w:right="-20"/>
              <w:rPr>
                <w:rFonts w:ascii="Arial" w:eastAsia="Arial" w:hAnsi="Arial" w:cs="Arial"/>
                <w:b/>
                <w:bCs/>
              </w:rPr>
            </w:pPr>
          </w:p>
        </w:tc>
        <w:tc>
          <w:tcPr>
            <w:tcW w:w="1342" w:type="dxa"/>
            <w:tcBorders>
              <w:top w:val="nil"/>
              <w:left w:val="nil"/>
              <w:bottom w:val="nil"/>
              <w:right w:val="nil"/>
            </w:tcBorders>
          </w:tcPr>
          <w:p w14:paraId="2A1E33E6" w14:textId="77777777" w:rsidR="002C0B70" w:rsidRPr="00323B2A" w:rsidRDefault="002C0B70" w:rsidP="002C0B70">
            <w:pPr>
              <w:spacing w:before="71" w:after="0" w:line="240" w:lineRule="auto"/>
              <w:ind w:left="73" w:right="-20"/>
              <w:rPr>
                <w:rFonts w:ascii="Arial" w:eastAsia="Arial" w:hAnsi="Arial" w:cs="Arial"/>
                <w:b/>
                <w:bCs/>
                <w:highlight w:val="yellow"/>
              </w:rPr>
            </w:pPr>
          </w:p>
        </w:tc>
        <w:tc>
          <w:tcPr>
            <w:tcW w:w="1607" w:type="dxa"/>
            <w:tcBorders>
              <w:top w:val="nil"/>
              <w:left w:val="nil"/>
              <w:bottom w:val="nil"/>
              <w:right w:val="nil"/>
            </w:tcBorders>
          </w:tcPr>
          <w:p w14:paraId="63B9BA32" w14:textId="77777777" w:rsidR="002C0B70" w:rsidRPr="00323B2A" w:rsidRDefault="002C0B70" w:rsidP="002C0B70">
            <w:pPr>
              <w:spacing w:before="71" w:after="0" w:line="240" w:lineRule="auto"/>
              <w:ind w:left="169" w:right="-20"/>
              <w:rPr>
                <w:rFonts w:ascii="Arial" w:eastAsia="Arial" w:hAnsi="Arial" w:cs="Arial"/>
                <w:b/>
                <w:bCs/>
                <w:highlight w:val="yellow"/>
              </w:rPr>
            </w:pPr>
          </w:p>
        </w:tc>
        <w:tc>
          <w:tcPr>
            <w:tcW w:w="4347" w:type="dxa"/>
            <w:tcBorders>
              <w:top w:val="nil"/>
              <w:left w:val="nil"/>
              <w:bottom w:val="nil"/>
              <w:right w:val="nil"/>
            </w:tcBorders>
          </w:tcPr>
          <w:p w14:paraId="6729007B" w14:textId="7E96527D" w:rsidR="002C0B70" w:rsidRPr="00323B2A" w:rsidRDefault="002C0B70" w:rsidP="002C0B70">
            <w:pPr>
              <w:spacing w:before="71" w:after="0" w:line="240" w:lineRule="auto"/>
              <w:ind w:left="232" w:right="-20"/>
              <w:rPr>
                <w:rFonts w:ascii="Arial" w:eastAsia="Arial" w:hAnsi="Arial" w:cs="Arial"/>
                <w:b/>
                <w:bCs/>
                <w:highlight w:val="yellow"/>
              </w:rPr>
            </w:pPr>
          </w:p>
        </w:tc>
      </w:tr>
      <w:tr w:rsidR="006A4139" w:rsidRPr="00323B2A" w14:paraId="7062FCDA" w14:textId="77777777" w:rsidTr="001339A1">
        <w:trPr>
          <w:trHeight w:hRule="exact" w:val="609"/>
        </w:trPr>
        <w:tc>
          <w:tcPr>
            <w:tcW w:w="705" w:type="dxa"/>
            <w:tcBorders>
              <w:top w:val="nil"/>
              <w:left w:val="nil"/>
              <w:bottom w:val="nil"/>
              <w:right w:val="nil"/>
            </w:tcBorders>
          </w:tcPr>
          <w:p w14:paraId="440D8C89" w14:textId="77777777" w:rsidR="006A4139" w:rsidRPr="00323B2A" w:rsidRDefault="006A4139" w:rsidP="006A4139">
            <w:pPr>
              <w:spacing w:before="71" w:after="0" w:line="240" w:lineRule="auto"/>
              <w:ind w:left="119" w:right="-20"/>
              <w:rPr>
                <w:rFonts w:ascii="Arial" w:eastAsia="Arial" w:hAnsi="Arial" w:cs="Arial"/>
                <w:b/>
                <w:bCs/>
              </w:rPr>
            </w:pPr>
          </w:p>
        </w:tc>
        <w:tc>
          <w:tcPr>
            <w:tcW w:w="781" w:type="dxa"/>
            <w:tcBorders>
              <w:top w:val="nil"/>
              <w:left w:val="nil"/>
              <w:bottom w:val="nil"/>
              <w:right w:val="nil"/>
            </w:tcBorders>
          </w:tcPr>
          <w:p w14:paraId="56D53092" w14:textId="7F92C359" w:rsidR="006A4139" w:rsidRPr="00323B2A" w:rsidRDefault="006A4139" w:rsidP="006A4139">
            <w:pPr>
              <w:spacing w:before="71" w:after="0" w:line="240" w:lineRule="auto"/>
              <w:ind w:left="134" w:right="-20"/>
              <w:rPr>
                <w:rFonts w:ascii="Arial" w:eastAsia="Arial" w:hAnsi="Arial" w:cs="Arial"/>
                <w:b/>
                <w:bCs/>
              </w:rPr>
            </w:pPr>
          </w:p>
        </w:tc>
        <w:tc>
          <w:tcPr>
            <w:tcW w:w="1342" w:type="dxa"/>
            <w:tcBorders>
              <w:top w:val="nil"/>
              <w:left w:val="nil"/>
              <w:bottom w:val="nil"/>
              <w:right w:val="nil"/>
            </w:tcBorders>
          </w:tcPr>
          <w:p w14:paraId="4BB531D9" w14:textId="77777777" w:rsidR="006A4139" w:rsidRPr="00323B2A" w:rsidRDefault="006A4139" w:rsidP="006A4139">
            <w:pPr>
              <w:spacing w:before="71" w:after="0" w:line="240" w:lineRule="auto"/>
              <w:ind w:left="73" w:right="-20"/>
              <w:rPr>
                <w:rFonts w:ascii="Arial" w:eastAsia="Arial" w:hAnsi="Arial" w:cs="Arial"/>
                <w:b/>
                <w:bCs/>
                <w:highlight w:val="yellow"/>
              </w:rPr>
            </w:pPr>
          </w:p>
        </w:tc>
        <w:tc>
          <w:tcPr>
            <w:tcW w:w="1607" w:type="dxa"/>
            <w:tcBorders>
              <w:top w:val="nil"/>
              <w:left w:val="nil"/>
              <w:bottom w:val="nil"/>
              <w:right w:val="nil"/>
            </w:tcBorders>
          </w:tcPr>
          <w:p w14:paraId="01461F63" w14:textId="77777777" w:rsidR="006A4139" w:rsidRPr="00323B2A" w:rsidRDefault="006A4139" w:rsidP="006A4139">
            <w:pPr>
              <w:spacing w:before="71" w:after="0" w:line="240" w:lineRule="auto"/>
              <w:ind w:left="169" w:right="-20"/>
              <w:rPr>
                <w:rFonts w:ascii="Arial" w:eastAsia="Arial" w:hAnsi="Arial" w:cs="Arial"/>
                <w:b/>
                <w:bCs/>
                <w:highlight w:val="yellow"/>
              </w:rPr>
            </w:pPr>
          </w:p>
        </w:tc>
        <w:tc>
          <w:tcPr>
            <w:tcW w:w="4347" w:type="dxa"/>
            <w:tcBorders>
              <w:top w:val="nil"/>
              <w:left w:val="nil"/>
              <w:bottom w:val="nil"/>
              <w:right w:val="nil"/>
            </w:tcBorders>
          </w:tcPr>
          <w:p w14:paraId="7A2ECC5D" w14:textId="5CBCFD1F" w:rsidR="006A4139" w:rsidRPr="00323B2A" w:rsidRDefault="006A4139" w:rsidP="006A4139">
            <w:pPr>
              <w:spacing w:before="71" w:after="0" w:line="240" w:lineRule="auto"/>
              <w:ind w:left="232" w:right="-20"/>
              <w:rPr>
                <w:rFonts w:ascii="Arial" w:eastAsia="Arial" w:hAnsi="Arial" w:cs="Arial"/>
                <w:b/>
                <w:bCs/>
                <w:highlight w:val="yellow"/>
              </w:rPr>
            </w:pPr>
          </w:p>
        </w:tc>
      </w:tr>
    </w:tbl>
    <w:p w14:paraId="5FFA1BDB" w14:textId="77777777" w:rsidR="00C73E32" w:rsidRPr="00323B2A" w:rsidRDefault="00C73E32" w:rsidP="00C73E32"/>
    <w:tbl>
      <w:tblPr>
        <w:tblStyle w:val="TableGrid"/>
        <w:tblW w:w="0" w:type="auto"/>
        <w:tblLook w:val="04A0" w:firstRow="1" w:lastRow="0" w:firstColumn="1" w:lastColumn="0" w:noHBand="0" w:noVBand="1"/>
      </w:tblPr>
      <w:tblGrid>
        <w:gridCol w:w="9062"/>
      </w:tblGrid>
      <w:tr w:rsidR="002D50C4" w:rsidRPr="00323B2A" w14:paraId="1066132A" w14:textId="77777777" w:rsidTr="002D50C4">
        <w:tc>
          <w:tcPr>
            <w:tcW w:w="9288" w:type="dxa"/>
          </w:tcPr>
          <w:p w14:paraId="190B9274" w14:textId="77777777" w:rsidR="002D50C4" w:rsidRPr="00323B2A" w:rsidRDefault="002D50C4" w:rsidP="002D50C4">
            <w:pPr>
              <w:autoSpaceDE w:val="0"/>
              <w:autoSpaceDN w:val="0"/>
              <w:adjustRightInd w:val="0"/>
              <w:jc w:val="left"/>
              <w:rPr>
                <w:rFonts w:ascii="Arial" w:hAnsi="Arial" w:cs="Arial"/>
                <w:color w:val="000000"/>
                <w:sz w:val="24"/>
                <w:szCs w:val="24"/>
              </w:rPr>
            </w:pPr>
          </w:p>
          <w:p w14:paraId="6BFE2336" w14:textId="77777777" w:rsidR="002D50C4" w:rsidRPr="00323B2A" w:rsidRDefault="002D50C4" w:rsidP="002D50C4">
            <w:pPr>
              <w:autoSpaceDE w:val="0"/>
              <w:autoSpaceDN w:val="0"/>
              <w:adjustRightInd w:val="0"/>
              <w:jc w:val="left"/>
              <w:rPr>
                <w:rFonts w:ascii="Arial" w:hAnsi="Arial" w:cs="Arial"/>
                <w:color w:val="000000"/>
              </w:rPr>
            </w:pPr>
            <w:r w:rsidRPr="00323B2A">
              <w:rPr>
                <w:rFonts w:ascii="Arial" w:hAnsi="Arial" w:cs="Arial"/>
                <w:b/>
                <w:bCs/>
                <w:color w:val="000000"/>
              </w:rPr>
              <w:t xml:space="preserve">Disclaimer </w:t>
            </w:r>
          </w:p>
          <w:p w14:paraId="0F99BBDE" w14:textId="56A3ED84" w:rsidR="002D50C4" w:rsidRPr="00323B2A" w:rsidRDefault="002D50C4" w:rsidP="00FF1AB2">
            <w:pPr>
              <w:rPr>
                <w:rFonts w:ascii="Arial" w:hAnsi="Arial" w:cs="Arial"/>
                <w:color w:val="000000"/>
              </w:rPr>
            </w:pPr>
            <w:r w:rsidRPr="00323B2A">
              <w:rPr>
                <w:rFonts w:ascii="Arial" w:hAnsi="Arial" w:cs="Arial"/>
                <w:color w:val="000000"/>
              </w:rPr>
              <w:t xml:space="preserve">This document, provided by NGET, is the draft proposal for the </w:t>
            </w:r>
            <w:r w:rsidR="00FF1AB2" w:rsidRPr="00323B2A">
              <w:rPr>
                <w:rFonts w:ascii="Arial" w:hAnsi="Arial" w:cs="Arial"/>
                <w:color w:val="000000"/>
              </w:rPr>
              <w:t xml:space="preserve">GB Synchronous Area </w:t>
            </w:r>
            <w:r w:rsidR="00B44DD2" w:rsidRPr="00323B2A">
              <w:rPr>
                <w:rFonts w:ascii="Arial" w:hAnsi="Arial" w:cs="Arial"/>
                <w:color w:val="000000"/>
              </w:rPr>
              <w:t xml:space="preserve">Operational </w:t>
            </w:r>
            <w:r w:rsidR="008E7123">
              <w:rPr>
                <w:rFonts w:ascii="Arial" w:hAnsi="Arial" w:cs="Arial"/>
                <w:color w:val="000000"/>
              </w:rPr>
              <w:t>Methodologies</w:t>
            </w:r>
            <w:r w:rsidR="008E7123" w:rsidRPr="00323B2A">
              <w:rPr>
                <w:rFonts w:ascii="Arial" w:hAnsi="Arial" w:cs="Arial"/>
                <w:color w:val="000000"/>
              </w:rPr>
              <w:t xml:space="preserve"> </w:t>
            </w:r>
            <w:r w:rsidRPr="00323B2A">
              <w:rPr>
                <w:rFonts w:ascii="Arial" w:hAnsi="Arial" w:cs="Arial"/>
                <w:color w:val="000000"/>
              </w:rPr>
              <w:t xml:space="preserve">in accordance with </w:t>
            </w:r>
            <w:r w:rsidR="005F43AD" w:rsidRPr="00323B2A">
              <w:rPr>
                <w:rFonts w:ascii="Arial" w:hAnsi="Arial" w:cs="Arial"/>
                <w:color w:val="000000"/>
              </w:rPr>
              <w:t>A</w:t>
            </w:r>
            <w:r w:rsidRPr="00323B2A">
              <w:rPr>
                <w:rFonts w:ascii="Arial" w:hAnsi="Arial" w:cs="Arial"/>
                <w:color w:val="000000"/>
              </w:rPr>
              <w:t xml:space="preserve">rticle </w:t>
            </w:r>
            <w:r w:rsidR="00FF1AB2" w:rsidRPr="00323B2A">
              <w:rPr>
                <w:rFonts w:ascii="Arial" w:hAnsi="Arial" w:cs="Arial"/>
                <w:color w:val="000000"/>
              </w:rPr>
              <w:t>118</w:t>
            </w:r>
            <w:r w:rsidRPr="00323B2A">
              <w:rPr>
                <w:rFonts w:ascii="Arial" w:hAnsi="Arial" w:cs="Arial"/>
                <w:color w:val="000000"/>
              </w:rPr>
              <w:t xml:space="preserve"> of Commission Regulation (EU) 2017/1485 of 2 August 2017 establishing a guideline on electricity transmission system operation.</w:t>
            </w:r>
          </w:p>
          <w:p w14:paraId="17C8E0D5" w14:textId="77777777" w:rsidR="00FF1AB2" w:rsidRPr="00323B2A" w:rsidRDefault="00FF1AB2" w:rsidP="00FF1AB2"/>
        </w:tc>
      </w:tr>
    </w:tbl>
    <w:p w14:paraId="36F9E62F" w14:textId="77777777" w:rsidR="002C0B70" w:rsidRPr="00323B2A" w:rsidRDefault="002C0B70" w:rsidP="00C73E32"/>
    <w:p w14:paraId="2C006E32" w14:textId="77777777" w:rsidR="002C0B70" w:rsidRPr="00323B2A" w:rsidRDefault="002C0B70">
      <w:pPr>
        <w:jc w:val="left"/>
      </w:pPr>
      <w:r w:rsidRPr="00323B2A">
        <w:br w:type="page"/>
      </w:r>
    </w:p>
    <w:p w14:paraId="6B0C8D65" w14:textId="7CFFAC07" w:rsidR="00420187" w:rsidRPr="00323B2A" w:rsidRDefault="00420187">
      <w:pPr>
        <w:jc w:val="left"/>
        <w:rPr>
          <w:rFonts w:ascii="Times New Roman" w:hAnsi="Times New Roman" w:cs="Arial"/>
          <w:b/>
          <w:color w:val="23236E"/>
          <w:sz w:val="24"/>
          <w:szCs w:val="28"/>
        </w:rPr>
      </w:pPr>
      <w:bookmarkStart w:id="0" w:name="_GoBack"/>
      <w:bookmarkEnd w:id="0"/>
    </w:p>
    <w:p w14:paraId="5B99457D" w14:textId="77777777" w:rsidR="009B4A26" w:rsidRPr="00323B2A" w:rsidRDefault="009B4A26" w:rsidP="00A6017D">
      <w:pPr>
        <w:pStyle w:val="ArticleTitle"/>
      </w:pPr>
      <w:bookmarkStart w:id="1" w:name="_Toc432586767"/>
      <w:bookmarkStart w:id="2" w:name="_Toc432586787"/>
      <w:bookmarkStart w:id="3" w:name="_Toc445298912"/>
      <w:bookmarkStart w:id="4" w:name="_Toc445299174"/>
      <w:bookmarkStart w:id="5" w:name="_Toc445825430"/>
      <w:bookmarkStart w:id="6" w:name="_Toc517426321"/>
      <w:r w:rsidRPr="00323B2A">
        <w:t>Whereas</w:t>
      </w:r>
      <w:bookmarkEnd w:id="1"/>
      <w:bookmarkEnd w:id="2"/>
      <w:bookmarkEnd w:id="3"/>
      <w:bookmarkEnd w:id="4"/>
      <w:bookmarkEnd w:id="5"/>
      <w:bookmarkEnd w:id="6"/>
    </w:p>
    <w:p w14:paraId="220BB889" w14:textId="31EF5D80" w:rsidR="00675B23" w:rsidRPr="00323B2A" w:rsidRDefault="00675B23" w:rsidP="006A4139">
      <w:pPr>
        <w:pStyle w:val="Paragrapgh-numbered"/>
        <w:rPr>
          <w:lang w:val="en-GB" w:eastAsia="en-US"/>
        </w:rPr>
      </w:pPr>
      <w:r w:rsidRPr="00323B2A">
        <w:rPr>
          <w:lang w:val="en-GB" w:eastAsia="en-US"/>
        </w:rPr>
        <w:t xml:space="preserve">This Synchronous Area Operational </w:t>
      </w:r>
      <w:r w:rsidR="008E7123">
        <w:rPr>
          <w:lang w:val="en-GB" w:eastAsia="en-US"/>
        </w:rPr>
        <w:t>Methodologies</w:t>
      </w:r>
      <w:r w:rsidR="008E7123" w:rsidRPr="00323B2A">
        <w:rPr>
          <w:lang w:val="en-GB" w:eastAsia="en-US"/>
        </w:rPr>
        <w:t xml:space="preserve"> </w:t>
      </w:r>
      <w:r w:rsidRPr="00323B2A">
        <w:rPr>
          <w:lang w:val="en-GB" w:eastAsia="en-US"/>
        </w:rPr>
        <w:t>(hereafter referred to as "</w:t>
      </w:r>
      <w:r w:rsidR="008E7123">
        <w:rPr>
          <w:lang w:val="en-GB" w:eastAsia="en-US"/>
        </w:rPr>
        <w:t>SAOM</w:t>
      </w:r>
      <w:r w:rsidRPr="00323B2A">
        <w:rPr>
          <w:lang w:val="en-GB" w:eastAsia="en-US"/>
        </w:rPr>
        <w:t xml:space="preserve">") document applies to the Synchronous Area of Great Britain and contains methodology texts listed in Article 118 of </w:t>
      </w:r>
      <w:r w:rsidRPr="00323B2A">
        <w:rPr>
          <w:lang w:val="en-GB"/>
        </w:rPr>
        <w:t>Commission Regulation (EU) 2017/1485 of 2 August 2017 establishing a guideline on electricity transmission system operation (hereafter referred to as “</w:t>
      </w:r>
      <w:r w:rsidRPr="00323B2A">
        <w:rPr>
          <w:lang w:val="en-GB" w:eastAsia="en-US"/>
        </w:rPr>
        <w:t xml:space="preserve">SOGL”). </w:t>
      </w:r>
    </w:p>
    <w:p w14:paraId="36B3175E" w14:textId="03C867D6" w:rsidR="0058243D" w:rsidRPr="00323B2A" w:rsidRDefault="009B4A26" w:rsidP="0058243D">
      <w:pPr>
        <w:pStyle w:val="Paragrapgh-numbered"/>
        <w:rPr>
          <w:lang w:val="en-GB"/>
        </w:rPr>
      </w:pPr>
      <w:r w:rsidRPr="00323B2A">
        <w:rPr>
          <w:lang w:val="en-GB"/>
        </w:rPr>
        <w:t xml:space="preserve">This </w:t>
      </w:r>
      <w:r w:rsidR="008E7123">
        <w:rPr>
          <w:lang w:val="en-GB"/>
        </w:rPr>
        <w:t xml:space="preserve">SAOM </w:t>
      </w:r>
      <w:r w:rsidRPr="00323B2A">
        <w:rPr>
          <w:lang w:val="en-GB"/>
        </w:rPr>
        <w:t xml:space="preserve">document is a proposal </w:t>
      </w:r>
      <w:r w:rsidR="008E7123">
        <w:rPr>
          <w:lang w:val="en-GB"/>
        </w:rPr>
        <w:t xml:space="preserve">for the synchronous area of Great Britain, </w:t>
      </w:r>
      <w:r w:rsidRPr="00323B2A">
        <w:rPr>
          <w:lang w:val="en-GB"/>
        </w:rPr>
        <w:t xml:space="preserve">developed by </w:t>
      </w:r>
      <w:r w:rsidR="008E7123">
        <w:rPr>
          <w:lang w:val="en-GB"/>
        </w:rPr>
        <w:t>the ESO (as defined in Article 2.2).</w:t>
      </w:r>
    </w:p>
    <w:p w14:paraId="0F944273" w14:textId="77777777" w:rsidR="004F1247" w:rsidRPr="00323B2A" w:rsidRDefault="004F1247" w:rsidP="004F1247">
      <w:pPr>
        <w:pStyle w:val="Paragrapgh-numbered"/>
        <w:rPr>
          <w:lang w:val="en-GB"/>
        </w:rPr>
      </w:pPr>
      <w:r w:rsidRPr="00323B2A">
        <w:rPr>
          <w:lang w:val="en-GB"/>
        </w:rPr>
        <w:t>This proposal takes into account the general principles and goals set in:</w:t>
      </w:r>
    </w:p>
    <w:p w14:paraId="45C5EC53" w14:textId="59476746" w:rsidR="004F1247" w:rsidRPr="00323B2A" w:rsidRDefault="004F1247" w:rsidP="00BF6B63">
      <w:pPr>
        <w:pStyle w:val="Paragrapgh-numbered"/>
        <w:numPr>
          <w:ilvl w:val="1"/>
          <w:numId w:val="36"/>
        </w:numPr>
        <w:rPr>
          <w:lang w:val="en-GB"/>
        </w:rPr>
      </w:pPr>
      <w:r w:rsidRPr="00323B2A">
        <w:rPr>
          <w:lang w:val="en-GB"/>
        </w:rPr>
        <w:t>Regulation (EU) 2017/1485 establishing a guideline on electricity transmission system operation (hereafter referred to as “SOGL Regulation”);</w:t>
      </w:r>
    </w:p>
    <w:p w14:paraId="25116A2F" w14:textId="3A4437DC" w:rsidR="000B082A" w:rsidRPr="00323B2A" w:rsidRDefault="000B082A" w:rsidP="008A0849">
      <w:pPr>
        <w:pStyle w:val="Paragrapgh-numbered"/>
        <w:rPr>
          <w:lang w:val="en-GB"/>
        </w:rPr>
      </w:pPr>
      <w:r w:rsidRPr="00323B2A">
        <w:rPr>
          <w:lang w:val="en-GB"/>
        </w:rPr>
        <w:t xml:space="preserve">SOGL, Part IV, Load Frequency Control &amp; Reserves section, </w:t>
      </w:r>
      <w:r w:rsidR="00CF0239" w:rsidRPr="00323B2A">
        <w:rPr>
          <w:lang w:val="en-GB"/>
        </w:rPr>
        <w:t>recognis</w:t>
      </w:r>
      <w:r w:rsidR="005F43AD" w:rsidRPr="00323B2A">
        <w:rPr>
          <w:lang w:val="en-GB"/>
        </w:rPr>
        <w:t>es</w:t>
      </w:r>
      <w:r w:rsidRPr="00323B2A">
        <w:rPr>
          <w:lang w:val="en-GB"/>
        </w:rPr>
        <w:t xml:space="preserve"> the need for a degree of flexibility to cater for physics of scale in different synchronous areas as well as specific time varying influence of network connectivity and technology in the energy mix in determining how system operators’ processes and the reserve provider services meet the system quality criteria. This flexibility is achieved through the development of methodologies. </w:t>
      </w:r>
    </w:p>
    <w:p w14:paraId="282361E5" w14:textId="661FD8D3" w:rsidR="009A66AB" w:rsidRPr="00323B2A" w:rsidRDefault="005C5520" w:rsidP="00AA18D7">
      <w:pPr>
        <w:pStyle w:val="Paragrapgh-numbered"/>
        <w:rPr>
          <w:color w:val="FF0000"/>
          <w:lang w:val="en-GB"/>
        </w:rPr>
      </w:pPr>
      <w:r w:rsidRPr="00323B2A">
        <w:rPr>
          <w:lang w:val="en-GB"/>
        </w:rPr>
        <w:t>In a</w:t>
      </w:r>
      <w:r w:rsidR="002D50C4" w:rsidRPr="00323B2A">
        <w:rPr>
          <w:lang w:val="en-GB"/>
        </w:rPr>
        <w:t>ccord</w:t>
      </w:r>
      <w:r w:rsidRPr="00323B2A">
        <w:rPr>
          <w:lang w:val="en-GB"/>
        </w:rPr>
        <w:t xml:space="preserve">ance with </w:t>
      </w:r>
      <w:r w:rsidR="002D50C4" w:rsidRPr="00323B2A">
        <w:rPr>
          <w:lang w:val="en-GB"/>
        </w:rPr>
        <w:t xml:space="preserve">Article 6 (6) of the </w:t>
      </w:r>
      <w:r w:rsidR="005F43AD" w:rsidRPr="00323B2A">
        <w:rPr>
          <w:lang w:val="en-GB"/>
        </w:rPr>
        <w:t>SOGL</w:t>
      </w:r>
      <w:r w:rsidR="002D50C4" w:rsidRPr="00323B2A">
        <w:rPr>
          <w:lang w:val="en-GB"/>
        </w:rPr>
        <w:t xml:space="preserve">, the expected impact of the </w:t>
      </w:r>
      <w:r w:rsidR="00311679" w:rsidRPr="00323B2A">
        <w:rPr>
          <w:lang w:val="en-GB"/>
        </w:rPr>
        <w:t xml:space="preserve">GB </w:t>
      </w:r>
      <w:r w:rsidR="008E7123">
        <w:rPr>
          <w:lang w:val="en-GB"/>
        </w:rPr>
        <w:t>SAOM</w:t>
      </w:r>
      <w:r w:rsidR="002D50C4" w:rsidRPr="00323B2A">
        <w:rPr>
          <w:lang w:val="en-GB"/>
        </w:rPr>
        <w:t xml:space="preserve"> </w:t>
      </w:r>
      <w:r w:rsidR="00311679" w:rsidRPr="00323B2A">
        <w:rPr>
          <w:lang w:val="en-GB"/>
        </w:rPr>
        <w:t>p</w:t>
      </w:r>
      <w:r w:rsidR="002D50C4" w:rsidRPr="00323B2A">
        <w:rPr>
          <w:lang w:val="en-GB"/>
        </w:rPr>
        <w:t>roposal on the objective</w:t>
      </w:r>
      <w:r w:rsidR="00311679" w:rsidRPr="00323B2A">
        <w:rPr>
          <w:lang w:val="en-GB"/>
        </w:rPr>
        <w:t>s</w:t>
      </w:r>
      <w:r w:rsidR="002D50C4" w:rsidRPr="00323B2A">
        <w:rPr>
          <w:lang w:val="en-GB"/>
        </w:rPr>
        <w:t xml:space="preserve"> of the </w:t>
      </w:r>
      <w:r w:rsidR="005F43AD" w:rsidRPr="00323B2A">
        <w:rPr>
          <w:lang w:val="en-GB"/>
        </w:rPr>
        <w:t>SOGL</w:t>
      </w:r>
      <w:r w:rsidR="002D50C4" w:rsidRPr="00323B2A">
        <w:rPr>
          <w:lang w:val="en-GB"/>
        </w:rPr>
        <w:t xml:space="preserve"> </w:t>
      </w:r>
      <w:r w:rsidR="00A50A44" w:rsidRPr="00323B2A">
        <w:rPr>
          <w:lang w:val="en-GB"/>
        </w:rPr>
        <w:t>is</w:t>
      </w:r>
      <w:r w:rsidR="002D50C4" w:rsidRPr="00323B2A">
        <w:rPr>
          <w:lang w:val="en-GB"/>
        </w:rPr>
        <w:t xml:space="preserve"> described</w:t>
      </w:r>
      <w:r w:rsidR="00A50A44" w:rsidRPr="00323B2A">
        <w:rPr>
          <w:lang w:val="en-GB"/>
        </w:rPr>
        <w:t xml:space="preserve"> below: </w:t>
      </w:r>
    </w:p>
    <w:p w14:paraId="30F08A07" w14:textId="77777777" w:rsidR="0051279C" w:rsidRPr="00365D34" w:rsidRDefault="0051279C" w:rsidP="00BF6B63">
      <w:pPr>
        <w:pStyle w:val="Paragrapgh-numbered"/>
        <w:numPr>
          <w:ilvl w:val="0"/>
          <w:numId w:val="56"/>
        </w:numPr>
        <w:rPr>
          <w:lang w:val="en-GB"/>
        </w:rPr>
      </w:pPr>
      <w:r w:rsidRPr="00365D34">
        <w:rPr>
          <w:lang w:val="en-GB"/>
        </w:rPr>
        <w:t>This proposal is expected to have a positive impact on determining common operational security requirements and principles by introducing a harmonised framework for frequency control.</w:t>
      </w:r>
    </w:p>
    <w:p w14:paraId="16EBF2F5" w14:textId="4D40E807" w:rsidR="0051279C" w:rsidRPr="00365D34" w:rsidRDefault="0051279C" w:rsidP="00BF6B63">
      <w:pPr>
        <w:pStyle w:val="Paragrapgh-numbered"/>
        <w:numPr>
          <w:ilvl w:val="0"/>
          <w:numId w:val="56"/>
        </w:numPr>
        <w:rPr>
          <w:lang w:val="en-GB"/>
        </w:rPr>
      </w:pPr>
      <w:r w:rsidRPr="00365D34">
        <w:rPr>
          <w:lang w:val="en-GB"/>
        </w:rPr>
        <w:t>This proposal is expected to have a positive impact on determining common interconnected system operatio</w:t>
      </w:r>
      <w:r w:rsidR="00DC3090">
        <w:rPr>
          <w:lang w:val="en-GB"/>
        </w:rPr>
        <w:t xml:space="preserve">nal planning principles by </w:t>
      </w:r>
      <w:r w:rsidRPr="00365D34">
        <w:rPr>
          <w:lang w:val="en-GB"/>
        </w:rPr>
        <w:t>establishing common principles for all interconnectors for the limits on the exchange and sharing of FCR, FRR and RR;</w:t>
      </w:r>
    </w:p>
    <w:p w14:paraId="74D44E42" w14:textId="2E17B3B3" w:rsidR="0051279C" w:rsidRPr="00323B2A" w:rsidRDefault="0051279C" w:rsidP="00BF6B63">
      <w:pPr>
        <w:pStyle w:val="Paragrapgh-numbered"/>
        <w:numPr>
          <w:ilvl w:val="0"/>
          <w:numId w:val="56"/>
        </w:numPr>
        <w:rPr>
          <w:lang w:val="en-GB"/>
        </w:rPr>
      </w:pPr>
      <w:r w:rsidRPr="00323B2A">
        <w:rPr>
          <w:lang w:val="en-GB"/>
        </w:rPr>
        <w:t>This proposal is expected t</w:t>
      </w:r>
      <w:r w:rsidR="002D117C">
        <w:rPr>
          <w:lang w:val="en-GB"/>
        </w:rPr>
        <w:t xml:space="preserve">o have a positive impact on </w:t>
      </w:r>
      <w:r w:rsidRPr="00323B2A">
        <w:rPr>
          <w:lang w:val="en-GB"/>
        </w:rPr>
        <w:t xml:space="preserve">determining </w:t>
      </w:r>
      <w:r w:rsidR="002D117C">
        <w:rPr>
          <w:lang w:val="en-GB"/>
        </w:rPr>
        <w:t xml:space="preserve">the </w:t>
      </w:r>
      <w:r w:rsidRPr="00323B2A">
        <w:rPr>
          <w:lang w:val="en-GB"/>
        </w:rPr>
        <w:t>common load-frequency control processes and control structures which are defined in this document;</w:t>
      </w:r>
    </w:p>
    <w:p w14:paraId="0FCB2F18" w14:textId="44244D65" w:rsidR="0051279C" w:rsidRPr="00323B2A" w:rsidRDefault="0051279C" w:rsidP="00BF6B63">
      <w:pPr>
        <w:pStyle w:val="Paragrapgh-numbered"/>
        <w:numPr>
          <w:ilvl w:val="0"/>
          <w:numId w:val="56"/>
        </w:numPr>
        <w:rPr>
          <w:lang w:val="en-GB"/>
        </w:rPr>
      </w:pPr>
      <w:r w:rsidRPr="00323B2A">
        <w:rPr>
          <w:lang w:val="en-GB"/>
        </w:rPr>
        <w:t xml:space="preserve">This proposal is expected to have a positive impact on ensuring the conditions for maintaining operational security throughout the Union. It does this at a GB level by establishing the Frequency Targets and Frequency Restoration Control Targets that the </w:t>
      </w:r>
      <w:r w:rsidR="00132908" w:rsidRPr="00323B2A">
        <w:rPr>
          <w:lang w:val="en-GB"/>
        </w:rPr>
        <w:t>E</w:t>
      </w:r>
      <w:r w:rsidRPr="00323B2A">
        <w:rPr>
          <w:lang w:val="en-GB"/>
        </w:rPr>
        <w:t>SO must operate to</w:t>
      </w:r>
      <w:r w:rsidR="00DC3090">
        <w:rPr>
          <w:lang w:val="en-GB"/>
        </w:rPr>
        <w:t>.</w:t>
      </w:r>
      <w:r w:rsidRPr="00323B2A">
        <w:rPr>
          <w:lang w:val="en-GB"/>
        </w:rPr>
        <w:t xml:space="preserve"> </w:t>
      </w:r>
      <w:r w:rsidR="00DC3090">
        <w:rPr>
          <w:lang w:val="en-GB"/>
        </w:rPr>
        <w:t>The proposal</w:t>
      </w:r>
      <w:r w:rsidRPr="00323B2A">
        <w:rPr>
          <w:lang w:val="en-GB"/>
        </w:rPr>
        <w:t xml:space="preserve"> contributes to cross-border security </w:t>
      </w:r>
      <w:r w:rsidR="00DC3090">
        <w:rPr>
          <w:lang w:val="en-GB"/>
        </w:rPr>
        <w:t>by</w:t>
      </w:r>
      <w:r w:rsidRPr="00323B2A">
        <w:rPr>
          <w:lang w:val="en-GB"/>
        </w:rPr>
        <w:t xml:space="preserve"> determining how the </w:t>
      </w:r>
      <w:r w:rsidR="00132908" w:rsidRPr="00323B2A">
        <w:rPr>
          <w:lang w:val="en-GB"/>
        </w:rPr>
        <w:t>E</w:t>
      </w:r>
      <w:r w:rsidRPr="00323B2A">
        <w:rPr>
          <w:lang w:val="en-GB"/>
        </w:rPr>
        <w:t>SO will determine what limits should be applied to the sharing and exchange of FCR, FRR and RR between the GB Synchronous Area and other Synchronous Areas;</w:t>
      </w:r>
    </w:p>
    <w:p w14:paraId="00DA5B9A" w14:textId="6ECDF1B0" w:rsidR="0051279C" w:rsidRPr="00323B2A" w:rsidRDefault="0051279C" w:rsidP="00BF6B63">
      <w:pPr>
        <w:pStyle w:val="Paragrapgh-numbered"/>
        <w:numPr>
          <w:ilvl w:val="0"/>
          <w:numId w:val="56"/>
        </w:numPr>
        <w:rPr>
          <w:lang w:val="en-GB"/>
        </w:rPr>
      </w:pPr>
      <w:r w:rsidRPr="00323B2A">
        <w:rPr>
          <w:lang w:val="en-GB"/>
        </w:rPr>
        <w:t xml:space="preserve">This proposal is expected to have a positive impact on ensuring the conditions for maintaining a frequency quality level of all synchronous areas throughout the Union, </w:t>
      </w:r>
      <w:r w:rsidR="00A6017D">
        <w:rPr>
          <w:lang w:val="en-GB"/>
        </w:rPr>
        <w:t>since it defines frequency quality standards the ESO must endeavour to maintain, the Basic Structure of control processes and methodologies defining procedures necessary to recover frequency quality when the system is no longer in a normal state</w:t>
      </w:r>
      <w:r w:rsidR="00A6017D" w:rsidRPr="00AA18D7">
        <w:rPr>
          <w:lang w:val="en-GB"/>
        </w:rPr>
        <w:t>;</w:t>
      </w:r>
    </w:p>
    <w:p w14:paraId="53F8D90B" w14:textId="38BA211F" w:rsidR="0051279C" w:rsidRPr="00323B2A" w:rsidRDefault="0051279C" w:rsidP="00BF6B63">
      <w:pPr>
        <w:pStyle w:val="Paragrapgh-numbered"/>
        <w:numPr>
          <w:ilvl w:val="0"/>
          <w:numId w:val="56"/>
        </w:numPr>
        <w:rPr>
          <w:lang w:val="en-GB"/>
        </w:rPr>
      </w:pPr>
      <w:r w:rsidRPr="00323B2A">
        <w:rPr>
          <w:lang w:val="en-GB"/>
        </w:rPr>
        <w:lastRenderedPageBreak/>
        <w:t xml:space="preserve">This proposal is considered to have a positive impact on promoting the coordination of system operation and operational planning through </w:t>
      </w:r>
      <w:r w:rsidR="002A7335">
        <w:rPr>
          <w:lang w:val="en-GB"/>
        </w:rPr>
        <w:t>the promotion of sharing and exchange of reserves and ensuring security by setting secure limits to sharing and exchange</w:t>
      </w:r>
      <w:r w:rsidRPr="00323B2A">
        <w:rPr>
          <w:lang w:val="en-GB"/>
        </w:rPr>
        <w:t>;</w:t>
      </w:r>
    </w:p>
    <w:p w14:paraId="0CAB5A62" w14:textId="15881568" w:rsidR="0051279C" w:rsidRPr="002A7335" w:rsidRDefault="0051279C" w:rsidP="00BF6B63">
      <w:pPr>
        <w:pStyle w:val="Paragrapgh-numbered"/>
        <w:numPr>
          <w:ilvl w:val="0"/>
          <w:numId w:val="56"/>
        </w:numPr>
        <w:rPr>
          <w:lang w:val="en-GB"/>
        </w:rPr>
      </w:pPr>
      <w:r w:rsidRPr="00323B2A">
        <w:rPr>
          <w:lang w:val="en-GB"/>
        </w:rPr>
        <w:t xml:space="preserve">This proposal is considered to </w:t>
      </w:r>
      <w:r w:rsidR="00A6017D">
        <w:rPr>
          <w:lang w:val="en-GB"/>
        </w:rPr>
        <w:t>make</w:t>
      </w:r>
      <w:r w:rsidR="00A6017D" w:rsidRPr="00323B2A">
        <w:rPr>
          <w:lang w:val="en-GB"/>
        </w:rPr>
        <w:t xml:space="preserve"> </w:t>
      </w:r>
      <w:r w:rsidRPr="00323B2A">
        <w:rPr>
          <w:lang w:val="en-GB"/>
        </w:rPr>
        <w:t xml:space="preserve">a positive contribution towards ensuring and enhancing </w:t>
      </w:r>
      <w:r w:rsidRPr="002A7335">
        <w:rPr>
          <w:lang w:val="en-GB"/>
        </w:rPr>
        <w:t xml:space="preserve">the transparency and reliability of information on transmission </w:t>
      </w:r>
      <w:r w:rsidRPr="00BF670E">
        <w:rPr>
          <w:lang w:val="en-GB"/>
        </w:rPr>
        <w:t xml:space="preserve">system operation through the publication of </w:t>
      </w:r>
      <w:r w:rsidR="00775349" w:rsidRPr="00BF670E">
        <w:rPr>
          <w:lang w:val="en-GB"/>
        </w:rPr>
        <w:t xml:space="preserve">information </w:t>
      </w:r>
      <w:r w:rsidR="00A6017D" w:rsidRPr="00BF670E">
        <w:rPr>
          <w:lang w:val="en-GB"/>
        </w:rPr>
        <w:t xml:space="preserve">related </w:t>
      </w:r>
      <w:r w:rsidR="00775349" w:rsidRPr="00BF670E">
        <w:rPr>
          <w:lang w:val="en-GB"/>
        </w:rPr>
        <w:t>to reserve capacity requirements and cross-border reserve sharing</w:t>
      </w:r>
      <w:r w:rsidR="00DC3090">
        <w:rPr>
          <w:lang w:val="en-GB"/>
        </w:rPr>
        <w:t xml:space="preserve"> and </w:t>
      </w:r>
      <w:r w:rsidR="00775349" w:rsidRPr="00BF670E">
        <w:rPr>
          <w:lang w:val="en-GB"/>
        </w:rPr>
        <w:t>exchange</w:t>
      </w:r>
      <w:r w:rsidR="008C2581" w:rsidRPr="00BF670E">
        <w:rPr>
          <w:lang w:val="en-GB"/>
        </w:rPr>
        <w:t>;</w:t>
      </w:r>
    </w:p>
    <w:p w14:paraId="24B7294F" w14:textId="1FD5C2FB" w:rsidR="0051279C" w:rsidRPr="00323B2A" w:rsidRDefault="0051279C" w:rsidP="00BF6B63">
      <w:pPr>
        <w:pStyle w:val="Paragrapgh-numbered"/>
        <w:numPr>
          <w:ilvl w:val="0"/>
          <w:numId w:val="56"/>
        </w:numPr>
        <w:rPr>
          <w:lang w:val="en-GB" w:eastAsia="en-US"/>
        </w:rPr>
      </w:pPr>
      <w:r w:rsidRPr="00323B2A">
        <w:rPr>
          <w:lang w:val="en-GB"/>
        </w:rPr>
        <w:t xml:space="preserve">This proposal is considered to make a positive </w:t>
      </w:r>
      <w:r w:rsidR="00FF4C4D" w:rsidRPr="00323B2A">
        <w:rPr>
          <w:lang w:val="en-GB"/>
        </w:rPr>
        <w:t>contribution</w:t>
      </w:r>
      <w:r w:rsidR="00A2167B" w:rsidRPr="00323B2A">
        <w:rPr>
          <w:lang w:val="en-GB"/>
        </w:rPr>
        <w:t xml:space="preserve"> towards</w:t>
      </w:r>
      <w:r w:rsidRPr="00323B2A">
        <w:rPr>
          <w:lang w:val="en-GB"/>
        </w:rPr>
        <w:t xml:space="preserve"> the efficient operation and development of the electricity transmission system and electricity sector in the Union</w:t>
      </w:r>
      <w:r w:rsidR="00FF4C4D" w:rsidRPr="00323B2A">
        <w:rPr>
          <w:lang w:val="en-GB"/>
        </w:rPr>
        <w:t xml:space="preserve"> </w:t>
      </w:r>
      <w:r w:rsidRPr="00323B2A">
        <w:rPr>
          <w:lang w:val="en-GB"/>
        </w:rPr>
        <w:t xml:space="preserve">by </w:t>
      </w:r>
      <w:r w:rsidR="00FF4C4D" w:rsidRPr="00323B2A">
        <w:rPr>
          <w:lang w:val="en-GB"/>
        </w:rPr>
        <w:t>promoting</w:t>
      </w:r>
      <w:r w:rsidRPr="00323B2A">
        <w:rPr>
          <w:lang w:val="en-GB"/>
        </w:rPr>
        <w:t xml:space="preserve"> effective operation of the load frequency control processes and effective and efficient use of reserves.</w:t>
      </w:r>
    </w:p>
    <w:p w14:paraId="1D944B53" w14:textId="77777777" w:rsidR="009F40BA" w:rsidRPr="00323B2A" w:rsidRDefault="009F40BA" w:rsidP="00024BFF">
      <w:pPr>
        <w:pStyle w:val="Paragrapgh-numbered"/>
        <w:ind w:left="1083"/>
        <w:rPr>
          <w:lang w:val="en-GB" w:eastAsia="en-US"/>
        </w:rPr>
      </w:pPr>
    </w:p>
    <w:p w14:paraId="5D1A8146" w14:textId="02A573BA" w:rsidR="002D50C4" w:rsidRPr="00323B2A" w:rsidRDefault="002D50C4" w:rsidP="006A4139">
      <w:pPr>
        <w:pStyle w:val="Paragrapgh-numbered"/>
        <w:spacing w:after="0"/>
        <w:contextualSpacing/>
        <w:rPr>
          <w:lang w:val="en-GB" w:eastAsia="en-US"/>
        </w:rPr>
      </w:pPr>
      <w:r w:rsidRPr="00323B2A">
        <w:rPr>
          <w:lang w:val="en-GB"/>
        </w:rPr>
        <w:t xml:space="preserve">SUBMIT THE FOLLOWING SYNCHRONOUS AREA OPERATIONAL </w:t>
      </w:r>
      <w:r w:rsidR="008E7123">
        <w:rPr>
          <w:lang w:val="en-GB"/>
        </w:rPr>
        <w:t xml:space="preserve">METHODOLOGIES </w:t>
      </w:r>
      <w:r w:rsidR="008E7123" w:rsidRPr="00323B2A">
        <w:rPr>
          <w:lang w:val="en-GB"/>
        </w:rPr>
        <w:t xml:space="preserve"> </w:t>
      </w:r>
      <w:r w:rsidRPr="00323B2A">
        <w:rPr>
          <w:lang w:val="en-GB"/>
        </w:rPr>
        <w:t>PROPOSAL TO THE GB REGULATORY AUTHORITY, OFGEM:</w:t>
      </w:r>
    </w:p>
    <w:p w14:paraId="1B823A2C" w14:textId="3C0DE365" w:rsidR="00A05F47" w:rsidRPr="00323B2A" w:rsidRDefault="000C4364" w:rsidP="00A6017D">
      <w:pPr>
        <w:pStyle w:val="Title1"/>
      </w:pPr>
      <w:bookmarkStart w:id="7" w:name="_Toc432586768"/>
      <w:bookmarkStart w:id="8" w:name="_Toc432586788"/>
      <w:bookmarkStart w:id="9" w:name="_Toc434227404"/>
      <w:bookmarkStart w:id="10" w:name="_Toc463335060"/>
      <w:r w:rsidRPr="00323B2A">
        <w:t xml:space="preserve">  </w:t>
      </w:r>
      <w:bookmarkStart w:id="11" w:name="_Toc517426322"/>
    </w:p>
    <w:p w14:paraId="5CDE3744" w14:textId="35125637" w:rsidR="009B4A26" w:rsidRPr="00323B2A" w:rsidRDefault="009B4A26">
      <w:pPr>
        <w:pStyle w:val="ArticleTitle"/>
      </w:pPr>
      <w:r w:rsidRPr="00323B2A">
        <w:t>General Provisions</w:t>
      </w:r>
      <w:bookmarkEnd w:id="7"/>
      <w:bookmarkEnd w:id="8"/>
      <w:bookmarkEnd w:id="9"/>
      <w:bookmarkEnd w:id="10"/>
      <w:bookmarkEnd w:id="11"/>
    </w:p>
    <w:p w14:paraId="50EB7A2C" w14:textId="77777777" w:rsidR="00085D4B" w:rsidRPr="00323B2A" w:rsidRDefault="00085D4B">
      <w:pPr>
        <w:pStyle w:val="Artnr"/>
      </w:pPr>
      <w:bookmarkStart w:id="12" w:name="_Ref425330626"/>
      <w:bookmarkStart w:id="13" w:name="_Ref427939169"/>
      <w:bookmarkStart w:id="14" w:name="_Toc517426323"/>
    </w:p>
    <w:p w14:paraId="53FB0790" w14:textId="67D0D0E9" w:rsidR="009B4A26" w:rsidRPr="00323B2A" w:rsidRDefault="009B4A26" w:rsidP="00E17BC1">
      <w:pPr>
        <w:pStyle w:val="Artnr"/>
        <w:numPr>
          <w:ilvl w:val="0"/>
          <w:numId w:val="0"/>
        </w:numPr>
        <w:jc w:val="center"/>
        <w:rPr>
          <w:i/>
        </w:rPr>
      </w:pPr>
      <w:r w:rsidRPr="00323B2A">
        <w:t>Subject matter and scope</w:t>
      </w:r>
      <w:bookmarkEnd w:id="12"/>
      <w:bookmarkEnd w:id="13"/>
      <w:bookmarkEnd w:id="14"/>
    </w:p>
    <w:p w14:paraId="605E13AD" w14:textId="205553AE" w:rsidR="009B4A26" w:rsidRPr="00323B2A" w:rsidRDefault="009B4A26" w:rsidP="006A7713">
      <w:pPr>
        <w:pStyle w:val="Paragrapgh-numbered"/>
        <w:numPr>
          <w:ilvl w:val="0"/>
          <w:numId w:val="34"/>
        </w:numPr>
        <w:rPr>
          <w:lang w:val="en-GB" w:eastAsia="en-US"/>
        </w:rPr>
      </w:pPr>
      <w:r w:rsidRPr="00323B2A">
        <w:rPr>
          <w:lang w:val="en-GB" w:eastAsia="en-US"/>
        </w:rPr>
        <w:t>This Synchronous Area Operational Agreement (</w:t>
      </w:r>
      <w:r w:rsidR="008E7123">
        <w:rPr>
          <w:lang w:val="en-GB" w:eastAsia="en-US"/>
        </w:rPr>
        <w:t>SAOM</w:t>
      </w:r>
      <w:r w:rsidRPr="00323B2A">
        <w:rPr>
          <w:lang w:val="en-GB" w:eastAsia="en-US"/>
        </w:rPr>
        <w:t xml:space="preserve">) </w:t>
      </w:r>
      <w:r w:rsidR="007C1C58" w:rsidRPr="00323B2A">
        <w:rPr>
          <w:lang w:val="en-GB" w:eastAsia="en-US"/>
        </w:rPr>
        <w:t xml:space="preserve">document </w:t>
      </w:r>
      <w:r w:rsidRPr="00323B2A">
        <w:rPr>
          <w:lang w:val="en-GB" w:eastAsia="en-US"/>
        </w:rPr>
        <w:t xml:space="preserve">for Great Britain contains: </w:t>
      </w:r>
    </w:p>
    <w:p w14:paraId="1425B110" w14:textId="09E60A99" w:rsidR="005607B9" w:rsidRPr="00365D34" w:rsidRDefault="007C1C58" w:rsidP="006A4139">
      <w:pPr>
        <w:pStyle w:val="Paragrapgh-numbered"/>
        <w:numPr>
          <w:ilvl w:val="1"/>
          <w:numId w:val="10"/>
        </w:numPr>
        <w:rPr>
          <w:lang w:val="en-GB"/>
        </w:rPr>
      </w:pPr>
      <w:r w:rsidRPr="00323B2A">
        <w:rPr>
          <w:lang w:val="en-GB" w:eastAsia="en-US"/>
        </w:rPr>
        <w:t>Title</w:t>
      </w:r>
      <w:r w:rsidR="009B4A26" w:rsidRPr="00323B2A">
        <w:rPr>
          <w:lang w:val="en-GB" w:eastAsia="en-US"/>
        </w:rPr>
        <w:t xml:space="preserve"> </w:t>
      </w:r>
      <w:r w:rsidRPr="00323B2A">
        <w:rPr>
          <w:lang w:val="en-GB" w:eastAsia="en-US"/>
        </w:rPr>
        <w:t>2</w:t>
      </w:r>
      <w:r w:rsidR="00CF0239" w:rsidRPr="00323B2A">
        <w:rPr>
          <w:lang w:val="en-GB" w:eastAsia="en-US"/>
        </w:rPr>
        <w:t xml:space="preserve">: </w:t>
      </w:r>
      <w:r w:rsidR="00CE343A" w:rsidRPr="00323B2A">
        <w:rPr>
          <w:lang w:val="en-GB" w:eastAsia="en-US"/>
        </w:rPr>
        <w:t>S</w:t>
      </w:r>
      <w:r w:rsidR="005607B9" w:rsidRPr="00323B2A">
        <w:rPr>
          <w:lang w:val="en-GB" w:eastAsia="en-US"/>
        </w:rPr>
        <w:t xml:space="preserve">ynchronous area operational </w:t>
      </w:r>
      <w:r w:rsidR="008E7123">
        <w:rPr>
          <w:lang w:val="en-GB" w:eastAsia="en-US"/>
        </w:rPr>
        <w:t>methodologies</w:t>
      </w:r>
      <w:r w:rsidR="008E7123" w:rsidRPr="00323B2A">
        <w:rPr>
          <w:lang w:val="en-GB" w:eastAsia="en-US"/>
        </w:rPr>
        <w:t xml:space="preserve"> </w:t>
      </w:r>
      <w:r w:rsidR="00CE343A" w:rsidRPr="00323B2A">
        <w:rPr>
          <w:lang w:val="en-GB" w:eastAsia="en-US"/>
        </w:rPr>
        <w:t xml:space="preserve">Part A. </w:t>
      </w:r>
    </w:p>
    <w:p w14:paraId="050664CB" w14:textId="66A5D66C" w:rsidR="0014209C" w:rsidRPr="00365D34" w:rsidRDefault="0014209C" w:rsidP="006A4139">
      <w:pPr>
        <w:pStyle w:val="Paragrapgh-numbered"/>
        <w:ind w:left="1083"/>
        <w:rPr>
          <w:lang w:val="en-GB"/>
        </w:rPr>
      </w:pPr>
      <w:r w:rsidRPr="00323B2A">
        <w:rPr>
          <w:lang w:val="en-GB" w:eastAsia="en-US"/>
        </w:rPr>
        <w:t xml:space="preserve">In accordance with SOGL Article </w:t>
      </w:r>
      <w:r w:rsidR="005607B9" w:rsidRPr="00323B2A">
        <w:rPr>
          <w:lang w:val="en-GB" w:eastAsia="en-US"/>
        </w:rPr>
        <w:t>6(3)</w:t>
      </w:r>
      <w:r w:rsidRPr="00323B2A">
        <w:rPr>
          <w:lang w:val="en-GB" w:eastAsia="en-US"/>
        </w:rPr>
        <w:t xml:space="preserve">, </w:t>
      </w:r>
      <w:r w:rsidR="005607B9" w:rsidRPr="00323B2A">
        <w:rPr>
          <w:lang w:val="en-GB" w:eastAsia="en-US"/>
        </w:rPr>
        <w:t xml:space="preserve">the methodologies, conditions and values described in this title </w:t>
      </w:r>
      <w:r w:rsidR="009B4A26" w:rsidRPr="00323B2A">
        <w:rPr>
          <w:lang w:val="en-GB" w:eastAsia="en-US"/>
        </w:rPr>
        <w:t xml:space="preserve">are subject to </w:t>
      </w:r>
      <w:r w:rsidR="005607B9" w:rsidRPr="00323B2A">
        <w:rPr>
          <w:lang w:val="en-GB" w:eastAsia="en-US"/>
        </w:rPr>
        <w:t>approval by the regulatory authority</w:t>
      </w:r>
      <w:r w:rsidRPr="00323B2A">
        <w:rPr>
          <w:lang w:val="en-GB" w:eastAsia="en-US"/>
        </w:rPr>
        <w:t xml:space="preserve">; </w:t>
      </w:r>
    </w:p>
    <w:p w14:paraId="61557924" w14:textId="5D813EB2" w:rsidR="0014209C" w:rsidRPr="00323B2A" w:rsidRDefault="0014209C" w:rsidP="006A4139">
      <w:pPr>
        <w:pStyle w:val="Paragrapgh-numbered"/>
        <w:numPr>
          <w:ilvl w:val="2"/>
          <w:numId w:val="10"/>
        </w:numPr>
        <w:rPr>
          <w:lang w:val="en-GB" w:eastAsia="en-US"/>
        </w:rPr>
      </w:pPr>
      <w:r w:rsidRPr="00323B2A">
        <w:rPr>
          <w:lang w:val="en-GB" w:eastAsia="en-US"/>
        </w:rPr>
        <w:t xml:space="preserve">the dimensioning rules for FCR in accordance with </w:t>
      </w:r>
      <w:r w:rsidR="008F63CB" w:rsidRPr="00323B2A">
        <w:rPr>
          <w:lang w:val="en-GB" w:eastAsia="en-US"/>
        </w:rPr>
        <w:t xml:space="preserve">SOGL </w:t>
      </w:r>
      <w:r w:rsidRPr="00323B2A">
        <w:rPr>
          <w:lang w:val="en-GB" w:eastAsia="en-US"/>
        </w:rPr>
        <w:t>Article 153</w:t>
      </w:r>
    </w:p>
    <w:p w14:paraId="2715392A" w14:textId="5E166EEE" w:rsidR="0014209C" w:rsidRPr="00323B2A" w:rsidRDefault="0014209C" w:rsidP="006A4139">
      <w:pPr>
        <w:pStyle w:val="Paragrapgh-numbered"/>
        <w:numPr>
          <w:ilvl w:val="2"/>
          <w:numId w:val="10"/>
        </w:numPr>
        <w:rPr>
          <w:lang w:val="en-GB" w:eastAsia="en-US"/>
        </w:rPr>
      </w:pPr>
      <w:r w:rsidRPr="00323B2A">
        <w:rPr>
          <w:lang w:val="en-GB" w:eastAsia="en-US"/>
        </w:rPr>
        <w:t xml:space="preserve">the additional properties of the FCR in accordance with </w:t>
      </w:r>
      <w:r w:rsidR="008F63CB" w:rsidRPr="00323B2A">
        <w:rPr>
          <w:lang w:val="en-GB" w:eastAsia="en-US"/>
        </w:rPr>
        <w:t xml:space="preserve">SOGL </w:t>
      </w:r>
      <w:r w:rsidRPr="00323B2A">
        <w:rPr>
          <w:lang w:val="en-GB" w:eastAsia="en-US"/>
        </w:rPr>
        <w:t>Article 154(2);</w:t>
      </w:r>
    </w:p>
    <w:p w14:paraId="743EC6FD" w14:textId="420A47F5" w:rsidR="0014209C" w:rsidRPr="00323B2A" w:rsidRDefault="0014209C" w:rsidP="006A4139">
      <w:pPr>
        <w:pStyle w:val="Paragrapgh-numbered"/>
        <w:numPr>
          <w:ilvl w:val="2"/>
          <w:numId w:val="10"/>
        </w:numPr>
        <w:rPr>
          <w:lang w:val="en-GB" w:eastAsia="en-US"/>
        </w:rPr>
      </w:pPr>
      <w:r w:rsidRPr="00323B2A">
        <w:rPr>
          <w:lang w:val="en-GB" w:eastAsia="en-US"/>
        </w:rPr>
        <w:t xml:space="preserve">the frequency quality defining parameters and the frequency quality target parameter in accordance with </w:t>
      </w:r>
      <w:r w:rsidR="008F63CB" w:rsidRPr="00323B2A">
        <w:rPr>
          <w:lang w:val="en-GB" w:eastAsia="en-US"/>
        </w:rPr>
        <w:t xml:space="preserve">SOGL </w:t>
      </w:r>
      <w:r w:rsidRPr="00323B2A">
        <w:rPr>
          <w:lang w:val="en-GB" w:eastAsia="en-US"/>
        </w:rPr>
        <w:t>Article 127;</w:t>
      </w:r>
    </w:p>
    <w:p w14:paraId="2764C3BC" w14:textId="7F6DDBA1" w:rsidR="0014209C" w:rsidRPr="00323B2A" w:rsidRDefault="0014209C" w:rsidP="006A4139">
      <w:pPr>
        <w:pStyle w:val="Paragrapgh-numbered"/>
        <w:numPr>
          <w:ilvl w:val="2"/>
          <w:numId w:val="10"/>
        </w:numPr>
        <w:rPr>
          <w:lang w:val="en-GB" w:eastAsia="en-US"/>
        </w:rPr>
      </w:pPr>
      <w:r w:rsidRPr="00323B2A">
        <w:rPr>
          <w:lang w:val="en-GB" w:eastAsia="en-US"/>
        </w:rPr>
        <w:t xml:space="preserve">for the GB synchronous areas, the measures to ensure the recovery of energy reservoirs in accordance with </w:t>
      </w:r>
      <w:r w:rsidR="008F63CB" w:rsidRPr="00323B2A">
        <w:rPr>
          <w:lang w:val="en-GB" w:eastAsia="en-US"/>
        </w:rPr>
        <w:t xml:space="preserve">SOGL </w:t>
      </w:r>
      <w:r w:rsidRPr="00323B2A">
        <w:rPr>
          <w:lang w:val="en-GB" w:eastAsia="en-US"/>
        </w:rPr>
        <w:t>Article 156(6)(b);</w:t>
      </w:r>
    </w:p>
    <w:p w14:paraId="5FB5C575" w14:textId="6455FCDB" w:rsidR="0014209C" w:rsidRPr="00323B2A" w:rsidRDefault="0014209C" w:rsidP="006A4139">
      <w:pPr>
        <w:pStyle w:val="Paragrapgh-numbered"/>
        <w:numPr>
          <w:ilvl w:val="2"/>
          <w:numId w:val="10"/>
        </w:numPr>
        <w:rPr>
          <w:lang w:val="en-GB" w:eastAsia="en-US"/>
        </w:rPr>
      </w:pPr>
      <w:r w:rsidRPr="00323B2A">
        <w:rPr>
          <w:lang w:val="en-GB" w:eastAsia="en-US"/>
        </w:rPr>
        <w:t xml:space="preserve">for the CE and Nordic synchronous areas, the minimum activation period to be ensured by FCR providers in accordance with </w:t>
      </w:r>
      <w:r w:rsidR="008F63CB" w:rsidRPr="00323B2A">
        <w:rPr>
          <w:lang w:val="en-GB" w:eastAsia="en-US"/>
        </w:rPr>
        <w:t xml:space="preserve">SOGL </w:t>
      </w:r>
      <w:r w:rsidRPr="00323B2A">
        <w:rPr>
          <w:lang w:val="en-GB" w:eastAsia="en-US"/>
        </w:rPr>
        <w:t>Article 156(10);</w:t>
      </w:r>
    </w:p>
    <w:p w14:paraId="5B650241" w14:textId="5CE7A401" w:rsidR="0014209C" w:rsidRPr="00323B2A" w:rsidRDefault="0014209C" w:rsidP="006A4139">
      <w:pPr>
        <w:pStyle w:val="Paragrapgh-numbered"/>
        <w:numPr>
          <w:ilvl w:val="2"/>
          <w:numId w:val="10"/>
        </w:numPr>
        <w:rPr>
          <w:lang w:val="en-GB" w:eastAsia="en-US"/>
        </w:rPr>
      </w:pPr>
      <w:r w:rsidRPr="00323B2A">
        <w:rPr>
          <w:lang w:val="en-GB" w:eastAsia="en-US"/>
        </w:rPr>
        <w:t xml:space="preserve">for the CE and Nordic synchronous areas, the assumptions and methodology for a cost-benefit analysis in accordance with </w:t>
      </w:r>
      <w:r w:rsidR="008F63CB" w:rsidRPr="00323B2A">
        <w:rPr>
          <w:lang w:val="en-GB" w:eastAsia="en-US"/>
        </w:rPr>
        <w:t xml:space="preserve">SOGL </w:t>
      </w:r>
      <w:r w:rsidRPr="00323B2A">
        <w:rPr>
          <w:lang w:val="en-GB" w:eastAsia="en-US"/>
        </w:rPr>
        <w:t>Article 156(11);</w:t>
      </w:r>
    </w:p>
    <w:p w14:paraId="4D144EE7" w14:textId="549FEE4C" w:rsidR="0014209C" w:rsidRPr="00323B2A" w:rsidRDefault="0014209C" w:rsidP="006A4139">
      <w:pPr>
        <w:pStyle w:val="Paragrapgh-numbered"/>
        <w:numPr>
          <w:ilvl w:val="2"/>
          <w:numId w:val="10"/>
        </w:numPr>
        <w:rPr>
          <w:lang w:val="en-GB" w:eastAsia="en-US"/>
        </w:rPr>
      </w:pPr>
      <w:r w:rsidRPr="00323B2A">
        <w:rPr>
          <w:lang w:val="en-GB" w:eastAsia="en-US"/>
        </w:rPr>
        <w:t xml:space="preserve">for synchronous areas other than CE and if applicable, the limits for the exchange of FCR between TSOs in accordance with </w:t>
      </w:r>
      <w:r w:rsidR="008F63CB" w:rsidRPr="00323B2A">
        <w:rPr>
          <w:lang w:val="en-GB" w:eastAsia="en-US"/>
        </w:rPr>
        <w:t xml:space="preserve">SOGL </w:t>
      </w:r>
      <w:r w:rsidRPr="00323B2A">
        <w:rPr>
          <w:lang w:val="en-GB" w:eastAsia="en-US"/>
        </w:rPr>
        <w:t>Article 163(2);</w:t>
      </w:r>
    </w:p>
    <w:p w14:paraId="1F23E536" w14:textId="53A5D055" w:rsidR="0014209C" w:rsidRPr="00323B2A" w:rsidRDefault="0014209C" w:rsidP="006A4139">
      <w:pPr>
        <w:pStyle w:val="Paragrapgh-numbered"/>
        <w:numPr>
          <w:ilvl w:val="2"/>
          <w:numId w:val="10"/>
        </w:numPr>
        <w:rPr>
          <w:lang w:val="en-GB" w:eastAsia="en-US"/>
        </w:rPr>
      </w:pPr>
      <w:r w:rsidRPr="00323B2A">
        <w:rPr>
          <w:lang w:val="en-GB" w:eastAsia="en-US"/>
        </w:rPr>
        <w:lastRenderedPageBreak/>
        <w:t xml:space="preserve">for the GB synchronous areas, the methodology to determine the minimum provision of reserve capacity on FCR between synchronous areas, defined in accordance with </w:t>
      </w:r>
      <w:r w:rsidR="008F63CB" w:rsidRPr="00323B2A">
        <w:rPr>
          <w:lang w:val="en-GB" w:eastAsia="en-US"/>
        </w:rPr>
        <w:t xml:space="preserve">SOGL </w:t>
      </w:r>
      <w:r w:rsidRPr="00323B2A">
        <w:rPr>
          <w:lang w:val="en-GB" w:eastAsia="en-US"/>
        </w:rPr>
        <w:t>Article 174(2)(b);</w:t>
      </w:r>
    </w:p>
    <w:p w14:paraId="3F1D14AB" w14:textId="214A7AAC" w:rsidR="0014209C" w:rsidRPr="00323B2A" w:rsidRDefault="0014209C" w:rsidP="006A4139">
      <w:pPr>
        <w:pStyle w:val="Paragrapgh-numbered"/>
        <w:numPr>
          <w:ilvl w:val="2"/>
          <w:numId w:val="10"/>
        </w:numPr>
        <w:rPr>
          <w:lang w:val="en-GB" w:eastAsia="en-US"/>
        </w:rPr>
      </w:pPr>
      <w:r w:rsidRPr="00323B2A">
        <w:rPr>
          <w:lang w:val="en-GB" w:eastAsia="en-US"/>
        </w:rPr>
        <w:t xml:space="preserve">limits on the amount of exchange of FRR between synchronous areas defined in accordance with </w:t>
      </w:r>
      <w:r w:rsidR="008F63CB" w:rsidRPr="00323B2A">
        <w:rPr>
          <w:lang w:val="en-GB" w:eastAsia="en-US"/>
        </w:rPr>
        <w:t xml:space="preserve">SOGL </w:t>
      </w:r>
      <w:r w:rsidRPr="00323B2A">
        <w:rPr>
          <w:lang w:val="en-GB" w:eastAsia="en-US"/>
        </w:rPr>
        <w:t xml:space="preserve">Article 176(1) and limits on the amount of sharing of FRR between synchronous areas defined in accordance with </w:t>
      </w:r>
      <w:r w:rsidR="008F63CB" w:rsidRPr="00323B2A">
        <w:rPr>
          <w:lang w:val="en-GB" w:eastAsia="en-US"/>
        </w:rPr>
        <w:t xml:space="preserve">SOGL </w:t>
      </w:r>
      <w:r w:rsidRPr="00323B2A">
        <w:rPr>
          <w:lang w:val="en-GB" w:eastAsia="en-US"/>
        </w:rPr>
        <w:t>Article 177(1);</w:t>
      </w:r>
    </w:p>
    <w:p w14:paraId="59AECBF8" w14:textId="4AB7B7C5" w:rsidR="0066401D" w:rsidRPr="00365D34" w:rsidRDefault="0014209C" w:rsidP="006A4139">
      <w:pPr>
        <w:pStyle w:val="Paragrapgh-numbered"/>
        <w:numPr>
          <w:ilvl w:val="2"/>
          <w:numId w:val="10"/>
        </w:numPr>
        <w:rPr>
          <w:lang w:val="en-GB"/>
        </w:rPr>
      </w:pPr>
      <w:r w:rsidRPr="00323B2A">
        <w:rPr>
          <w:lang w:val="en-GB" w:eastAsia="en-US"/>
        </w:rPr>
        <w:t xml:space="preserve">limits on the amount of exchange of RR between synchronous areas defined in accordance with </w:t>
      </w:r>
      <w:r w:rsidR="008F63CB" w:rsidRPr="00323B2A">
        <w:rPr>
          <w:lang w:val="en-GB" w:eastAsia="en-US"/>
        </w:rPr>
        <w:t xml:space="preserve">SOGL </w:t>
      </w:r>
      <w:r w:rsidRPr="00323B2A">
        <w:rPr>
          <w:lang w:val="en-GB" w:eastAsia="en-US"/>
        </w:rPr>
        <w:t xml:space="preserve">Article 178(1) and limits on the amount of sharing of RR between synchronous areas defined in accordance with </w:t>
      </w:r>
      <w:r w:rsidR="008F63CB" w:rsidRPr="00323B2A">
        <w:rPr>
          <w:lang w:val="en-GB" w:eastAsia="en-US"/>
        </w:rPr>
        <w:t xml:space="preserve">SOGL </w:t>
      </w:r>
      <w:r w:rsidRPr="00323B2A">
        <w:rPr>
          <w:lang w:val="en-GB" w:eastAsia="en-US"/>
        </w:rPr>
        <w:t>Article 179(1);</w:t>
      </w:r>
    </w:p>
    <w:p w14:paraId="5AD1774C" w14:textId="593134E5" w:rsidR="00CE343A" w:rsidRPr="00365D34" w:rsidRDefault="007C1C58" w:rsidP="00CE343A">
      <w:pPr>
        <w:pStyle w:val="Paragrapgh-numbered"/>
        <w:numPr>
          <w:ilvl w:val="1"/>
          <w:numId w:val="10"/>
        </w:numPr>
        <w:rPr>
          <w:lang w:val="en-GB"/>
        </w:rPr>
      </w:pPr>
      <w:r w:rsidRPr="00323B2A">
        <w:rPr>
          <w:lang w:val="en-GB" w:eastAsia="en-US"/>
        </w:rPr>
        <w:t>Title 3</w:t>
      </w:r>
      <w:r w:rsidR="00CF0239" w:rsidRPr="00323B2A">
        <w:rPr>
          <w:lang w:val="en-GB" w:eastAsia="en-US"/>
        </w:rPr>
        <w:t xml:space="preserve">: </w:t>
      </w:r>
      <w:r w:rsidR="00E169EC" w:rsidRPr="00323B2A">
        <w:rPr>
          <w:lang w:val="en-GB" w:eastAsia="en-US"/>
        </w:rPr>
        <w:t>S</w:t>
      </w:r>
      <w:r w:rsidR="00CE343A" w:rsidRPr="00323B2A">
        <w:rPr>
          <w:lang w:val="en-GB" w:eastAsia="en-US"/>
        </w:rPr>
        <w:t xml:space="preserve">ynchronous area operational </w:t>
      </w:r>
      <w:r w:rsidR="008E7123">
        <w:rPr>
          <w:lang w:val="en-GB" w:eastAsia="en-US"/>
        </w:rPr>
        <w:t>methodologies</w:t>
      </w:r>
      <w:r w:rsidR="00CE343A" w:rsidRPr="00323B2A">
        <w:rPr>
          <w:lang w:val="en-GB" w:eastAsia="en-US"/>
        </w:rPr>
        <w:t>, Part B</w:t>
      </w:r>
    </w:p>
    <w:p w14:paraId="30DA9659" w14:textId="0DA3287D" w:rsidR="0066401D" w:rsidRPr="00365D34" w:rsidRDefault="00B5486A" w:rsidP="006A4139">
      <w:pPr>
        <w:pStyle w:val="Paragrapgh-numbered"/>
        <w:ind w:left="1083"/>
        <w:rPr>
          <w:lang w:val="en-GB"/>
        </w:rPr>
      </w:pPr>
      <w:r w:rsidRPr="00323B2A">
        <w:rPr>
          <w:lang w:val="en-GB" w:eastAsia="en-US"/>
        </w:rPr>
        <w:t>I</w:t>
      </w:r>
      <w:r w:rsidR="00CE343A" w:rsidRPr="00323B2A">
        <w:rPr>
          <w:lang w:val="en-GB" w:eastAsia="en-US"/>
        </w:rPr>
        <w:t>n accordance with SOGL Article 6(3) t</w:t>
      </w:r>
      <w:r w:rsidR="0014209C" w:rsidRPr="00323B2A">
        <w:rPr>
          <w:lang w:val="en-GB" w:eastAsia="en-US"/>
        </w:rPr>
        <w:t xml:space="preserve">hese </w:t>
      </w:r>
      <w:r w:rsidR="005607B9" w:rsidRPr="00323B2A">
        <w:rPr>
          <w:lang w:val="en-GB" w:eastAsia="en-US"/>
        </w:rPr>
        <w:t xml:space="preserve">methodologies, conditions and values </w:t>
      </w:r>
      <w:r w:rsidR="009B4A26" w:rsidRPr="00323B2A">
        <w:rPr>
          <w:lang w:val="en-GB" w:eastAsia="en-US"/>
        </w:rPr>
        <w:t>are not subject to approval</w:t>
      </w:r>
      <w:r w:rsidR="005607B9" w:rsidRPr="00323B2A">
        <w:rPr>
          <w:lang w:val="en-GB" w:eastAsia="en-US"/>
        </w:rPr>
        <w:t xml:space="preserve"> by the regulatory authority;</w:t>
      </w:r>
    </w:p>
    <w:p w14:paraId="4CC691D9" w14:textId="75189916" w:rsidR="005607B9" w:rsidRPr="00365D34" w:rsidRDefault="005607B9" w:rsidP="006A4139">
      <w:pPr>
        <w:pStyle w:val="Paragrapgh-numbered"/>
        <w:numPr>
          <w:ilvl w:val="2"/>
          <w:numId w:val="10"/>
        </w:numPr>
        <w:rPr>
          <w:lang w:val="en-GB"/>
        </w:rPr>
      </w:pPr>
      <w:r w:rsidRPr="00365D34">
        <w:rPr>
          <w:lang w:val="en-GB"/>
        </w:rPr>
        <w:t xml:space="preserve">for the Continental Europe (‘CE’) and Nordic synchronous areas, the frequency restoration control error target parameters for each LFC block in accordance with </w:t>
      </w:r>
      <w:r w:rsidR="008F63CB" w:rsidRPr="00323B2A">
        <w:rPr>
          <w:lang w:val="en-GB" w:eastAsia="en-US"/>
        </w:rPr>
        <w:t xml:space="preserve">SOGL </w:t>
      </w:r>
      <w:r w:rsidRPr="00365D34">
        <w:rPr>
          <w:lang w:val="en-GB"/>
        </w:rPr>
        <w:t>Article 128;</w:t>
      </w:r>
    </w:p>
    <w:p w14:paraId="78D6108A" w14:textId="619B53D1" w:rsidR="005607B9" w:rsidRPr="00365D34" w:rsidRDefault="005607B9" w:rsidP="006A4139">
      <w:pPr>
        <w:pStyle w:val="Paragrapgh-numbered"/>
        <w:numPr>
          <w:ilvl w:val="2"/>
          <w:numId w:val="10"/>
        </w:numPr>
        <w:rPr>
          <w:lang w:val="en-GB"/>
        </w:rPr>
      </w:pPr>
      <w:r w:rsidRPr="00365D34">
        <w:rPr>
          <w:lang w:val="en-GB"/>
        </w:rPr>
        <w:t xml:space="preserve">the methodology to assess the risk and the evolution of the risk of exhaustion of FCR of the synchronous area in accordance with </w:t>
      </w:r>
      <w:r w:rsidR="008F63CB" w:rsidRPr="00323B2A">
        <w:rPr>
          <w:lang w:val="en-GB" w:eastAsia="en-US"/>
        </w:rPr>
        <w:t xml:space="preserve">SOGL </w:t>
      </w:r>
      <w:r w:rsidRPr="00365D34">
        <w:rPr>
          <w:lang w:val="en-GB"/>
        </w:rPr>
        <w:t>Article 131(2);</w:t>
      </w:r>
    </w:p>
    <w:p w14:paraId="47456EC0" w14:textId="1F4246AB" w:rsidR="005607B9" w:rsidRPr="00365D34" w:rsidRDefault="005607B9" w:rsidP="006A4139">
      <w:pPr>
        <w:pStyle w:val="Paragrapgh-numbered"/>
        <w:numPr>
          <w:ilvl w:val="2"/>
          <w:numId w:val="10"/>
        </w:numPr>
        <w:rPr>
          <w:lang w:val="en-GB"/>
        </w:rPr>
      </w:pPr>
      <w:r w:rsidRPr="00365D34">
        <w:rPr>
          <w:lang w:val="en-GB"/>
        </w:rPr>
        <w:t xml:space="preserve">the synchronous area monitor in accordance with </w:t>
      </w:r>
      <w:r w:rsidR="008F63CB" w:rsidRPr="00323B2A">
        <w:rPr>
          <w:lang w:val="en-GB" w:eastAsia="en-US"/>
        </w:rPr>
        <w:t xml:space="preserve">SOGL </w:t>
      </w:r>
      <w:r w:rsidRPr="00365D34">
        <w:rPr>
          <w:lang w:val="en-GB"/>
        </w:rPr>
        <w:t>Article 133;</w:t>
      </w:r>
    </w:p>
    <w:p w14:paraId="4DB695E3" w14:textId="7731A694" w:rsidR="005607B9" w:rsidRPr="00365D34" w:rsidRDefault="005607B9" w:rsidP="006A4139">
      <w:pPr>
        <w:pStyle w:val="Paragrapgh-numbered"/>
        <w:numPr>
          <w:ilvl w:val="2"/>
          <w:numId w:val="10"/>
        </w:numPr>
        <w:rPr>
          <w:lang w:val="en-GB"/>
        </w:rPr>
      </w:pPr>
      <w:r w:rsidRPr="00365D34">
        <w:rPr>
          <w:lang w:val="en-GB"/>
        </w:rPr>
        <w:t xml:space="preserve">the calculation of the control program from the netted area AC position with a common ramping period for ACE calculation for a synchronous area with more than one LFC area in accordance with </w:t>
      </w:r>
      <w:r w:rsidR="008F63CB" w:rsidRPr="00323B2A">
        <w:rPr>
          <w:lang w:val="en-GB" w:eastAsia="en-US"/>
        </w:rPr>
        <w:t xml:space="preserve">SOGL </w:t>
      </w:r>
      <w:r w:rsidRPr="00365D34">
        <w:rPr>
          <w:lang w:val="en-GB"/>
        </w:rPr>
        <w:t>Article 136;</w:t>
      </w:r>
    </w:p>
    <w:p w14:paraId="70A11302" w14:textId="6B20179C" w:rsidR="005607B9" w:rsidRPr="00365D34" w:rsidRDefault="005607B9" w:rsidP="006A4139">
      <w:pPr>
        <w:pStyle w:val="Paragrapgh-numbered"/>
        <w:numPr>
          <w:ilvl w:val="2"/>
          <w:numId w:val="10"/>
        </w:numPr>
        <w:rPr>
          <w:lang w:val="en-GB"/>
        </w:rPr>
      </w:pPr>
      <w:r w:rsidRPr="00365D34">
        <w:rPr>
          <w:lang w:val="en-GB"/>
        </w:rPr>
        <w:t xml:space="preserve">if applicable, restrictions for the active power output of HVDC interconnectors between synchronous areas in accordance with </w:t>
      </w:r>
      <w:r w:rsidR="008F63CB" w:rsidRPr="00323B2A">
        <w:rPr>
          <w:lang w:val="en-GB" w:eastAsia="en-US"/>
        </w:rPr>
        <w:t xml:space="preserve">SOGL </w:t>
      </w:r>
      <w:r w:rsidRPr="00365D34">
        <w:rPr>
          <w:lang w:val="en-GB"/>
        </w:rPr>
        <w:t>Article 137;</w:t>
      </w:r>
    </w:p>
    <w:p w14:paraId="6E6322FE" w14:textId="363F4B48" w:rsidR="005607B9" w:rsidRPr="00365D34" w:rsidRDefault="005607B9" w:rsidP="006A4139">
      <w:pPr>
        <w:pStyle w:val="Paragrapgh-numbered"/>
        <w:numPr>
          <w:ilvl w:val="2"/>
          <w:numId w:val="10"/>
        </w:numPr>
        <w:rPr>
          <w:lang w:val="en-GB"/>
        </w:rPr>
      </w:pPr>
      <w:r w:rsidRPr="00365D34">
        <w:rPr>
          <w:lang w:val="en-GB"/>
        </w:rPr>
        <w:t xml:space="preserve">the LFC structure in accordance with </w:t>
      </w:r>
      <w:r w:rsidR="008F63CB" w:rsidRPr="00323B2A">
        <w:rPr>
          <w:lang w:val="en-GB" w:eastAsia="en-US"/>
        </w:rPr>
        <w:t xml:space="preserve">SOGL </w:t>
      </w:r>
      <w:r w:rsidRPr="00365D34">
        <w:rPr>
          <w:lang w:val="en-GB"/>
        </w:rPr>
        <w:t>Article 139;</w:t>
      </w:r>
    </w:p>
    <w:p w14:paraId="6C42606F" w14:textId="2C981AB0" w:rsidR="005607B9" w:rsidRPr="00365D34" w:rsidRDefault="005607B9" w:rsidP="006A4139">
      <w:pPr>
        <w:pStyle w:val="Paragrapgh-numbered"/>
        <w:numPr>
          <w:ilvl w:val="2"/>
          <w:numId w:val="10"/>
        </w:numPr>
        <w:rPr>
          <w:lang w:val="en-GB"/>
        </w:rPr>
      </w:pPr>
      <w:r w:rsidRPr="00365D34">
        <w:rPr>
          <w:lang w:val="en-GB"/>
        </w:rPr>
        <w:t xml:space="preserve">if applicable, the methodology to reduce the electrical time deviation in accordance with </w:t>
      </w:r>
      <w:r w:rsidR="008F63CB" w:rsidRPr="00323B2A">
        <w:rPr>
          <w:lang w:val="en-GB" w:eastAsia="en-US"/>
        </w:rPr>
        <w:t xml:space="preserve">SOGL </w:t>
      </w:r>
      <w:r w:rsidRPr="00365D34">
        <w:rPr>
          <w:lang w:val="en-GB"/>
        </w:rPr>
        <w:t>Article 181;</w:t>
      </w:r>
    </w:p>
    <w:p w14:paraId="497A6D66" w14:textId="4F997A0C" w:rsidR="005607B9" w:rsidRPr="00365D34" w:rsidRDefault="005607B9" w:rsidP="006A4139">
      <w:pPr>
        <w:pStyle w:val="Paragrapgh-numbered"/>
        <w:numPr>
          <w:ilvl w:val="2"/>
          <w:numId w:val="10"/>
        </w:numPr>
        <w:rPr>
          <w:lang w:val="en-GB"/>
        </w:rPr>
      </w:pPr>
      <w:r w:rsidRPr="00365D34">
        <w:rPr>
          <w:lang w:val="en-GB"/>
        </w:rPr>
        <w:t xml:space="preserve">whenever the synchronous area is operated by more than one TSO, the specific allocation of responsibilities between TSOs in accordance with </w:t>
      </w:r>
      <w:r w:rsidR="008F63CB" w:rsidRPr="00323B2A">
        <w:rPr>
          <w:lang w:val="en-GB" w:eastAsia="en-US"/>
        </w:rPr>
        <w:t xml:space="preserve">SOGL </w:t>
      </w:r>
      <w:r w:rsidRPr="00365D34">
        <w:rPr>
          <w:lang w:val="en-GB"/>
        </w:rPr>
        <w:t>Article 141;</w:t>
      </w:r>
    </w:p>
    <w:p w14:paraId="78C3AB42" w14:textId="58558C54" w:rsidR="005607B9" w:rsidRPr="00365D34" w:rsidRDefault="005607B9" w:rsidP="006A4139">
      <w:pPr>
        <w:pStyle w:val="Paragrapgh-numbered"/>
        <w:numPr>
          <w:ilvl w:val="2"/>
          <w:numId w:val="10"/>
        </w:numPr>
        <w:rPr>
          <w:lang w:val="en-GB"/>
        </w:rPr>
      </w:pPr>
      <w:r w:rsidRPr="00365D34">
        <w:rPr>
          <w:lang w:val="en-GB"/>
        </w:rPr>
        <w:t xml:space="preserve">operational procedures in case of exhausted FCR in accordance with </w:t>
      </w:r>
      <w:r w:rsidR="008F63CB" w:rsidRPr="00323B2A">
        <w:rPr>
          <w:lang w:val="en-GB" w:eastAsia="en-US"/>
        </w:rPr>
        <w:t xml:space="preserve">SOGL </w:t>
      </w:r>
      <w:r w:rsidRPr="00365D34">
        <w:rPr>
          <w:lang w:val="en-GB"/>
        </w:rPr>
        <w:t>Article 152(7);</w:t>
      </w:r>
    </w:p>
    <w:p w14:paraId="058DEE94" w14:textId="708DA968" w:rsidR="005607B9" w:rsidRPr="00365D34" w:rsidRDefault="005607B9" w:rsidP="006A4139">
      <w:pPr>
        <w:pStyle w:val="Paragrapgh-numbered"/>
        <w:numPr>
          <w:ilvl w:val="2"/>
          <w:numId w:val="10"/>
        </w:numPr>
        <w:rPr>
          <w:lang w:val="en-GB"/>
        </w:rPr>
      </w:pPr>
      <w:r w:rsidRPr="00365D34">
        <w:rPr>
          <w:lang w:val="en-GB"/>
        </w:rPr>
        <w:t xml:space="preserve">operational procedures to reduce the system frequency deviation to restore the system state to normal state and to limit the risk of entering into the emergency state in accordance with </w:t>
      </w:r>
      <w:r w:rsidR="008F63CB" w:rsidRPr="00323B2A">
        <w:rPr>
          <w:lang w:val="en-GB" w:eastAsia="en-US"/>
        </w:rPr>
        <w:t xml:space="preserve">SOGL </w:t>
      </w:r>
      <w:r w:rsidRPr="00365D34">
        <w:rPr>
          <w:lang w:val="en-GB"/>
        </w:rPr>
        <w:t>Article 152(10);</w:t>
      </w:r>
    </w:p>
    <w:p w14:paraId="310650F3" w14:textId="455A0BEC" w:rsidR="005607B9" w:rsidRPr="00365D34" w:rsidRDefault="005607B9" w:rsidP="006A4139">
      <w:pPr>
        <w:pStyle w:val="Paragrapgh-numbered"/>
        <w:numPr>
          <w:ilvl w:val="2"/>
          <w:numId w:val="10"/>
        </w:numPr>
        <w:rPr>
          <w:lang w:val="en-GB"/>
        </w:rPr>
      </w:pPr>
      <w:r w:rsidRPr="00365D34">
        <w:rPr>
          <w:lang w:val="en-GB"/>
        </w:rPr>
        <w:t xml:space="preserve">the roles and responsibilities of the TSOs implementing an imbalance netting process, a cross-border FRR activation process or a cross-border RR activation process in accordance with </w:t>
      </w:r>
      <w:r w:rsidR="008F63CB" w:rsidRPr="00323B2A">
        <w:rPr>
          <w:lang w:val="en-GB" w:eastAsia="en-US"/>
        </w:rPr>
        <w:t xml:space="preserve">SOGL </w:t>
      </w:r>
      <w:r w:rsidRPr="00365D34">
        <w:rPr>
          <w:lang w:val="en-GB"/>
        </w:rPr>
        <w:t>Article 149(2);</w:t>
      </w:r>
    </w:p>
    <w:p w14:paraId="5A5C420F" w14:textId="6D29CFB4" w:rsidR="005607B9" w:rsidRPr="00365D34" w:rsidRDefault="005607B9" w:rsidP="006A4139">
      <w:pPr>
        <w:pStyle w:val="Paragrapgh-numbered"/>
        <w:numPr>
          <w:ilvl w:val="2"/>
          <w:numId w:val="10"/>
        </w:numPr>
        <w:rPr>
          <w:lang w:val="en-GB"/>
        </w:rPr>
      </w:pPr>
      <w:r w:rsidRPr="00365D34">
        <w:rPr>
          <w:lang w:val="en-GB"/>
        </w:rPr>
        <w:lastRenderedPageBreak/>
        <w:t xml:space="preserve">requirements concerning the availability, reliability and redundancy of the technical infrastructure in accordance with </w:t>
      </w:r>
      <w:r w:rsidR="008F63CB" w:rsidRPr="00323B2A">
        <w:rPr>
          <w:lang w:val="en-GB" w:eastAsia="en-US"/>
        </w:rPr>
        <w:t xml:space="preserve">SOGL </w:t>
      </w:r>
      <w:r w:rsidRPr="00365D34">
        <w:rPr>
          <w:lang w:val="en-GB"/>
        </w:rPr>
        <w:t>Article 151(2);</w:t>
      </w:r>
    </w:p>
    <w:p w14:paraId="205F13BD" w14:textId="33D94CC3" w:rsidR="005607B9" w:rsidRPr="00365D34" w:rsidRDefault="005607B9" w:rsidP="006A4139">
      <w:pPr>
        <w:pStyle w:val="Paragrapgh-numbered"/>
        <w:numPr>
          <w:ilvl w:val="2"/>
          <w:numId w:val="10"/>
        </w:numPr>
        <w:rPr>
          <w:lang w:val="en-GB"/>
        </w:rPr>
      </w:pPr>
      <w:r w:rsidRPr="00365D34">
        <w:rPr>
          <w:lang w:val="en-GB"/>
        </w:rPr>
        <w:t xml:space="preserve">common rules for the operation in normal state and alert state in accordance with </w:t>
      </w:r>
      <w:r w:rsidR="008F63CB" w:rsidRPr="00323B2A">
        <w:rPr>
          <w:lang w:val="en-GB" w:eastAsia="en-US"/>
        </w:rPr>
        <w:t xml:space="preserve">SOGL </w:t>
      </w:r>
      <w:r w:rsidRPr="00365D34">
        <w:rPr>
          <w:lang w:val="en-GB"/>
        </w:rPr>
        <w:t xml:space="preserve">Article 152(6) and the actions referred to in </w:t>
      </w:r>
      <w:r w:rsidR="008F63CB" w:rsidRPr="00323B2A">
        <w:rPr>
          <w:lang w:val="en-GB" w:eastAsia="en-US"/>
        </w:rPr>
        <w:t xml:space="preserve">SOGL </w:t>
      </w:r>
      <w:r w:rsidRPr="00365D34">
        <w:rPr>
          <w:lang w:val="en-GB"/>
        </w:rPr>
        <w:t>Article 152(15);</w:t>
      </w:r>
    </w:p>
    <w:p w14:paraId="7A850EC7" w14:textId="4342339A" w:rsidR="005607B9" w:rsidRPr="00365D34" w:rsidRDefault="005607B9" w:rsidP="006A4139">
      <w:pPr>
        <w:pStyle w:val="Paragrapgh-numbered"/>
        <w:numPr>
          <w:ilvl w:val="2"/>
          <w:numId w:val="10"/>
        </w:numPr>
        <w:rPr>
          <w:lang w:val="en-GB"/>
        </w:rPr>
      </w:pPr>
      <w:r w:rsidRPr="00365D34">
        <w:rPr>
          <w:lang w:val="en-GB"/>
        </w:rPr>
        <w:t xml:space="preserve">the roles and responsibilities of the reserve connecting TSO, the reserve receiving TSO and the affected TSO as regards the exchange of FRR and RR defined in accordance with </w:t>
      </w:r>
      <w:r w:rsidR="008F63CB" w:rsidRPr="00323B2A">
        <w:rPr>
          <w:lang w:val="en-GB" w:eastAsia="en-US"/>
        </w:rPr>
        <w:t xml:space="preserve">SOGL </w:t>
      </w:r>
      <w:r w:rsidRPr="00365D34">
        <w:rPr>
          <w:lang w:val="en-GB"/>
        </w:rPr>
        <w:t>Article 165(1);</w:t>
      </w:r>
    </w:p>
    <w:p w14:paraId="5D94CF51" w14:textId="0674191E" w:rsidR="005607B9" w:rsidRPr="00365D34" w:rsidRDefault="005607B9" w:rsidP="006A4139">
      <w:pPr>
        <w:pStyle w:val="Paragrapgh-numbered"/>
        <w:numPr>
          <w:ilvl w:val="2"/>
          <w:numId w:val="10"/>
        </w:numPr>
        <w:rPr>
          <w:lang w:val="en-GB"/>
        </w:rPr>
      </w:pPr>
      <w:r w:rsidRPr="00365D34">
        <w:rPr>
          <w:lang w:val="en-GB"/>
        </w:rPr>
        <w:t xml:space="preserve">the roles and responsibilities of the control capability providing TSO, the control capability receiving TSO and the affected TSO for the sharing of FRR and RR defined in accordance with </w:t>
      </w:r>
      <w:r w:rsidR="008F63CB" w:rsidRPr="00323B2A">
        <w:rPr>
          <w:lang w:val="en-GB" w:eastAsia="en-US"/>
        </w:rPr>
        <w:t xml:space="preserve">SOGL </w:t>
      </w:r>
      <w:r w:rsidRPr="00365D34">
        <w:rPr>
          <w:lang w:val="en-GB"/>
        </w:rPr>
        <w:t>Article 166(1);</w:t>
      </w:r>
    </w:p>
    <w:p w14:paraId="30E24D57" w14:textId="77777777" w:rsidR="005607B9" w:rsidRPr="00365D34" w:rsidRDefault="005607B9" w:rsidP="006A4139">
      <w:pPr>
        <w:pStyle w:val="Paragrapgh-numbered"/>
        <w:numPr>
          <w:ilvl w:val="2"/>
          <w:numId w:val="10"/>
        </w:numPr>
        <w:rPr>
          <w:lang w:val="en-GB"/>
        </w:rPr>
      </w:pPr>
      <w:r w:rsidRPr="00365D34">
        <w:rPr>
          <w:lang w:val="en-GB"/>
        </w:rPr>
        <w:t>the roles and responsibilities of the reserve connecting TSO, the reserve receiving TSO and the affected TSO for the exchange of reserves between synchronous areas, and of the control capability providing TSO, the control capability receiving TSO and the affected TSO for the sharing of reserves between synchronous areas defined in accordance with Article 171(2);</w:t>
      </w:r>
    </w:p>
    <w:p w14:paraId="74BDC032" w14:textId="560C7292" w:rsidR="005607B9" w:rsidRPr="00365D34" w:rsidRDefault="00CE343A" w:rsidP="006A4139">
      <w:pPr>
        <w:pStyle w:val="Paragrapgh-numbered"/>
        <w:numPr>
          <w:ilvl w:val="2"/>
          <w:numId w:val="10"/>
        </w:numPr>
        <w:rPr>
          <w:lang w:val="en-GB"/>
        </w:rPr>
      </w:pPr>
      <w:r w:rsidRPr="00365D34">
        <w:rPr>
          <w:lang w:val="en-GB"/>
        </w:rPr>
        <w:t>for the GB</w:t>
      </w:r>
      <w:r w:rsidR="00A05F47" w:rsidRPr="00365D34">
        <w:rPr>
          <w:lang w:val="en-GB"/>
        </w:rPr>
        <w:t xml:space="preserve"> </w:t>
      </w:r>
      <w:r w:rsidR="005607B9" w:rsidRPr="00365D34">
        <w:rPr>
          <w:lang w:val="en-GB"/>
        </w:rPr>
        <w:t xml:space="preserve">synchronous areas, the methodology to determine the minimum provision of reserve capacity on FCR in accordance with </w:t>
      </w:r>
      <w:r w:rsidR="008F63CB" w:rsidRPr="00323B2A">
        <w:rPr>
          <w:lang w:val="en-GB" w:eastAsia="en-US"/>
        </w:rPr>
        <w:t xml:space="preserve">SOGL </w:t>
      </w:r>
      <w:r w:rsidR="005607B9" w:rsidRPr="00365D34">
        <w:rPr>
          <w:lang w:val="en-GB"/>
        </w:rPr>
        <w:t>Article 174(2)(b);</w:t>
      </w:r>
    </w:p>
    <w:p w14:paraId="49E88BC6" w14:textId="77777777" w:rsidR="0066401D" w:rsidRPr="00323B2A" w:rsidRDefault="0066401D" w:rsidP="006A4139">
      <w:pPr>
        <w:pStyle w:val="Paragrapgh-numbered"/>
        <w:ind w:left="1083"/>
        <w:rPr>
          <w:lang w:val="en-GB" w:eastAsia="en-US"/>
        </w:rPr>
      </w:pPr>
    </w:p>
    <w:p w14:paraId="7946FC73" w14:textId="77777777" w:rsidR="0075435C" w:rsidRPr="00323B2A" w:rsidRDefault="0075435C" w:rsidP="006A4139">
      <w:pPr>
        <w:pStyle w:val="Paragrapgh-numbered"/>
        <w:ind w:left="360" w:hanging="360"/>
        <w:rPr>
          <w:lang w:val="en-GB" w:eastAsia="en-US"/>
        </w:rPr>
      </w:pPr>
    </w:p>
    <w:p w14:paraId="64424863" w14:textId="77777777" w:rsidR="00503E88" w:rsidRPr="00323B2A" w:rsidRDefault="00503E88" w:rsidP="00A6017D">
      <w:pPr>
        <w:pStyle w:val="Artnr"/>
      </w:pPr>
      <w:bookmarkStart w:id="15" w:name="_Toc517426324"/>
    </w:p>
    <w:p w14:paraId="334FB998" w14:textId="4F53FDF4" w:rsidR="009B4A26" w:rsidRPr="00323B2A" w:rsidRDefault="009B4A26" w:rsidP="00A6017D">
      <w:pPr>
        <w:pStyle w:val="ArticleTitle"/>
      </w:pPr>
      <w:r w:rsidRPr="00323B2A">
        <w:t>Definitions and interpretation</w:t>
      </w:r>
      <w:bookmarkEnd w:id="15"/>
    </w:p>
    <w:p w14:paraId="148A039F" w14:textId="77777777" w:rsidR="00B8126D" w:rsidRPr="00E30F4D" w:rsidRDefault="00B8126D" w:rsidP="00B8126D">
      <w:pPr>
        <w:pStyle w:val="Paragrapgh-numbered"/>
        <w:numPr>
          <w:ilvl w:val="0"/>
          <w:numId w:val="17"/>
        </w:numPr>
        <w:rPr>
          <w:lang w:val="en-GB"/>
        </w:rPr>
      </w:pPr>
      <w:r w:rsidRPr="00E30F4D">
        <w:rPr>
          <w:lang w:val="en-GB"/>
        </w:rPr>
        <w:t>For the purposes of this proposal, the terms used shall have the meaning of the defi</w:t>
      </w:r>
      <w:r>
        <w:rPr>
          <w:lang w:val="en-GB"/>
        </w:rPr>
        <w:t>nitions and references included in the SOGL, Article 3</w:t>
      </w:r>
      <w:r w:rsidRPr="00E30F4D">
        <w:rPr>
          <w:lang w:val="en-GB"/>
        </w:rPr>
        <w:t>.</w:t>
      </w:r>
    </w:p>
    <w:p w14:paraId="55E08DC9" w14:textId="77777777" w:rsidR="00B8126D" w:rsidRPr="00E071D3" w:rsidRDefault="00B8126D" w:rsidP="00B8126D">
      <w:pPr>
        <w:pStyle w:val="Paragrapgh-numbered"/>
        <w:numPr>
          <w:ilvl w:val="0"/>
          <w:numId w:val="36"/>
        </w:numPr>
      </w:pPr>
      <w:r w:rsidRPr="00E071D3">
        <w:t xml:space="preserve">In this </w:t>
      </w:r>
      <w:r>
        <w:t>document</w:t>
      </w:r>
      <w:r w:rsidRPr="00E071D3">
        <w:t xml:space="preserve">, unless the context requires otherwise: </w:t>
      </w:r>
    </w:p>
    <w:p w14:paraId="22AC33A9" w14:textId="77777777" w:rsidR="00B8126D" w:rsidRPr="00992ABA" w:rsidRDefault="00B8126D" w:rsidP="00B8126D">
      <w:pPr>
        <w:pStyle w:val="ListParagraph"/>
        <w:numPr>
          <w:ilvl w:val="0"/>
          <w:numId w:val="57"/>
        </w:numPr>
        <w:spacing w:after="160" w:line="252" w:lineRule="auto"/>
        <w:ind w:left="708"/>
      </w:pPr>
      <w:r w:rsidRPr="00992ABA">
        <w:t xml:space="preserve">the singular indicates the plural and vice versa; </w:t>
      </w:r>
    </w:p>
    <w:p w14:paraId="4346937D" w14:textId="77777777" w:rsidR="00B8126D" w:rsidRDefault="00B8126D" w:rsidP="00B8126D">
      <w:pPr>
        <w:pStyle w:val="ListParagraph"/>
        <w:numPr>
          <w:ilvl w:val="0"/>
          <w:numId w:val="57"/>
        </w:numPr>
        <w:spacing w:after="160" w:line="252" w:lineRule="auto"/>
        <w:ind w:left="708"/>
      </w:pPr>
      <w:r w:rsidRPr="00992ABA">
        <w:t xml:space="preserve">any reference to legislation, regulations, directive, order, instrument, code or any other enactment shall include any modification, extension or re-enactment of it then in force. </w:t>
      </w:r>
    </w:p>
    <w:p w14:paraId="148FD2C4" w14:textId="681E06C4" w:rsidR="006254C7" w:rsidRPr="00323B2A" w:rsidRDefault="008F63CB" w:rsidP="006A7713">
      <w:pPr>
        <w:pStyle w:val="Paragrapgh-numbered"/>
        <w:numPr>
          <w:ilvl w:val="0"/>
          <w:numId w:val="17"/>
        </w:numPr>
        <w:rPr>
          <w:lang w:val="en-GB" w:eastAsia="en-US"/>
        </w:rPr>
      </w:pPr>
      <w:r w:rsidRPr="00323B2A">
        <w:rPr>
          <w:lang w:val="en-GB" w:eastAsia="en-US"/>
        </w:rPr>
        <w:t xml:space="preserve">The Regulatory Authority, shall be taken to mean OFGEM, the sole competent National Regulatory Authority for these GB specific regulations, unless otherwise specified within the </w:t>
      </w:r>
      <w:r w:rsidR="002828EA">
        <w:rPr>
          <w:lang w:val="en-GB" w:eastAsia="en-US"/>
        </w:rPr>
        <w:t>Articles</w:t>
      </w:r>
      <w:r w:rsidRPr="00323B2A">
        <w:rPr>
          <w:lang w:val="en-GB" w:eastAsia="en-US"/>
        </w:rPr>
        <w:t xml:space="preserve"> themselves;</w:t>
      </w:r>
    </w:p>
    <w:p w14:paraId="3C7A8F61" w14:textId="7A237602" w:rsidR="00380330" w:rsidRPr="00A6017D" w:rsidRDefault="00CF4B3B" w:rsidP="006A7713">
      <w:pPr>
        <w:pStyle w:val="Paragrapgh-numbered"/>
        <w:numPr>
          <w:ilvl w:val="0"/>
          <w:numId w:val="17"/>
        </w:numPr>
        <w:rPr>
          <w:lang w:val="en-GB" w:eastAsia="en-US"/>
        </w:rPr>
      </w:pPr>
      <w:r w:rsidRPr="00A6017D">
        <w:rPr>
          <w:lang w:val="en-GB" w:eastAsia="en-US"/>
        </w:rPr>
        <w:t>On 14 September 2017 the GB regulatory authority</w:t>
      </w:r>
      <w:r w:rsidR="000F4C7B">
        <w:rPr>
          <w:lang w:val="en-GB" w:eastAsia="en-US"/>
        </w:rPr>
        <w:t>,</w:t>
      </w:r>
      <w:r w:rsidRPr="00A6017D">
        <w:rPr>
          <w:lang w:val="en-GB" w:eastAsia="en-US"/>
        </w:rPr>
        <w:t xml:space="preserve"> OFGEM</w:t>
      </w:r>
      <w:r w:rsidR="000F4C7B">
        <w:rPr>
          <w:lang w:val="en-GB" w:eastAsia="en-US"/>
        </w:rPr>
        <w:t>,</w:t>
      </w:r>
      <w:r w:rsidRPr="00A6017D">
        <w:rPr>
          <w:lang w:val="en-GB" w:eastAsia="en-US"/>
        </w:rPr>
        <w:t xml:space="preserve"> published a decision assigning obligations in Article 119 of SOGL to the GB electricity system operator (the “ESO</w:t>
      </w:r>
      <w:r w:rsidRPr="00CF4B3B">
        <w:rPr>
          <w:lang w:val="en-GB" w:eastAsia="en-US"/>
        </w:rPr>
        <w:t>”). As at the date of drafting the entity licensed to perform the role of the ESO is National Grid Electricity Transmission plc.  The license to perform the role of the ESO will transfer to National Grid Electricity System Operator Limited on 1</w:t>
      </w:r>
      <w:r w:rsidRPr="00CF4B3B">
        <w:rPr>
          <w:vertAlign w:val="superscript"/>
          <w:lang w:val="en-GB" w:eastAsia="en-US"/>
        </w:rPr>
        <w:t xml:space="preserve"> </w:t>
      </w:r>
      <w:r w:rsidRPr="00CF4B3B">
        <w:rPr>
          <w:lang w:val="en-GB" w:eastAsia="en-US"/>
        </w:rPr>
        <w:t xml:space="preserve">April 2019. As a consequence, on and after 1 April 2019 all references to the ESO in this document will refer to National Grid Electricity System Operator Limited; </w:t>
      </w:r>
    </w:p>
    <w:p w14:paraId="332543DD" w14:textId="7DE61537" w:rsidR="006D4FA9" w:rsidRPr="00323B2A" w:rsidRDefault="00D60A39" w:rsidP="006A7713">
      <w:pPr>
        <w:pStyle w:val="Paragrapgh-numbered"/>
        <w:numPr>
          <w:ilvl w:val="0"/>
          <w:numId w:val="17"/>
        </w:numPr>
        <w:rPr>
          <w:lang w:val="en-GB" w:eastAsia="en-US"/>
        </w:rPr>
      </w:pPr>
      <w:r w:rsidRPr="00323B2A">
        <w:rPr>
          <w:lang w:val="en-GB" w:eastAsia="en-US"/>
        </w:rPr>
        <w:t xml:space="preserve">The NETS SQSS </w:t>
      </w:r>
      <w:r w:rsidR="009E2E6F" w:rsidRPr="00323B2A">
        <w:rPr>
          <w:lang w:val="en-GB" w:eastAsia="en-US"/>
        </w:rPr>
        <w:t>means the</w:t>
      </w:r>
      <w:r w:rsidR="00775349">
        <w:rPr>
          <w:lang w:val="en-GB" w:eastAsia="en-US"/>
        </w:rPr>
        <w:t xml:space="preserve"> </w:t>
      </w:r>
      <w:r w:rsidRPr="00323B2A">
        <w:rPr>
          <w:lang w:val="en-GB" w:eastAsia="en-US"/>
        </w:rPr>
        <w:t>National Electricity Transmission Quality of Supply Standards</w:t>
      </w:r>
      <w:r w:rsidR="009E2E6F" w:rsidRPr="00323B2A">
        <w:rPr>
          <w:lang w:val="en-GB" w:eastAsia="en-US"/>
        </w:rPr>
        <w:t>.</w:t>
      </w:r>
    </w:p>
    <w:p w14:paraId="3DA72032" w14:textId="6A7CD4C7" w:rsidR="00D60A39" w:rsidRPr="00323B2A" w:rsidRDefault="006D4FA9" w:rsidP="006A7713">
      <w:pPr>
        <w:pStyle w:val="Paragrapgh-numbered"/>
        <w:numPr>
          <w:ilvl w:val="0"/>
          <w:numId w:val="17"/>
        </w:numPr>
        <w:rPr>
          <w:lang w:val="en-GB" w:eastAsia="en-US"/>
        </w:rPr>
      </w:pPr>
      <w:r w:rsidRPr="00323B2A">
        <w:rPr>
          <w:lang w:val="en-GB" w:eastAsia="en-US"/>
        </w:rPr>
        <w:lastRenderedPageBreak/>
        <w:t>The methodology for “The determination of LFC Blocks in the Synchronous Area, GB”</w:t>
      </w:r>
      <w:r w:rsidR="00132908" w:rsidRPr="00323B2A">
        <w:rPr>
          <w:lang w:val="en-GB" w:eastAsia="en-US"/>
        </w:rPr>
        <w:t>, is being developed separately in accordance with obligations</w:t>
      </w:r>
      <w:r w:rsidR="00DF6029" w:rsidRPr="00323B2A">
        <w:rPr>
          <w:lang w:val="en-GB" w:eastAsia="en-US"/>
        </w:rPr>
        <w:t>; that document further clarifies the allocation of the ESO roles within GB according to SOGL 141(2).</w:t>
      </w:r>
    </w:p>
    <w:p w14:paraId="6C9554CF" w14:textId="72093ED6" w:rsidR="009B4A26" w:rsidRPr="00323B2A" w:rsidRDefault="009B4A26" w:rsidP="009B4A26">
      <w:pPr>
        <w:pStyle w:val="Paragrapgh-numbered"/>
        <w:ind w:left="360" w:hanging="360"/>
        <w:rPr>
          <w:lang w:val="en-GB" w:eastAsia="en-US"/>
        </w:rPr>
      </w:pPr>
      <w:bookmarkStart w:id="16" w:name="_Ref487034504"/>
      <w:bookmarkEnd w:id="16"/>
    </w:p>
    <w:p w14:paraId="5F3FB829" w14:textId="77777777" w:rsidR="00C517D8" w:rsidRPr="00323B2A" w:rsidRDefault="00C517D8" w:rsidP="009B4A26">
      <w:pPr>
        <w:pStyle w:val="Paragrapgh-numbered"/>
        <w:ind w:left="360" w:hanging="360"/>
        <w:rPr>
          <w:b/>
          <w:lang w:val="en-GB" w:eastAsia="en-US"/>
        </w:rPr>
      </w:pPr>
    </w:p>
    <w:p w14:paraId="2E5500B0" w14:textId="77777777" w:rsidR="004F3C36" w:rsidRPr="00323B2A" w:rsidRDefault="004F3C36" w:rsidP="00A6017D">
      <w:pPr>
        <w:pStyle w:val="Title1"/>
      </w:pPr>
    </w:p>
    <w:p w14:paraId="37E37E76" w14:textId="3D732A41" w:rsidR="000B082A" w:rsidRPr="00323B2A" w:rsidRDefault="00CE343A">
      <w:pPr>
        <w:pStyle w:val="HeadingDocumentParts"/>
      </w:pPr>
      <w:bookmarkStart w:id="17" w:name="_Toc517426325"/>
      <w:r w:rsidRPr="00323B2A">
        <w:t xml:space="preserve">Synchronous area operational </w:t>
      </w:r>
      <w:r w:rsidR="008E7123">
        <w:t>methodologies</w:t>
      </w:r>
      <w:r w:rsidR="008E7123" w:rsidRPr="00323B2A">
        <w:t xml:space="preserve"> </w:t>
      </w:r>
      <w:r w:rsidRPr="00323B2A">
        <w:t>Part A</w:t>
      </w:r>
      <w:bookmarkEnd w:id="17"/>
    </w:p>
    <w:p w14:paraId="56638598" w14:textId="77777777" w:rsidR="00085D4B" w:rsidRPr="00323B2A" w:rsidRDefault="00085D4B">
      <w:pPr>
        <w:pStyle w:val="Artnr"/>
      </w:pPr>
      <w:bookmarkStart w:id="18" w:name="_Toc517426326"/>
    </w:p>
    <w:p w14:paraId="2D77590C" w14:textId="35D563D4" w:rsidR="004736EA" w:rsidRPr="00323B2A" w:rsidRDefault="00325FFD">
      <w:pPr>
        <w:pStyle w:val="ArticleTitle"/>
      </w:pPr>
      <w:r w:rsidRPr="00323B2A">
        <w:t>T</w:t>
      </w:r>
      <w:r w:rsidR="004736EA" w:rsidRPr="00323B2A">
        <w:t xml:space="preserve">he dimensioning rules for FCR in accordance with </w:t>
      </w:r>
      <w:r w:rsidR="009F40BA" w:rsidRPr="00323B2A">
        <w:t xml:space="preserve">SOGL </w:t>
      </w:r>
      <w:r w:rsidR="004736EA" w:rsidRPr="00323B2A">
        <w:t>Article 153</w:t>
      </w:r>
      <w:bookmarkEnd w:id="18"/>
    </w:p>
    <w:p w14:paraId="3E31592E" w14:textId="6910FE77" w:rsidR="00FB6EEE" w:rsidRPr="00323B2A" w:rsidRDefault="00FB6EEE" w:rsidP="006A7713">
      <w:pPr>
        <w:pStyle w:val="Paragrapgh-numbered"/>
        <w:numPr>
          <w:ilvl w:val="0"/>
          <w:numId w:val="41"/>
        </w:numPr>
        <w:rPr>
          <w:lang w:val="en-GB"/>
        </w:rPr>
      </w:pPr>
      <w:r w:rsidRPr="00323B2A">
        <w:rPr>
          <w:lang w:val="en-GB"/>
        </w:rPr>
        <w:t>The GB ESO may use one or more service to meet the Frequency Containment Reserve dimensioning requirements.</w:t>
      </w:r>
    </w:p>
    <w:p w14:paraId="063717F9" w14:textId="4BFF0434" w:rsidR="00FB6EEE" w:rsidRPr="00323B2A" w:rsidRDefault="00FB6EEE" w:rsidP="006A7713">
      <w:pPr>
        <w:pStyle w:val="Paragrapgh-numbered"/>
        <w:numPr>
          <w:ilvl w:val="0"/>
          <w:numId w:val="41"/>
        </w:numPr>
        <w:rPr>
          <w:lang w:val="en-GB"/>
        </w:rPr>
      </w:pPr>
      <w:r w:rsidRPr="00323B2A">
        <w:rPr>
          <w:lang w:val="en-GB"/>
        </w:rPr>
        <w:t xml:space="preserve">The NETS SQSS and Grid Code specify the standards which are used to dimension the GB services used to meet GB Frequency Containment Reserve (FCR) dimensioning requirements. </w:t>
      </w:r>
    </w:p>
    <w:p w14:paraId="0A9F7245" w14:textId="239FDE3E" w:rsidR="00FB6EEE" w:rsidRPr="00323B2A" w:rsidRDefault="00FB6EEE" w:rsidP="006A7713">
      <w:pPr>
        <w:pStyle w:val="Paragrapgh-numbered"/>
        <w:numPr>
          <w:ilvl w:val="1"/>
          <w:numId w:val="41"/>
        </w:numPr>
        <w:rPr>
          <w:lang w:val="en-GB"/>
        </w:rPr>
      </w:pPr>
      <w:r w:rsidRPr="00323B2A">
        <w:rPr>
          <w:lang w:val="en-GB"/>
        </w:rPr>
        <w:t xml:space="preserve">The NETS SQSS specifies the requirement to limit the loss of power infeed risk.  </w:t>
      </w:r>
    </w:p>
    <w:p w14:paraId="21EF6722" w14:textId="77777777" w:rsidR="00FB6EEE" w:rsidRPr="00323B2A" w:rsidRDefault="00FB6EEE" w:rsidP="006A7713">
      <w:pPr>
        <w:pStyle w:val="Paragrapgh-numbered"/>
        <w:numPr>
          <w:ilvl w:val="1"/>
          <w:numId w:val="41"/>
        </w:numPr>
        <w:rPr>
          <w:lang w:val="en-GB"/>
        </w:rPr>
      </w:pPr>
      <w:r w:rsidRPr="00323B2A">
        <w:rPr>
          <w:lang w:val="en-GB"/>
        </w:rPr>
        <w:t xml:space="preserve">The Grid Code specifies the reserve holding requirement and identifies the specific losses to be covered by the ESO in order to meet the NETS SQSS and SOGL frequency quality standards.  </w:t>
      </w:r>
    </w:p>
    <w:p w14:paraId="78544150" w14:textId="77777777" w:rsidR="00FB6EEE" w:rsidRPr="00323B2A" w:rsidRDefault="00FB6EEE" w:rsidP="006A7713">
      <w:pPr>
        <w:pStyle w:val="Paragrapgh-numbered"/>
        <w:numPr>
          <w:ilvl w:val="1"/>
          <w:numId w:val="41"/>
        </w:numPr>
        <w:rPr>
          <w:lang w:val="en-GB"/>
        </w:rPr>
      </w:pPr>
      <w:r w:rsidRPr="00323B2A">
        <w:rPr>
          <w:lang w:val="en-GB"/>
        </w:rPr>
        <w:t>The NETS SQSS terminology for infeed loss risk is equivalent to the SOGL defined term for the Reference Incident.</w:t>
      </w:r>
    </w:p>
    <w:p w14:paraId="45669DB8" w14:textId="3EEFDEBF" w:rsidR="00085D4B" w:rsidRDefault="00FB6EEE" w:rsidP="006A7713">
      <w:pPr>
        <w:pStyle w:val="Paragrapgh-numbered"/>
        <w:numPr>
          <w:ilvl w:val="0"/>
          <w:numId w:val="41"/>
        </w:numPr>
        <w:rPr>
          <w:lang w:val="en-GB"/>
        </w:rPr>
      </w:pPr>
      <w:r w:rsidRPr="00323B2A">
        <w:rPr>
          <w:lang w:val="en-GB"/>
        </w:rPr>
        <w:t>The ESO shall determine the Frequency Containment Reserve capacity required for the GB synchronous area at least daily and refine this according to changes in system conditions, through to real time.</w:t>
      </w:r>
    </w:p>
    <w:p w14:paraId="30192AA2" w14:textId="7E284F0E" w:rsidR="00D02217" w:rsidRPr="00323B2A" w:rsidRDefault="00D02217" w:rsidP="00D02217">
      <w:pPr>
        <w:pStyle w:val="Paragrapgh-numbered"/>
        <w:numPr>
          <w:ilvl w:val="0"/>
          <w:numId w:val="41"/>
        </w:numPr>
        <w:rPr>
          <w:lang w:val="en-GB"/>
        </w:rPr>
      </w:pPr>
      <w:r w:rsidRPr="00323B2A">
        <w:rPr>
          <w:lang w:val="en-GB"/>
        </w:rPr>
        <w:t xml:space="preserve">Market parties will be made aware of the FCR capacity that the ESO has determined through publications on the internet in accordance with SOGL </w:t>
      </w:r>
      <w:r>
        <w:rPr>
          <w:lang w:val="en-GB"/>
        </w:rPr>
        <w:t>Article</w:t>
      </w:r>
      <w:r w:rsidRPr="00323B2A">
        <w:rPr>
          <w:lang w:val="en-GB"/>
        </w:rPr>
        <w:t xml:space="preserve"> 187. </w:t>
      </w:r>
    </w:p>
    <w:p w14:paraId="1341096D" w14:textId="77777777" w:rsidR="00D02217" w:rsidRPr="00323B2A" w:rsidRDefault="00D02217" w:rsidP="00D02217">
      <w:pPr>
        <w:pStyle w:val="Paragrapgh-numbered"/>
        <w:ind w:left="360"/>
        <w:rPr>
          <w:lang w:val="en-GB"/>
        </w:rPr>
      </w:pPr>
    </w:p>
    <w:p w14:paraId="59C230E7" w14:textId="77777777" w:rsidR="00085D4B" w:rsidRPr="00323B2A" w:rsidRDefault="00085D4B" w:rsidP="00A6017D">
      <w:pPr>
        <w:pStyle w:val="Artnr"/>
      </w:pPr>
      <w:bookmarkStart w:id="19" w:name="_Toc517426327"/>
    </w:p>
    <w:p w14:paraId="7B3A7C63" w14:textId="513E2FF2" w:rsidR="004736EA" w:rsidRPr="00323B2A" w:rsidRDefault="008C4823">
      <w:pPr>
        <w:pStyle w:val="ArticleTitle"/>
      </w:pPr>
      <w:r w:rsidRPr="00323B2A">
        <w:t>A</w:t>
      </w:r>
      <w:r w:rsidR="004736EA" w:rsidRPr="00323B2A">
        <w:t xml:space="preserve">dditional properties of FCR in accordance with </w:t>
      </w:r>
      <w:r w:rsidR="009F40BA" w:rsidRPr="00323B2A">
        <w:t xml:space="preserve">SOGL </w:t>
      </w:r>
      <w:r w:rsidR="004736EA" w:rsidRPr="00323B2A">
        <w:t>Article 154(2)</w:t>
      </w:r>
      <w:bookmarkEnd w:id="19"/>
    </w:p>
    <w:p w14:paraId="0DC2CFAA" w14:textId="71AB5DE8" w:rsidR="004736EA" w:rsidRPr="002A7335" w:rsidRDefault="0012247E" w:rsidP="00365D34">
      <w:pPr>
        <w:pStyle w:val="Paragrapgh-numbered"/>
        <w:numPr>
          <w:ilvl w:val="0"/>
          <w:numId w:val="14"/>
        </w:numPr>
        <w:rPr>
          <w:lang w:val="en-GB"/>
        </w:rPr>
      </w:pPr>
      <w:r w:rsidRPr="00323B2A">
        <w:rPr>
          <w:rFonts w:eastAsiaTheme="minorHAnsi"/>
          <w:lang w:val="en-GB"/>
        </w:rPr>
        <w:t>All technical properties for GB services</w:t>
      </w:r>
      <w:r w:rsidR="00F16055" w:rsidRPr="00323B2A">
        <w:rPr>
          <w:rFonts w:eastAsiaTheme="minorHAnsi"/>
          <w:lang w:val="en-GB"/>
        </w:rPr>
        <w:t>,</w:t>
      </w:r>
      <w:r w:rsidRPr="00323B2A">
        <w:rPr>
          <w:rFonts w:eastAsiaTheme="minorHAnsi"/>
          <w:lang w:val="en-GB"/>
        </w:rPr>
        <w:t xml:space="preserve"> </w:t>
      </w:r>
      <w:r w:rsidR="00F16055" w:rsidRPr="00323B2A">
        <w:rPr>
          <w:rFonts w:eastAsiaTheme="minorHAnsi"/>
          <w:lang w:val="en-GB"/>
        </w:rPr>
        <w:t xml:space="preserve">that make up the provision of Frequency Containment Reserves, </w:t>
      </w:r>
      <w:r w:rsidRPr="00323B2A">
        <w:rPr>
          <w:rFonts w:eastAsiaTheme="minorHAnsi"/>
          <w:lang w:val="en-GB"/>
        </w:rPr>
        <w:t>are specific to those services and no common additional properties are defined here</w:t>
      </w:r>
      <w:r w:rsidRPr="002A7335">
        <w:rPr>
          <w:rFonts w:eastAsiaTheme="minorHAnsi"/>
          <w:lang w:val="en-GB"/>
        </w:rPr>
        <w:t>.</w:t>
      </w:r>
      <w:r w:rsidR="00F16055" w:rsidRPr="002A7335">
        <w:rPr>
          <w:rFonts w:eastAsiaTheme="minorHAnsi"/>
          <w:lang w:val="en-GB"/>
        </w:rPr>
        <w:t xml:space="preserve">  </w:t>
      </w:r>
      <w:r w:rsidR="00F16055" w:rsidRPr="00BF670E">
        <w:rPr>
          <w:rFonts w:eastAsiaTheme="minorHAnsi"/>
          <w:lang w:val="en-GB"/>
        </w:rPr>
        <w:t xml:space="preserve">Individual technical requirements for GB services are published on the internet and used as part of the prequalification process for those GB services. </w:t>
      </w:r>
    </w:p>
    <w:p w14:paraId="0B8C4B68" w14:textId="77777777" w:rsidR="00085D4B" w:rsidRPr="00323B2A" w:rsidRDefault="00085D4B" w:rsidP="00AF7D2E">
      <w:pPr>
        <w:pStyle w:val="Artnr"/>
      </w:pPr>
      <w:bookmarkStart w:id="20" w:name="_Toc517426328"/>
    </w:p>
    <w:p w14:paraId="05A55D3E" w14:textId="00E56AB8" w:rsidR="00F00958" w:rsidRPr="00323B2A" w:rsidRDefault="008C4823">
      <w:pPr>
        <w:pStyle w:val="Artnr"/>
        <w:numPr>
          <w:ilvl w:val="0"/>
          <w:numId w:val="0"/>
        </w:numPr>
      </w:pPr>
      <w:r w:rsidRPr="00323B2A">
        <w:t>T</w:t>
      </w:r>
      <w:r w:rsidR="00F00958" w:rsidRPr="00323B2A">
        <w:t>he</w:t>
      </w:r>
      <w:r w:rsidR="00A05F47" w:rsidRPr="00323B2A">
        <w:t xml:space="preserve"> </w:t>
      </w:r>
      <w:r w:rsidR="00F00958" w:rsidRPr="00323B2A">
        <w:t>frequency</w:t>
      </w:r>
      <w:r w:rsidR="00A05F47" w:rsidRPr="00323B2A">
        <w:t xml:space="preserve"> </w:t>
      </w:r>
      <w:r w:rsidR="00F00958" w:rsidRPr="00323B2A">
        <w:t>quality</w:t>
      </w:r>
      <w:r w:rsidR="00A05F47" w:rsidRPr="00323B2A">
        <w:t xml:space="preserve"> </w:t>
      </w:r>
      <w:r w:rsidR="00F00958" w:rsidRPr="00323B2A">
        <w:t>defining</w:t>
      </w:r>
      <w:r w:rsidR="00A05F47" w:rsidRPr="00323B2A">
        <w:t xml:space="preserve"> </w:t>
      </w:r>
      <w:r w:rsidR="00F00958" w:rsidRPr="00323B2A">
        <w:t>parameters</w:t>
      </w:r>
      <w:r w:rsidR="00A05F47" w:rsidRPr="00323B2A">
        <w:t xml:space="preserve"> </w:t>
      </w:r>
      <w:r w:rsidR="00F00958" w:rsidRPr="00323B2A">
        <w:t>and</w:t>
      </w:r>
      <w:r w:rsidR="00A05F47" w:rsidRPr="00323B2A">
        <w:t xml:space="preserve"> </w:t>
      </w:r>
      <w:r w:rsidR="00F00958" w:rsidRPr="00323B2A">
        <w:t>the</w:t>
      </w:r>
      <w:r w:rsidR="00A05F47" w:rsidRPr="00323B2A">
        <w:t xml:space="preserve"> </w:t>
      </w:r>
      <w:r w:rsidR="00F00958" w:rsidRPr="00323B2A">
        <w:t>frequency</w:t>
      </w:r>
      <w:r w:rsidR="00A05F47" w:rsidRPr="00323B2A">
        <w:t xml:space="preserve"> </w:t>
      </w:r>
      <w:r w:rsidR="00F00958" w:rsidRPr="00323B2A">
        <w:t>quality</w:t>
      </w:r>
      <w:r w:rsidR="00A05F47" w:rsidRPr="00323B2A">
        <w:t xml:space="preserve"> </w:t>
      </w:r>
      <w:r w:rsidR="00F00958" w:rsidRPr="00323B2A">
        <w:t xml:space="preserve">target parameters in accordance with </w:t>
      </w:r>
      <w:r w:rsidR="009F40BA" w:rsidRPr="00323B2A">
        <w:t xml:space="preserve">SOGL </w:t>
      </w:r>
      <w:r w:rsidR="00F00958" w:rsidRPr="00323B2A">
        <w:t>Article 127</w:t>
      </w:r>
      <w:bookmarkEnd w:id="20"/>
    </w:p>
    <w:p w14:paraId="33F6B4A5" w14:textId="21297882" w:rsidR="00EC00EB" w:rsidRPr="00775349" w:rsidRDefault="00EC00EB" w:rsidP="006A7713">
      <w:pPr>
        <w:pStyle w:val="Paragrapgh-numbered"/>
        <w:numPr>
          <w:ilvl w:val="0"/>
          <w:numId w:val="44"/>
        </w:numPr>
        <w:rPr>
          <w:rFonts w:eastAsiaTheme="minorHAnsi"/>
          <w:lang w:val="en-GB"/>
        </w:rPr>
      </w:pPr>
      <w:r w:rsidRPr="00775349">
        <w:rPr>
          <w:rFonts w:eastAsiaTheme="minorHAnsi"/>
          <w:lang w:val="en-GB"/>
        </w:rPr>
        <w:t>The Frequency Quality Defining Parameters and the Frequency Quality Target Parameters shall remain unaltered from those defined in SOGL Annex III, table 1 and table 2 as follows:-</w:t>
      </w:r>
    </w:p>
    <w:p w14:paraId="431E74A9" w14:textId="77777777" w:rsidR="00EC00EB" w:rsidRPr="00775349" w:rsidRDefault="00EC00EB" w:rsidP="00BF6B63">
      <w:pPr>
        <w:pStyle w:val="Paragrapgh-numbered"/>
        <w:numPr>
          <w:ilvl w:val="0"/>
          <w:numId w:val="56"/>
        </w:numPr>
        <w:rPr>
          <w:lang w:val="en-GB"/>
        </w:rPr>
      </w:pPr>
      <w:r w:rsidRPr="00775349">
        <w:rPr>
          <w:lang w:val="en-GB"/>
        </w:rPr>
        <w:t xml:space="preserve">Table 1 Frequency quality defining parameters of the GB synchronous area are </w:t>
      </w:r>
    </w:p>
    <w:p w14:paraId="026E5CED" w14:textId="631301D8" w:rsidR="00EC00EB" w:rsidRPr="00775349" w:rsidRDefault="009E2E6F" w:rsidP="006A7713">
      <w:pPr>
        <w:pStyle w:val="Paragrapgh-numbered"/>
        <w:numPr>
          <w:ilvl w:val="2"/>
          <w:numId w:val="36"/>
        </w:numPr>
        <w:rPr>
          <w:lang w:val="en-GB"/>
        </w:rPr>
      </w:pPr>
      <w:r w:rsidRPr="00775349">
        <w:rPr>
          <w:lang w:val="en-GB"/>
        </w:rPr>
        <w:t>s</w:t>
      </w:r>
      <w:r w:rsidR="008D3BFE" w:rsidRPr="00775349">
        <w:rPr>
          <w:lang w:val="en-GB"/>
        </w:rPr>
        <w:t xml:space="preserve">tandard </w:t>
      </w:r>
      <w:r w:rsidR="00EC00EB" w:rsidRPr="00775349">
        <w:rPr>
          <w:lang w:val="en-GB"/>
        </w:rPr>
        <w:t xml:space="preserve">frequency range ± 200 mHz </w:t>
      </w:r>
    </w:p>
    <w:p w14:paraId="5EEFA84B" w14:textId="23285C78" w:rsidR="00EC00EB" w:rsidRPr="00775349" w:rsidRDefault="00EC00EB" w:rsidP="006A7713">
      <w:pPr>
        <w:pStyle w:val="Paragrapgh-numbered"/>
        <w:numPr>
          <w:ilvl w:val="2"/>
          <w:numId w:val="36"/>
        </w:numPr>
        <w:rPr>
          <w:lang w:val="en-GB"/>
        </w:rPr>
      </w:pPr>
      <w:r w:rsidRPr="00775349">
        <w:rPr>
          <w:lang w:val="en-GB"/>
        </w:rPr>
        <w:t xml:space="preserve">maximum instantaneous frequency deviation 800 mHz </w:t>
      </w:r>
    </w:p>
    <w:p w14:paraId="2B1827EE" w14:textId="77777777" w:rsidR="00EC00EB" w:rsidRPr="00775349" w:rsidRDefault="00EC00EB" w:rsidP="006A7713">
      <w:pPr>
        <w:pStyle w:val="Paragrapgh-numbered"/>
        <w:numPr>
          <w:ilvl w:val="2"/>
          <w:numId w:val="36"/>
        </w:numPr>
        <w:rPr>
          <w:lang w:val="en-GB"/>
        </w:rPr>
      </w:pPr>
      <w:r w:rsidRPr="00775349">
        <w:rPr>
          <w:lang w:val="en-GB"/>
        </w:rPr>
        <w:t xml:space="preserve">maximum steady-state frequency deviation 500 mHz </w:t>
      </w:r>
    </w:p>
    <w:p w14:paraId="58C0A868" w14:textId="7C3BBCDA" w:rsidR="00EC00EB" w:rsidRPr="00775349" w:rsidRDefault="00EC00EB" w:rsidP="006A7713">
      <w:pPr>
        <w:pStyle w:val="Paragrapgh-numbered"/>
        <w:numPr>
          <w:ilvl w:val="2"/>
          <w:numId w:val="36"/>
        </w:numPr>
        <w:rPr>
          <w:lang w:val="en-GB"/>
        </w:rPr>
      </w:pPr>
      <w:r w:rsidRPr="00775349">
        <w:rPr>
          <w:lang w:val="en-GB"/>
        </w:rPr>
        <w:t>time to recover frequency 1 minute</w:t>
      </w:r>
      <w:r w:rsidR="00A05F47" w:rsidRPr="00775349">
        <w:rPr>
          <w:lang w:val="en-GB"/>
        </w:rPr>
        <w:t xml:space="preserve"> </w:t>
      </w:r>
    </w:p>
    <w:p w14:paraId="72097A8A" w14:textId="77777777" w:rsidR="00EC00EB" w:rsidRPr="00775349" w:rsidRDefault="00EC00EB" w:rsidP="006A7713">
      <w:pPr>
        <w:pStyle w:val="Paragrapgh-numbered"/>
        <w:numPr>
          <w:ilvl w:val="2"/>
          <w:numId w:val="36"/>
        </w:numPr>
        <w:rPr>
          <w:lang w:val="en-GB"/>
        </w:rPr>
      </w:pPr>
      <w:r w:rsidRPr="00775349">
        <w:rPr>
          <w:lang w:val="en-GB"/>
        </w:rPr>
        <w:t xml:space="preserve">frequency recovery range ± 500 mHz </w:t>
      </w:r>
    </w:p>
    <w:p w14:paraId="70AEFB63" w14:textId="77777777" w:rsidR="00EC00EB" w:rsidRPr="00775349" w:rsidRDefault="00EC00EB" w:rsidP="006A7713">
      <w:pPr>
        <w:pStyle w:val="Paragrapgh-numbered"/>
        <w:numPr>
          <w:ilvl w:val="2"/>
          <w:numId w:val="36"/>
        </w:numPr>
        <w:rPr>
          <w:lang w:val="en-GB"/>
        </w:rPr>
      </w:pPr>
      <w:r w:rsidRPr="00775349">
        <w:rPr>
          <w:lang w:val="en-GB"/>
        </w:rPr>
        <w:t>time to restore frequency 15 minutes</w:t>
      </w:r>
    </w:p>
    <w:p w14:paraId="03EEFD87" w14:textId="1AC8F740" w:rsidR="00EC00EB" w:rsidRPr="00775349" w:rsidRDefault="00EC00EB" w:rsidP="006A7713">
      <w:pPr>
        <w:pStyle w:val="Paragrapgh-numbered"/>
        <w:numPr>
          <w:ilvl w:val="2"/>
          <w:numId w:val="36"/>
        </w:numPr>
        <w:rPr>
          <w:lang w:val="en-GB"/>
        </w:rPr>
      </w:pPr>
      <w:r w:rsidRPr="00775349">
        <w:rPr>
          <w:lang w:val="en-GB"/>
        </w:rPr>
        <w:t>frequency restoration range not used ± 200 mHz</w:t>
      </w:r>
      <w:r w:rsidR="00A05F47" w:rsidRPr="00775349">
        <w:rPr>
          <w:lang w:val="en-GB"/>
        </w:rPr>
        <w:t xml:space="preserve"> </w:t>
      </w:r>
    </w:p>
    <w:p w14:paraId="0280E190" w14:textId="32C5BC03" w:rsidR="00EC00EB" w:rsidRPr="00775349" w:rsidRDefault="00EC00EB" w:rsidP="006A7713">
      <w:pPr>
        <w:pStyle w:val="Paragrapgh-numbered"/>
        <w:numPr>
          <w:ilvl w:val="2"/>
          <w:numId w:val="36"/>
        </w:numPr>
        <w:rPr>
          <w:lang w:val="en-GB"/>
        </w:rPr>
      </w:pPr>
      <w:r w:rsidRPr="00775349">
        <w:rPr>
          <w:lang w:val="en-GB"/>
        </w:rPr>
        <w:t xml:space="preserve">alert state trigger time 10 minutes </w:t>
      </w:r>
    </w:p>
    <w:p w14:paraId="0A3162A8" w14:textId="77777777" w:rsidR="00EC00EB" w:rsidRPr="00775349" w:rsidRDefault="00EC00EB" w:rsidP="00BF6B63">
      <w:pPr>
        <w:pStyle w:val="Paragrapgh-numbered"/>
        <w:numPr>
          <w:ilvl w:val="0"/>
          <w:numId w:val="56"/>
        </w:numPr>
        <w:rPr>
          <w:lang w:val="en-GB"/>
        </w:rPr>
      </w:pPr>
      <w:r w:rsidRPr="00775349">
        <w:rPr>
          <w:lang w:val="en-GB"/>
        </w:rPr>
        <w:t xml:space="preserve">Table 2 Frequency quality target parameters of the GB synchronous areas </w:t>
      </w:r>
    </w:p>
    <w:p w14:paraId="23A26B60" w14:textId="12F9C641" w:rsidR="00EC00EB" w:rsidRPr="00BF670E" w:rsidRDefault="00EC00EB" w:rsidP="006A7713">
      <w:pPr>
        <w:pStyle w:val="Paragrapgh-numbered"/>
        <w:numPr>
          <w:ilvl w:val="2"/>
          <w:numId w:val="36"/>
        </w:numPr>
      </w:pPr>
      <w:r w:rsidRPr="00775349">
        <w:rPr>
          <w:lang w:val="en-GB"/>
        </w:rPr>
        <w:t>maximum number of minutes outside the standard frequency range 15</w:t>
      </w:r>
      <w:r w:rsidR="00EC114F">
        <w:rPr>
          <w:lang w:val="en-GB"/>
        </w:rPr>
        <w:t>,</w:t>
      </w:r>
      <w:r w:rsidRPr="00775349">
        <w:rPr>
          <w:lang w:val="en-GB"/>
        </w:rPr>
        <w:t>000</w:t>
      </w:r>
    </w:p>
    <w:p w14:paraId="13376B15" w14:textId="19D02C09" w:rsidR="000F4C7B" w:rsidRPr="00775349" w:rsidRDefault="000F4C7B" w:rsidP="006A7713">
      <w:pPr>
        <w:pStyle w:val="Paragrapgh-numbered"/>
        <w:numPr>
          <w:ilvl w:val="0"/>
          <w:numId w:val="36"/>
        </w:numPr>
      </w:pPr>
      <w:r>
        <w:rPr>
          <w:lang w:val="en-GB"/>
        </w:rPr>
        <w:t>The ESO shall endeavour to comply with the values for the parameters above and shall verify the fulfilment of the frequency target parameters at least annually.</w:t>
      </w:r>
    </w:p>
    <w:p w14:paraId="4666D091" w14:textId="77777777" w:rsidR="00085D4B" w:rsidRPr="00323B2A" w:rsidRDefault="00085D4B" w:rsidP="00A6017D">
      <w:pPr>
        <w:pStyle w:val="Artnr"/>
      </w:pPr>
      <w:bookmarkStart w:id="21" w:name="_Toc517274580"/>
      <w:bookmarkStart w:id="22" w:name="_Toc517426329"/>
      <w:bookmarkEnd w:id="21"/>
    </w:p>
    <w:p w14:paraId="28FDF906" w14:textId="4D397181" w:rsidR="00D34FB9" w:rsidRPr="00323B2A" w:rsidRDefault="00D34FB9">
      <w:pPr>
        <w:pStyle w:val="ArticleTitle"/>
      </w:pPr>
      <w:bookmarkStart w:id="23" w:name="_Toc516134872"/>
      <w:r w:rsidRPr="00323B2A">
        <w:t>For the GB synchronous areas, measures to ensure the recovery of energy reservoirs in accordance with SOGL Article 156(6)(b)</w:t>
      </w:r>
      <w:bookmarkEnd w:id="22"/>
      <w:bookmarkEnd w:id="23"/>
    </w:p>
    <w:p w14:paraId="526A0C54" w14:textId="6082332A" w:rsidR="00D34FB9" w:rsidRPr="00365D34" w:rsidRDefault="00D60A39" w:rsidP="006A7713">
      <w:pPr>
        <w:pStyle w:val="Paragrapgh-numbered"/>
        <w:numPr>
          <w:ilvl w:val="0"/>
          <w:numId w:val="38"/>
        </w:numPr>
        <w:rPr>
          <w:lang w:val="en-GB"/>
        </w:rPr>
      </w:pPr>
      <w:r w:rsidRPr="00365D34">
        <w:rPr>
          <w:lang w:val="en-GB"/>
        </w:rPr>
        <w:t>The ESO</w:t>
      </w:r>
      <w:r w:rsidR="00281F5B" w:rsidRPr="00365D34">
        <w:rPr>
          <w:lang w:val="en-GB"/>
        </w:rPr>
        <w:t xml:space="preserve"> shall</w:t>
      </w:r>
      <w:r w:rsidR="00D34FB9" w:rsidRPr="00365D34">
        <w:rPr>
          <w:lang w:val="en-GB"/>
        </w:rPr>
        <w:t xml:space="preserve"> ensure that loss of a providing unit does not endanger operational security by ensuring that the largest connected unit is excluded from those selected </w:t>
      </w:r>
      <w:r w:rsidR="00FD069F" w:rsidRPr="00365D34">
        <w:rPr>
          <w:lang w:val="en-GB"/>
        </w:rPr>
        <w:t>when satisfying the need for FCR capacity requirement defined within the FCR dimensioning process.</w:t>
      </w:r>
      <w:r w:rsidR="00A05F47" w:rsidRPr="00365D34">
        <w:rPr>
          <w:lang w:val="en-GB"/>
        </w:rPr>
        <w:t xml:space="preserve"> </w:t>
      </w:r>
    </w:p>
    <w:p w14:paraId="4967DF9C" w14:textId="1C89C777" w:rsidR="00D34FB9" w:rsidRPr="00775349" w:rsidRDefault="00D34FB9" w:rsidP="006A7713">
      <w:pPr>
        <w:pStyle w:val="Paragrapgh-numbered"/>
        <w:numPr>
          <w:ilvl w:val="0"/>
          <w:numId w:val="38"/>
        </w:numPr>
        <w:rPr>
          <w:lang w:val="en-GB"/>
        </w:rPr>
      </w:pPr>
      <w:r w:rsidRPr="00365D34">
        <w:rPr>
          <w:lang w:val="en-GB"/>
        </w:rPr>
        <w:t xml:space="preserve">When an FCR providing unit or group trips or can no longer provide an FCR service, </w:t>
      </w:r>
      <w:r w:rsidR="00621E0C" w:rsidRPr="00365D34">
        <w:rPr>
          <w:lang w:val="en-GB"/>
        </w:rPr>
        <w:t>t</w:t>
      </w:r>
      <w:r w:rsidR="00D60A39" w:rsidRPr="00365D34">
        <w:rPr>
          <w:lang w:val="en-GB"/>
        </w:rPr>
        <w:t xml:space="preserve">he </w:t>
      </w:r>
      <w:r w:rsidR="00D60A39" w:rsidRPr="00775349">
        <w:rPr>
          <w:lang w:val="en-GB"/>
        </w:rPr>
        <w:t>ESO</w:t>
      </w:r>
      <w:r w:rsidR="00FD069F" w:rsidRPr="00775349">
        <w:rPr>
          <w:lang w:val="en-GB"/>
        </w:rPr>
        <w:t xml:space="preserve"> </w:t>
      </w:r>
      <w:r w:rsidRPr="00775349">
        <w:rPr>
          <w:lang w:val="en-GB"/>
        </w:rPr>
        <w:t>will reallocate the FCR provision to a different FCR unit or FCR Group utilizing operational and commercial information made available by FCR providers.</w:t>
      </w:r>
      <w:r w:rsidR="00A05F47" w:rsidRPr="00775349">
        <w:rPr>
          <w:lang w:val="en-GB"/>
        </w:rPr>
        <w:t xml:space="preserve"> </w:t>
      </w:r>
    </w:p>
    <w:p w14:paraId="30FA4F7F" w14:textId="58948348" w:rsidR="00D34FB9" w:rsidRPr="00323B2A" w:rsidRDefault="00D34FB9" w:rsidP="006A7713">
      <w:pPr>
        <w:pStyle w:val="Paragrapgh-numbered"/>
        <w:numPr>
          <w:ilvl w:val="0"/>
          <w:numId w:val="38"/>
        </w:numPr>
        <w:rPr>
          <w:lang w:val="en-GB"/>
        </w:rPr>
      </w:pPr>
      <w:r w:rsidRPr="00323B2A">
        <w:rPr>
          <w:lang w:val="en-GB"/>
        </w:rPr>
        <w:t xml:space="preserve">The declared availability of FCR providing units and groups is managed by the FCR providers which reflect the requirement to recover energy reservoirs. Effectively this means that </w:t>
      </w:r>
      <w:r w:rsidR="00621E0C" w:rsidRPr="00323B2A">
        <w:rPr>
          <w:lang w:val="en-GB"/>
        </w:rPr>
        <w:t>t</w:t>
      </w:r>
      <w:r w:rsidR="00D60A39" w:rsidRPr="00323B2A">
        <w:rPr>
          <w:lang w:val="en-GB"/>
        </w:rPr>
        <w:t>he ESO</w:t>
      </w:r>
      <w:r w:rsidRPr="00323B2A">
        <w:rPr>
          <w:lang w:val="en-GB"/>
        </w:rPr>
        <w:t xml:space="preserve"> takes into account the depletion of these reservoirs when procuring FCR.</w:t>
      </w:r>
    </w:p>
    <w:p w14:paraId="0DC87D3A" w14:textId="7C86F235" w:rsidR="00D34FB9" w:rsidRPr="00323B2A" w:rsidRDefault="00D34FB9" w:rsidP="006A7713">
      <w:pPr>
        <w:pStyle w:val="Paragrapgh-numbered"/>
        <w:numPr>
          <w:ilvl w:val="0"/>
          <w:numId w:val="38"/>
        </w:numPr>
        <w:rPr>
          <w:lang w:val="en-GB"/>
        </w:rPr>
      </w:pPr>
      <w:r w:rsidRPr="00323B2A">
        <w:rPr>
          <w:lang w:val="en-GB"/>
        </w:rPr>
        <w:t xml:space="preserve">When operating the </w:t>
      </w:r>
      <w:r w:rsidR="00CE343A" w:rsidRPr="00323B2A">
        <w:rPr>
          <w:lang w:val="en-GB"/>
        </w:rPr>
        <w:t>Frequency Containment Process (</w:t>
      </w:r>
      <w:r w:rsidRPr="00323B2A">
        <w:rPr>
          <w:lang w:val="en-GB"/>
        </w:rPr>
        <w:t>FCP</w:t>
      </w:r>
      <w:r w:rsidR="00CE343A" w:rsidRPr="00323B2A">
        <w:rPr>
          <w:lang w:val="en-GB"/>
        </w:rPr>
        <w:t>)</w:t>
      </w:r>
      <w:r w:rsidR="000C4CA7" w:rsidRPr="00323B2A">
        <w:rPr>
          <w:lang w:val="en-GB"/>
        </w:rPr>
        <w:t xml:space="preserve"> </w:t>
      </w:r>
      <w:r w:rsidR="00621E0C" w:rsidRPr="00323B2A">
        <w:rPr>
          <w:lang w:val="en-GB"/>
        </w:rPr>
        <w:t xml:space="preserve">the </w:t>
      </w:r>
      <w:r w:rsidR="00D60A39" w:rsidRPr="00323B2A">
        <w:rPr>
          <w:lang w:val="en-GB"/>
        </w:rPr>
        <w:t>ESO</w:t>
      </w:r>
      <w:r w:rsidRPr="00323B2A">
        <w:rPr>
          <w:lang w:val="en-GB"/>
        </w:rPr>
        <w:t xml:space="preserve"> take</w:t>
      </w:r>
      <w:r w:rsidR="00CD4573">
        <w:rPr>
          <w:lang w:val="en-GB"/>
        </w:rPr>
        <w:t>s</w:t>
      </w:r>
      <w:r w:rsidRPr="00323B2A">
        <w:rPr>
          <w:lang w:val="en-GB"/>
        </w:rPr>
        <w:t xml:space="preserve"> into account depletio</w:t>
      </w:r>
      <w:r w:rsidR="001100EE" w:rsidRPr="00323B2A">
        <w:rPr>
          <w:lang w:val="en-GB"/>
        </w:rPr>
        <w:t>n of these reservoirs to minimis</w:t>
      </w:r>
      <w:r w:rsidRPr="00323B2A">
        <w:rPr>
          <w:lang w:val="en-GB"/>
        </w:rPr>
        <w:t>e risk in real time where applicable.</w:t>
      </w:r>
    </w:p>
    <w:p w14:paraId="5F78D57D" w14:textId="4427B166" w:rsidR="000C4CA7" w:rsidRPr="00323B2A" w:rsidRDefault="000C4CA7" w:rsidP="006A4139">
      <w:pPr>
        <w:pStyle w:val="Paragrapgh-numbered"/>
        <w:ind w:left="360"/>
        <w:rPr>
          <w:lang w:val="en-GB"/>
        </w:rPr>
      </w:pPr>
    </w:p>
    <w:p w14:paraId="5F097098" w14:textId="77777777" w:rsidR="00E17BC1" w:rsidRPr="00323B2A" w:rsidRDefault="00E17BC1" w:rsidP="00E17BC1">
      <w:pPr>
        <w:pStyle w:val="Artnr"/>
      </w:pPr>
      <w:bookmarkStart w:id="24" w:name="_Toc517274584"/>
      <w:bookmarkEnd w:id="24"/>
    </w:p>
    <w:p w14:paraId="083164EB" w14:textId="24A6A3E9" w:rsidR="00E17BC1" w:rsidRPr="00323B2A" w:rsidRDefault="00D172F7" w:rsidP="00E17BC1">
      <w:pPr>
        <w:pStyle w:val="ArticleTitle"/>
      </w:pPr>
      <w:r>
        <w:t>F</w:t>
      </w:r>
      <w:r w:rsidR="00E17BC1" w:rsidRPr="00323B2A">
        <w:t>or the CE and Nordic synchronous areas, the minimum activation period to be ensured by FCR providers in accordance with SOGL Article 156(10);</w:t>
      </w:r>
    </w:p>
    <w:p w14:paraId="69F93BD9" w14:textId="77777777" w:rsidR="00E17BC1" w:rsidRPr="00365D34" w:rsidRDefault="00E17BC1" w:rsidP="00E17BC1">
      <w:pPr>
        <w:pStyle w:val="Paragrapgh-numbered"/>
        <w:numPr>
          <w:ilvl w:val="0"/>
          <w:numId w:val="46"/>
        </w:numPr>
        <w:rPr>
          <w:lang w:val="en-GB"/>
        </w:rPr>
      </w:pPr>
      <w:r>
        <w:rPr>
          <w:lang w:val="en-GB"/>
        </w:rPr>
        <w:t xml:space="preserve">SOGL Article 156(10) is not applicable to this document. </w:t>
      </w:r>
    </w:p>
    <w:p w14:paraId="1979E1AE" w14:textId="77777777" w:rsidR="00E17BC1" w:rsidRPr="00365D34" w:rsidRDefault="00E17BC1" w:rsidP="00E17BC1">
      <w:pPr>
        <w:pStyle w:val="Paragrapgh-numbered"/>
        <w:ind w:left="360" w:hanging="360"/>
        <w:rPr>
          <w:lang w:val="en-GB"/>
        </w:rPr>
      </w:pPr>
    </w:p>
    <w:p w14:paraId="73D38EA0" w14:textId="77777777" w:rsidR="00E17BC1" w:rsidRPr="00323B2A" w:rsidRDefault="00E17BC1" w:rsidP="00E17BC1">
      <w:pPr>
        <w:pStyle w:val="Artnr"/>
      </w:pPr>
    </w:p>
    <w:p w14:paraId="161375BB" w14:textId="0EDB8C29" w:rsidR="00E17BC1" w:rsidRPr="00323B2A" w:rsidRDefault="00D172F7" w:rsidP="00E17BC1">
      <w:pPr>
        <w:pStyle w:val="ArticleTitle"/>
      </w:pPr>
      <w:r>
        <w:t>F</w:t>
      </w:r>
      <w:r w:rsidR="00E17BC1" w:rsidRPr="00323B2A">
        <w:t>or the CE and Nordic synchronous areas, the assumptions and methodology for a cost-benefit analysis in accordance with SOGL Article 156(11);</w:t>
      </w:r>
    </w:p>
    <w:p w14:paraId="499EB5A3" w14:textId="7FFACF16" w:rsidR="00085D4B" w:rsidRPr="00323B2A" w:rsidRDefault="00F07695" w:rsidP="00E17BC1">
      <w:pPr>
        <w:pStyle w:val="Paragrapgh-numbered"/>
        <w:ind w:left="360"/>
        <w:rPr>
          <w:lang w:val="en-GB"/>
        </w:rPr>
      </w:pPr>
      <w:r>
        <w:rPr>
          <w:lang w:val="en-GB"/>
        </w:rPr>
        <w:t>SOGL Article 156(9</w:t>
      </w:r>
      <w:r w:rsidR="00E17BC1">
        <w:rPr>
          <w:lang w:val="en-GB"/>
        </w:rPr>
        <w:t>) is not applicable to this document.</w:t>
      </w:r>
    </w:p>
    <w:p w14:paraId="473513A7" w14:textId="77777777" w:rsidR="00085D4B" w:rsidRPr="00323B2A" w:rsidRDefault="00085D4B" w:rsidP="00A6017D">
      <w:pPr>
        <w:pStyle w:val="Artnr"/>
      </w:pPr>
      <w:bookmarkStart w:id="25" w:name="_Toc517426332"/>
    </w:p>
    <w:p w14:paraId="24259D00" w14:textId="28243963" w:rsidR="002D50C4" w:rsidRPr="00323B2A" w:rsidRDefault="008C4823">
      <w:pPr>
        <w:pStyle w:val="ArticleTitle"/>
      </w:pPr>
      <w:r w:rsidRPr="00323B2A">
        <w:t>I</w:t>
      </w:r>
      <w:r w:rsidR="002D50C4" w:rsidRPr="00323B2A">
        <w:t xml:space="preserve">f applicable, for synchronous areas other than CE, limits for the exchange of FCR between the TSOs </w:t>
      </w:r>
      <w:r w:rsidR="009D4240">
        <w:t xml:space="preserve">within a Synchronous Area, </w:t>
      </w:r>
      <w:r w:rsidR="002D50C4" w:rsidRPr="00323B2A">
        <w:t>in accordance with SOGL Article 163(2)</w:t>
      </w:r>
      <w:bookmarkEnd w:id="25"/>
    </w:p>
    <w:p w14:paraId="5204BECC" w14:textId="307E6D1B" w:rsidR="00B5486A" w:rsidRPr="00BF670E" w:rsidRDefault="00B5486A" w:rsidP="00BF670E">
      <w:pPr>
        <w:pStyle w:val="Paragrapgh-numbered"/>
      </w:pPr>
      <w:r w:rsidRPr="00BF670E">
        <w:t xml:space="preserve">1. SOGL Article 163 describes the exchange of FCR within a synchronous area. </w:t>
      </w:r>
      <w:r w:rsidR="001C7A50">
        <w:t xml:space="preserve"> </w:t>
      </w:r>
    </w:p>
    <w:p w14:paraId="1B1881FC" w14:textId="0F3FB921" w:rsidR="00913B51" w:rsidRPr="00BF670E" w:rsidRDefault="00B5486A" w:rsidP="00BF670E">
      <w:pPr>
        <w:pStyle w:val="Paragrapgh-numbered"/>
      </w:pPr>
      <w:r w:rsidRPr="00BF670E">
        <w:t xml:space="preserve">2. </w:t>
      </w:r>
      <w:r w:rsidR="001C7A50">
        <w:t xml:space="preserve">SOGL Article </w:t>
      </w:r>
      <w:r w:rsidR="00F07695">
        <w:t xml:space="preserve">163 </w:t>
      </w:r>
      <w:r w:rsidR="001C7A50">
        <w:t xml:space="preserve">has no requirements for GB due to its LFC Block structure.  </w:t>
      </w:r>
      <w:r w:rsidR="00F07695">
        <w:t xml:space="preserve">The Synchronous Area </w:t>
      </w:r>
      <w:r w:rsidRPr="00BF670E">
        <w:t xml:space="preserve">GB </w:t>
      </w:r>
      <w:r w:rsidR="00F07695">
        <w:t xml:space="preserve">contains </w:t>
      </w:r>
      <w:r w:rsidRPr="00BF670E">
        <w:t xml:space="preserve">a single </w:t>
      </w:r>
      <w:r w:rsidR="00F07695">
        <w:t>LFC Area, within a single LFC Block</w:t>
      </w:r>
      <w:r w:rsidRPr="00BF670E">
        <w:t xml:space="preserve"> and </w:t>
      </w:r>
      <w:r w:rsidR="00621E0C" w:rsidRPr="00BF670E">
        <w:t>t</w:t>
      </w:r>
      <w:r w:rsidR="00D60A39" w:rsidRPr="00BF670E">
        <w:t>he ESO</w:t>
      </w:r>
      <w:r w:rsidRPr="00BF670E">
        <w:t xml:space="preserve"> </w:t>
      </w:r>
      <w:r w:rsidR="00F07695">
        <w:t>is responsible for operating the entire GB electricity system.</w:t>
      </w:r>
      <w:r w:rsidRPr="00BF670E">
        <w:t xml:space="preserve"> Therefore, i</w:t>
      </w:r>
      <w:r w:rsidR="002B4819" w:rsidRPr="00BF670E">
        <w:t>n accordance with Article 163(2) there are no limits for exchanging FCR within the GB Synchronous area.</w:t>
      </w:r>
    </w:p>
    <w:p w14:paraId="1A4FF045" w14:textId="77777777" w:rsidR="0044397B" w:rsidRPr="00323B2A" w:rsidRDefault="0044397B" w:rsidP="006A4139">
      <w:pPr>
        <w:pStyle w:val="Paragrapgh-numbered"/>
        <w:rPr>
          <w:color w:val="FF0000"/>
          <w:lang w:val="en-GB"/>
        </w:rPr>
      </w:pPr>
    </w:p>
    <w:p w14:paraId="4E0259EE" w14:textId="77777777" w:rsidR="00085D4B" w:rsidRPr="00323B2A" w:rsidRDefault="00085D4B" w:rsidP="00A6017D">
      <w:pPr>
        <w:pStyle w:val="Artnr"/>
      </w:pPr>
      <w:bookmarkStart w:id="26" w:name="_Toc517426333"/>
    </w:p>
    <w:p w14:paraId="07C158BE" w14:textId="54D594E2" w:rsidR="00893E51" w:rsidRPr="00323B2A" w:rsidRDefault="00927478">
      <w:pPr>
        <w:pStyle w:val="ArticleTitle"/>
      </w:pPr>
      <w:r w:rsidRPr="00323B2A">
        <w:t>F</w:t>
      </w:r>
      <w:r w:rsidR="00893E51" w:rsidRPr="00323B2A">
        <w:t>or</w:t>
      </w:r>
      <w:r w:rsidR="00A05F47" w:rsidRPr="00323B2A">
        <w:t xml:space="preserve"> </w:t>
      </w:r>
      <w:r w:rsidR="00893E51" w:rsidRPr="00323B2A">
        <w:t>the</w:t>
      </w:r>
      <w:r w:rsidR="00A05F47" w:rsidRPr="00323B2A">
        <w:t xml:space="preserve"> </w:t>
      </w:r>
      <w:r w:rsidR="00893E51" w:rsidRPr="00323B2A">
        <w:t>GB</w:t>
      </w:r>
      <w:r w:rsidR="00A05F47" w:rsidRPr="00323B2A">
        <w:t xml:space="preserve"> </w:t>
      </w:r>
      <w:r w:rsidR="00893E51" w:rsidRPr="00323B2A">
        <w:t>synchronous</w:t>
      </w:r>
      <w:r w:rsidR="00A05F47" w:rsidRPr="00323B2A">
        <w:t xml:space="preserve"> </w:t>
      </w:r>
      <w:r w:rsidR="00893E51" w:rsidRPr="00323B2A">
        <w:t>areas,</w:t>
      </w:r>
      <w:r w:rsidR="00A05F47" w:rsidRPr="00323B2A">
        <w:t xml:space="preserve"> </w:t>
      </w:r>
      <w:r w:rsidR="00893E51" w:rsidRPr="00323B2A">
        <w:t>the</w:t>
      </w:r>
      <w:r w:rsidR="00A05F47" w:rsidRPr="00323B2A">
        <w:t xml:space="preserve"> </w:t>
      </w:r>
      <w:r w:rsidR="00893E51" w:rsidRPr="00323B2A">
        <w:t>methodology</w:t>
      </w:r>
      <w:r w:rsidR="00A05F47" w:rsidRPr="00323B2A">
        <w:t xml:space="preserve"> </w:t>
      </w:r>
      <w:r w:rsidR="00893E51" w:rsidRPr="00323B2A">
        <w:t>to</w:t>
      </w:r>
      <w:r w:rsidR="00A05F47" w:rsidRPr="00323B2A">
        <w:t xml:space="preserve"> </w:t>
      </w:r>
      <w:r w:rsidR="00893E51" w:rsidRPr="00323B2A">
        <w:t>determine</w:t>
      </w:r>
      <w:r w:rsidR="00A05F47" w:rsidRPr="00323B2A">
        <w:t xml:space="preserve"> </w:t>
      </w:r>
      <w:r w:rsidR="00893E51" w:rsidRPr="00323B2A">
        <w:t>the minimum</w:t>
      </w:r>
      <w:r w:rsidR="00A05F47" w:rsidRPr="00323B2A">
        <w:t xml:space="preserve"> </w:t>
      </w:r>
      <w:r w:rsidR="00893E51" w:rsidRPr="00323B2A">
        <w:t>provision</w:t>
      </w:r>
      <w:r w:rsidR="00A05F47" w:rsidRPr="00323B2A">
        <w:t xml:space="preserve"> </w:t>
      </w:r>
      <w:r w:rsidR="00893E51" w:rsidRPr="00323B2A">
        <w:t>of</w:t>
      </w:r>
      <w:r w:rsidR="00A05F47" w:rsidRPr="00323B2A">
        <w:t xml:space="preserve"> </w:t>
      </w:r>
      <w:r w:rsidR="00893E51" w:rsidRPr="00323B2A">
        <w:t>reserve</w:t>
      </w:r>
      <w:r w:rsidR="00A05F47" w:rsidRPr="00323B2A">
        <w:t xml:space="preserve"> </w:t>
      </w:r>
      <w:r w:rsidR="00893E51" w:rsidRPr="00323B2A">
        <w:t>capacity</w:t>
      </w:r>
      <w:r w:rsidR="00A05F47" w:rsidRPr="00323B2A">
        <w:t xml:space="preserve"> </w:t>
      </w:r>
      <w:r w:rsidR="00893E51" w:rsidRPr="00323B2A">
        <w:t>on</w:t>
      </w:r>
      <w:r w:rsidR="00A05F47" w:rsidRPr="00323B2A">
        <w:t xml:space="preserve"> </w:t>
      </w:r>
      <w:r w:rsidR="00893E51" w:rsidRPr="00323B2A">
        <w:t>FCR</w:t>
      </w:r>
      <w:r w:rsidR="00A05F47" w:rsidRPr="00323B2A">
        <w:t xml:space="preserve"> </w:t>
      </w:r>
      <w:r w:rsidR="00893E51" w:rsidRPr="00323B2A">
        <w:t>in</w:t>
      </w:r>
      <w:r w:rsidR="00A05F47" w:rsidRPr="00323B2A">
        <w:t xml:space="preserve"> </w:t>
      </w:r>
      <w:r w:rsidR="00893E51" w:rsidRPr="00323B2A">
        <w:t>accordance</w:t>
      </w:r>
      <w:r w:rsidR="00A05F47" w:rsidRPr="00323B2A">
        <w:t xml:space="preserve"> </w:t>
      </w:r>
      <w:r w:rsidR="00893E51" w:rsidRPr="00323B2A">
        <w:t>with</w:t>
      </w:r>
      <w:r w:rsidR="00A05F47" w:rsidRPr="00323B2A">
        <w:t xml:space="preserve"> </w:t>
      </w:r>
      <w:r w:rsidR="000C4364" w:rsidRPr="00323B2A">
        <w:t xml:space="preserve">SOGL </w:t>
      </w:r>
      <w:r w:rsidR="00893E51" w:rsidRPr="00323B2A">
        <w:t>Article 174(2)(b);</w:t>
      </w:r>
      <w:bookmarkEnd w:id="26"/>
    </w:p>
    <w:p w14:paraId="1F76240D" w14:textId="6DC63876" w:rsidR="00893E51" w:rsidRPr="00323B2A" w:rsidRDefault="00D60A39" w:rsidP="006A7713">
      <w:pPr>
        <w:pStyle w:val="Paragrapgh-numbered"/>
        <w:numPr>
          <w:ilvl w:val="0"/>
          <w:numId w:val="31"/>
        </w:numPr>
        <w:rPr>
          <w:lang w:val="en-GB"/>
        </w:rPr>
      </w:pPr>
      <w:r w:rsidRPr="00323B2A">
        <w:rPr>
          <w:lang w:val="en-GB"/>
        </w:rPr>
        <w:t>The ESO</w:t>
      </w:r>
      <w:r w:rsidR="00893E51" w:rsidRPr="00323B2A">
        <w:rPr>
          <w:lang w:val="en-GB"/>
        </w:rPr>
        <w:t xml:space="preserve"> makes sure there is sufficient FCR capacity in GB to meet the </w:t>
      </w:r>
      <w:r w:rsidR="0044397B" w:rsidRPr="00323B2A">
        <w:rPr>
          <w:lang w:val="en-GB"/>
        </w:rPr>
        <w:t>dimensioning rules in Article 3.</w:t>
      </w:r>
    </w:p>
    <w:p w14:paraId="1251D4F3" w14:textId="51A47D14" w:rsidR="00893E51" w:rsidRPr="00323B2A" w:rsidRDefault="00A63682" w:rsidP="006A7713">
      <w:pPr>
        <w:pStyle w:val="Paragrapgh-numbered"/>
        <w:numPr>
          <w:ilvl w:val="0"/>
          <w:numId w:val="31"/>
        </w:numPr>
        <w:rPr>
          <w:lang w:val="en-GB"/>
        </w:rPr>
      </w:pPr>
      <w:r w:rsidRPr="00323B2A">
        <w:rPr>
          <w:lang w:val="en-GB"/>
        </w:rPr>
        <w:t xml:space="preserve">The minimum amount of FCR capacity </w:t>
      </w:r>
      <w:r w:rsidR="00927478" w:rsidRPr="00323B2A">
        <w:rPr>
          <w:lang w:val="en-GB"/>
        </w:rPr>
        <w:t xml:space="preserve">provided from within GB is determined as follows: </w:t>
      </w:r>
      <w:r w:rsidR="00D60A39" w:rsidRPr="00323B2A">
        <w:rPr>
          <w:lang w:val="en-GB"/>
        </w:rPr>
        <w:t>The ESO</w:t>
      </w:r>
      <w:r w:rsidR="00893E51" w:rsidRPr="00323B2A">
        <w:rPr>
          <w:lang w:val="en-GB"/>
        </w:rPr>
        <w:t xml:space="preserve"> looks at the overall requirements for FCR as defined by the dimensioning rules </w:t>
      </w:r>
      <w:r w:rsidR="00927478" w:rsidRPr="00323B2A">
        <w:rPr>
          <w:lang w:val="en-GB"/>
        </w:rPr>
        <w:t xml:space="preserve">as stipulated in paragraph 1, </w:t>
      </w:r>
      <w:r w:rsidR="00893E51" w:rsidRPr="00323B2A">
        <w:rPr>
          <w:lang w:val="en-GB"/>
        </w:rPr>
        <w:t xml:space="preserve">and subtracts the maximum amount of FCR </w:t>
      </w:r>
      <w:r w:rsidR="00927478" w:rsidRPr="00323B2A">
        <w:rPr>
          <w:lang w:val="en-GB"/>
        </w:rPr>
        <w:t xml:space="preserve">exchange and </w:t>
      </w:r>
      <w:r w:rsidR="00893E51" w:rsidRPr="00323B2A">
        <w:rPr>
          <w:lang w:val="en-GB"/>
        </w:rPr>
        <w:t xml:space="preserve">sharing that could be accommodated from other synchronous areas, </w:t>
      </w:r>
      <w:r w:rsidR="0044397B" w:rsidRPr="00323B2A">
        <w:rPr>
          <w:lang w:val="en-GB"/>
        </w:rPr>
        <w:t>as per paragraph 3</w:t>
      </w:r>
      <w:r w:rsidR="00893E51" w:rsidRPr="00323B2A">
        <w:rPr>
          <w:lang w:val="en-GB"/>
        </w:rPr>
        <w:t>, to establish the minimum provision of reserve capacity of FCR</w:t>
      </w:r>
      <w:r w:rsidR="0044397B" w:rsidRPr="00323B2A">
        <w:rPr>
          <w:lang w:val="en-GB"/>
        </w:rPr>
        <w:t xml:space="preserve"> that must be provided withi</w:t>
      </w:r>
      <w:r w:rsidR="00893E51" w:rsidRPr="00323B2A">
        <w:rPr>
          <w:lang w:val="en-GB"/>
        </w:rPr>
        <w:t xml:space="preserve">n the GB synchronous area. </w:t>
      </w:r>
    </w:p>
    <w:p w14:paraId="68633A07" w14:textId="5D7D0422" w:rsidR="00893E51" w:rsidRPr="00323B2A" w:rsidRDefault="00D60A39" w:rsidP="006A7713">
      <w:pPr>
        <w:pStyle w:val="Paragrapgh-numbered"/>
        <w:numPr>
          <w:ilvl w:val="0"/>
          <w:numId w:val="31"/>
        </w:numPr>
        <w:rPr>
          <w:lang w:val="en-GB"/>
        </w:rPr>
      </w:pPr>
      <w:r w:rsidRPr="00323B2A">
        <w:rPr>
          <w:lang w:val="en-GB"/>
        </w:rPr>
        <w:t>The ESO</w:t>
      </w:r>
      <w:r w:rsidR="00893E51" w:rsidRPr="00323B2A">
        <w:rPr>
          <w:lang w:val="en-GB"/>
        </w:rPr>
        <w:t xml:space="preserve"> determines the limits on the amount of FCR </w:t>
      </w:r>
      <w:r w:rsidR="00927478" w:rsidRPr="00323B2A">
        <w:rPr>
          <w:lang w:val="en-GB"/>
        </w:rPr>
        <w:t xml:space="preserve">exchange and </w:t>
      </w:r>
      <w:r w:rsidR="00893E51" w:rsidRPr="00323B2A">
        <w:rPr>
          <w:lang w:val="en-GB"/>
        </w:rPr>
        <w:t>sharing that could be accommodated from other synchronous areas by considering the following:</w:t>
      </w:r>
    </w:p>
    <w:p w14:paraId="41B610E2" w14:textId="3C84DD8E" w:rsidR="00893E51" w:rsidRPr="00365D34" w:rsidRDefault="00893E51" w:rsidP="006A7713">
      <w:pPr>
        <w:pStyle w:val="Paragrapgh-numbered"/>
        <w:numPr>
          <w:ilvl w:val="0"/>
          <w:numId w:val="39"/>
        </w:numPr>
        <w:rPr>
          <w:lang w:val="en-GB"/>
        </w:rPr>
      </w:pPr>
      <w:r w:rsidRPr="00323B2A">
        <w:rPr>
          <w:lang w:val="en-GB"/>
        </w:rPr>
        <w:t xml:space="preserve">Whether sharing of FCR can be accommodated by </w:t>
      </w:r>
      <w:r w:rsidR="00D60A39" w:rsidRPr="00323B2A">
        <w:rPr>
          <w:lang w:val="en-GB"/>
        </w:rPr>
        <w:t>the ESO</w:t>
      </w:r>
      <w:r w:rsidRPr="00323B2A">
        <w:rPr>
          <w:lang w:val="en-GB"/>
        </w:rPr>
        <w:t xml:space="preserve"> under expected system conditions whilst complying with NETS SQSS</w:t>
      </w:r>
      <w:r w:rsidR="00FB6EEE" w:rsidRPr="00323B2A">
        <w:rPr>
          <w:lang w:val="en-GB"/>
        </w:rPr>
        <w:t>;</w:t>
      </w:r>
      <w:r w:rsidR="00D34FB9" w:rsidRPr="00323B2A">
        <w:rPr>
          <w:lang w:val="en-GB"/>
        </w:rPr>
        <w:t xml:space="preserve"> </w:t>
      </w:r>
    </w:p>
    <w:p w14:paraId="00B28EFD" w14:textId="77777777" w:rsidR="00893E51" w:rsidRPr="00323B2A" w:rsidRDefault="00893E51" w:rsidP="006A7713">
      <w:pPr>
        <w:pStyle w:val="Paragrapgh-numbered"/>
        <w:numPr>
          <w:ilvl w:val="0"/>
          <w:numId w:val="39"/>
        </w:numPr>
        <w:rPr>
          <w:lang w:val="en-GB"/>
        </w:rPr>
      </w:pPr>
      <w:r w:rsidRPr="00323B2A">
        <w:rPr>
          <w:lang w:val="en-GB"/>
        </w:rPr>
        <w:t>The ability to transfer FCR between synchronous areas;</w:t>
      </w:r>
    </w:p>
    <w:p w14:paraId="5D242E11" w14:textId="77777777" w:rsidR="00893E51" w:rsidRPr="00323B2A" w:rsidRDefault="00893E51" w:rsidP="006A7713">
      <w:pPr>
        <w:pStyle w:val="Paragrapgh-numbered"/>
        <w:numPr>
          <w:ilvl w:val="0"/>
          <w:numId w:val="39"/>
        </w:numPr>
        <w:rPr>
          <w:lang w:val="en-GB"/>
        </w:rPr>
      </w:pPr>
      <w:r w:rsidRPr="00323B2A">
        <w:rPr>
          <w:lang w:val="en-GB"/>
        </w:rPr>
        <w:lastRenderedPageBreak/>
        <w:t>To consider any loss of provision of FCR during a reference incident</w:t>
      </w:r>
      <w:r w:rsidR="007271CB" w:rsidRPr="00323B2A">
        <w:rPr>
          <w:lang w:val="en-GB"/>
        </w:rPr>
        <w:t xml:space="preserve"> as defined by SOGL Article 153 (2)(b)(ii)</w:t>
      </w:r>
      <w:r w:rsidRPr="00323B2A">
        <w:rPr>
          <w:lang w:val="en-GB"/>
        </w:rPr>
        <w:t xml:space="preserve">; </w:t>
      </w:r>
    </w:p>
    <w:p w14:paraId="500817D2" w14:textId="2175C3C2" w:rsidR="00893E51" w:rsidRPr="00323B2A" w:rsidRDefault="00893E51" w:rsidP="006A7713">
      <w:pPr>
        <w:pStyle w:val="Paragrapgh-numbered"/>
        <w:numPr>
          <w:ilvl w:val="0"/>
          <w:numId w:val="39"/>
        </w:numPr>
        <w:rPr>
          <w:lang w:val="en-GB"/>
        </w:rPr>
      </w:pPr>
      <w:r w:rsidRPr="00323B2A">
        <w:rPr>
          <w:lang w:val="en-GB"/>
        </w:rPr>
        <w:t>Seek minimum cost solution of meeting GB FCR and therein the sharing of FCR, that could be possible subject to meeting points a-c</w:t>
      </w:r>
      <w:r w:rsidR="00EC114F">
        <w:rPr>
          <w:lang w:val="en-GB"/>
        </w:rPr>
        <w:t>;</w:t>
      </w:r>
    </w:p>
    <w:p w14:paraId="6186A9D4" w14:textId="65551AD9" w:rsidR="00893E51" w:rsidRDefault="00893E51" w:rsidP="006A7713">
      <w:pPr>
        <w:pStyle w:val="Paragrapgh-numbered"/>
        <w:numPr>
          <w:ilvl w:val="0"/>
          <w:numId w:val="39"/>
        </w:numPr>
        <w:rPr>
          <w:lang w:val="en-GB"/>
        </w:rPr>
      </w:pPr>
      <w:r w:rsidRPr="00323B2A">
        <w:rPr>
          <w:lang w:val="en-GB"/>
        </w:rPr>
        <w:t xml:space="preserve">The risk of the probability and impact of FCR short falls that could arise due to </w:t>
      </w:r>
      <w:r w:rsidR="00927478" w:rsidRPr="00323B2A">
        <w:rPr>
          <w:lang w:val="en-GB"/>
        </w:rPr>
        <w:t xml:space="preserve">exchange and </w:t>
      </w:r>
      <w:r w:rsidRPr="00323B2A">
        <w:rPr>
          <w:lang w:val="en-GB"/>
        </w:rPr>
        <w:t xml:space="preserve">sharing. </w:t>
      </w:r>
    </w:p>
    <w:p w14:paraId="0CC7D59F" w14:textId="315A2A41" w:rsidR="00927478" w:rsidRDefault="007C602F" w:rsidP="007C602F">
      <w:pPr>
        <w:pStyle w:val="Paragrapgh-numbered"/>
        <w:numPr>
          <w:ilvl w:val="0"/>
          <w:numId w:val="31"/>
        </w:numPr>
        <w:rPr>
          <w:lang w:val="en-GB"/>
        </w:rPr>
      </w:pPr>
      <w:r>
        <w:rPr>
          <w:lang w:val="en-GB"/>
        </w:rPr>
        <w:t xml:space="preserve">Market </w:t>
      </w:r>
      <w:r w:rsidRPr="00323B2A">
        <w:rPr>
          <w:lang w:val="en-GB"/>
        </w:rPr>
        <w:t xml:space="preserve">parties will be made aware of the FCR capacity that the ESO has determined through publications on the internet in accordance with SOGL </w:t>
      </w:r>
      <w:r>
        <w:rPr>
          <w:lang w:val="en-GB"/>
        </w:rPr>
        <w:t>Article</w:t>
      </w:r>
      <w:r w:rsidRPr="00323B2A">
        <w:rPr>
          <w:lang w:val="en-GB"/>
        </w:rPr>
        <w:t xml:space="preserve"> 187. The amounts of FCR </w:t>
      </w:r>
      <w:r w:rsidR="00646287">
        <w:rPr>
          <w:lang w:val="en-GB"/>
        </w:rPr>
        <w:t>s</w:t>
      </w:r>
      <w:r w:rsidRPr="00323B2A">
        <w:rPr>
          <w:lang w:val="en-GB"/>
        </w:rPr>
        <w:t xml:space="preserve">hared </w:t>
      </w:r>
      <w:r>
        <w:rPr>
          <w:lang w:val="en-GB"/>
        </w:rPr>
        <w:t xml:space="preserve">or </w:t>
      </w:r>
      <w:r w:rsidR="00646287">
        <w:rPr>
          <w:lang w:val="en-GB"/>
        </w:rPr>
        <w:t>e</w:t>
      </w:r>
      <w:r>
        <w:rPr>
          <w:lang w:val="en-GB"/>
        </w:rPr>
        <w:t xml:space="preserve">xchanged </w:t>
      </w:r>
      <w:r w:rsidRPr="00323B2A">
        <w:rPr>
          <w:lang w:val="en-GB"/>
        </w:rPr>
        <w:t xml:space="preserve">with other Synchronous Areas will be published on the internet in accordance with SOGL </w:t>
      </w:r>
      <w:r>
        <w:rPr>
          <w:lang w:val="en-GB"/>
        </w:rPr>
        <w:t>Article</w:t>
      </w:r>
      <w:r w:rsidRPr="00323B2A">
        <w:rPr>
          <w:lang w:val="en-GB"/>
        </w:rPr>
        <w:t xml:space="preserve"> 190.</w:t>
      </w:r>
    </w:p>
    <w:p w14:paraId="7DF61497" w14:textId="77777777" w:rsidR="007C602F" w:rsidRPr="00323B2A" w:rsidRDefault="007C602F" w:rsidP="00365D34">
      <w:pPr>
        <w:pStyle w:val="Paragrapgh-numbered"/>
        <w:ind w:left="1440"/>
        <w:rPr>
          <w:lang w:val="en-GB"/>
        </w:rPr>
      </w:pPr>
    </w:p>
    <w:p w14:paraId="3B43FEA9" w14:textId="77777777" w:rsidR="00085D4B" w:rsidRPr="00323B2A" w:rsidRDefault="00085D4B" w:rsidP="00A6017D">
      <w:pPr>
        <w:pStyle w:val="Artnr"/>
      </w:pPr>
      <w:bookmarkStart w:id="27" w:name="_Toc517426335"/>
    </w:p>
    <w:p w14:paraId="3C1050DF" w14:textId="0E06B69F" w:rsidR="006D194A" w:rsidRPr="00323B2A" w:rsidRDefault="008C4823">
      <w:pPr>
        <w:pStyle w:val="ArticleTitle"/>
      </w:pPr>
      <w:r w:rsidRPr="00323B2A">
        <w:t>T</w:t>
      </w:r>
      <w:r w:rsidR="006D194A" w:rsidRPr="00323B2A">
        <w:t>he methodology to determine limits on</w:t>
      </w:r>
      <w:r w:rsidR="00A05F47" w:rsidRPr="00323B2A">
        <w:t xml:space="preserve"> </w:t>
      </w:r>
      <w:r w:rsidR="003C2B40" w:rsidRPr="00323B2A">
        <w:t>t</w:t>
      </w:r>
      <w:r w:rsidR="006D194A" w:rsidRPr="00323B2A">
        <w:t>he</w:t>
      </w:r>
      <w:r w:rsidR="00A05F47" w:rsidRPr="00323B2A">
        <w:t xml:space="preserve"> </w:t>
      </w:r>
      <w:r w:rsidR="006D194A" w:rsidRPr="00323B2A">
        <w:t>amount</w:t>
      </w:r>
      <w:r w:rsidR="00A05F47" w:rsidRPr="00323B2A">
        <w:t xml:space="preserve"> </w:t>
      </w:r>
      <w:r w:rsidR="006D194A" w:rsidRPr="00323B2A">
        <w:t>of</w:t>
      </w:r>
      <w:r w:rsidR="00A05F47" w:rsidRPr="00323B2A">
        <w:t xml:space="preserve"> </w:t>
      </w:r>
      <w:r w:rsidR="006D194A" w:rsidRPr="00323B2A">
        <w:t>exchange</w:t>
      </w:r>
      <w:r w:rsidR="00A05F47" w:rsidRPr="00323B2A">
        <w:t xml:space="preserve"> </w:t>
      </w:r>
      <w:r w:rsidR="006D194A" w:rsidRPr="00323B2A">
        <w:t>of</w:t>
      </w:r>
      <w:r w:rsidR="00A05F47" w:rsidRPr="00323B2A">
        <w:t xml:space="preserve"> </w:t>
      </w:r>
      <w:r w:rsidR="006D194A" w:rsidRPr="00323B2A">
        <w:t xml:space="preserve">FRR between synchronous areas defined in accordance with </w:t>
      </w:r>
      <w:r w:rsidR="009F40BA" w:rsidRPr="00323B2A">
        <w:t xml:space="preserve">SOGL </w:t>
      </w:r>
      <w:r w:rsidR="006D194A" w:rsidRPr="00323B2A">
        <w:t>Article 176(1) and the methodology</w:t>
      </w:r>
      <w:r w:rsidR="00A05F47" w:rsidRPr="00323B2A">
        <w:t xml:space="preserve"> </w:t>
      </w:r>
      <w:r w:rsidR="006D194A" w:rsidRPr="00323B2A">
        <w:t>to</w:t>
      </w:r>
      <w:r w:rsidR="00A05F47" w:rsidRPr="00323B2A">
        <w:t xml:space="preserve"> </w:t>
      </w:r>
      <w:r w:rsidR="006D194A" w:rsidRPr="00323B2A">
        <w:t>determine</w:t>
      </w:r>
      <w:r w:rsidR="00A05F47" w:rsidRPr="00323B2A">
        <w:t xml:space="preserve"> </w:t>
      </w:r>
      <w:r w:rsidR="006D194A" w:rsidRPr="00323B2A">
        <w:t>limits</w:t>
      </w:r>
      <w:r w:rsidR="00A05F47" w:rsidRPr="00323B2A">
        <w:t xml:space="preserve"> </w:t>
      </w:r>
      <w:r w:rsidR="006D194A" w:rsidRPr="00323B2A">
        <w:t>on</w:t>
      </w:r>
      <w:r w:rsidR="00A05F47" w:rsidRPr="00323B2A">
        <w:t xml:space="preserve"> </w:t>
      </w:r>
      <w:r w:rsidR="006D194A" w:rsidRPr="00323B2A">
        <w:t>the</w:t>
      </w:r>
      <w:r w:rsidR="00A05F47" w:rsidRPr="00323B2A">
        <w:t xml:space="preserve"> </w:t>
      </w:r>
      <w:r w:rsidR="006D194A" w:rsidRPr="00323B2A">
        <w:t>amount</w:t>
      </w:r>
      <w:r w:rsidR="00A05F47" w:rsidRPr="00323B2A">
        <w:t xml:space="preserve"> </w:t>
      </w:r>
      <w:r w:rsidR="006D194A" w:rsidRPr="00323B2A">
        <w:t>of</w:t>
      </w:r>
      <w:r w:rsidR="00A05F47" w:rsidRPr="00323B2A">
        <w:t xml:space="preserve"> </w:t>
      </w:r>
      <w:r w:rsidR="006D194A" w:rsidRPr="00323B2A">
        <w:t>sharing</w:t>
      </w:r>
      <w:r w:rsidR="00A05F47" w:rsidRPr="00323B2A">
        <w:t xml:space="preserve"> </w:t>
      </w:r>
      <w:r w:rsidR="006D194A" w:rsidRPr="00323B2A">
        <w:t>of</w:t>
      </w:r>
      <w:r w:rsidR="00A05F47" w:rsidRPr="00323B2A">
        <w:t xml:space="preserve"> </w:t>
      </w:r>
      <w:r w:rsidR="006D194A" w:rsidRPr="00323B2A">
        <w:t>FRR</w:t>
      </w:r>
      <w:r w:rsidR="00A05F47" w:rsidRPr="00323B2A">
        <w:t xml:space="preserve"> </w:t>
      </w:r>
      <w:r w:rsidR="006D194A" w:rsidRPr="00323B2A">
        <w:t xml:space="preserve">between synchronous areas defined in accordance with </w:t>
      </w:r>
      <w:r w:rsidR="009F40BA" w:rsidRPr="00323B2A">
        <w:t xml:space="preserve">SOGL </w:t>
      </w:r>
      <w:r w:rsidR="006D194A" w:rsidRPr="00323B2A">
        <w:t>Article 177(1)</w:t>
      </w:r>
      <w:bookmarkEnd w:id="27"/>
    </w:p>
    <w:p w14:paraId="3CD64229" w14:textId="5B0510DA" w:rsidR="00EF5C84" w:rsidRPr="00323B2A" w:rsidRDefault="00D60A39" w:rsidP="006A7713">
      <w:pPr>
        <w:pStyle w:val="Paragrapgh-numbered"/>
        <w:numPr>
          <w:ilvl w:val="0"/>
          <w:numId w:val="18"/>
        </w:numPr>
        <w:rPr>
          <w:lang w:val="en-GB"/>
        </w:rPr>
      </w:pPr>
      <w:r w:rsidRPr="00323B2A">
        <w:rPr>
          <w:lang w:val="en-GB"/>
        </w:rPr>
        <w:t>The ESO</w:t>
      </w:r>
      <w:r w:rsidR="00EF5C84" w:rsidRPr="00323B2A">
        <w:rPr>
          <w:lang w:val="en-GB"/>
        </w:rPr>
        <w:t xml:space="preserve"> determines the maximum amount of FRR sharing and exchange that could be accommodated from other synchronous areas by considering the following</w:t>
      </w:r>
      <w:r w:rsidR="000F2786" w:rsidRPr="00323B2A">
        <w:rPr>
          <w:lang w:val="en-GB"/>
        </w:rPr>
        <w:t>:</w:t>
      </w:r>
    </w:p>
    <w:p w14:paraId="031EC7F0" w14:textId="68641B93" w:rsidR="00621E0C" w:rsidRPr="00365D34" w:rsidRDefault="00621E0C" w:rsidP="006A7713">
      <w:pPr>
        <w:pStyle w:val="Paragrapgh-numbered"/>
        <w:numPr>
          <w:ilvl w:val="1"/>
          <w:numId w:val="18"/>
        </w:numPr>
        <w:rPr>
          <w:lang w:val="en-GB"/>
        </w:rPr>
      </w:pPr>
      <w:r w:rsidRPr="00323B2A">
        <w:rPr>
          <w:lang w:val="en-GB"/>
        </w:rPr>
        <w:t xml:space="preserve">Whether sharing or exchange of FRR can be accommodated by the ESO under expected system conditions whilst complying with NETS SQSS; </w:t>
      </w:r>
    </w:p>
    <w:p w14:paraId="4EE902DA" w14:textId="4047173F" w:rsidR="00621E0C" w:rsidRPr="00323B2A" w:rsidRDefault="00621E0C" w:rsidP="006A7713">
      <w:pPr>
        <w:pStyle w:val="Paragrapgh-numbered"/>
        <w:numPr>
          <w:ilvl w:val="1"/>
          <w:numId w:val="18"/>
        </w:numPr>
        <w:rPr>
          <w:lang w:val="en-GB"/>
        </w:rPr>
      </w:pPr>
      <w:r w:rsidRPr="00323B2A">
        <w:rPr>
          <w:lang w:val="en-GB"/>
        </w:rPr>
        <w:t>The ability to transfer FRR between synchronous areas;</w:t>
      </w:r>
    </w:p>
    <w:p w14:paraId="5C1F35AB" w14:textId="29883392" w:rsidR="00621E0C" w:rsidRPr="00323B2A" w:rsidRDefault="00621E0C" w:rsidP="006A7713">
      <w:pPr>
        <w:pStyle w:val="Paragrapgh-numbered"/>
        <w:numPr>
          <w:ilvl w:val="1"/>
          <w:numId w:val="18"/>
        </w:numPr>
        <w:rPr>
          <w:lang w:val="en-GB"/>
        </w:rPr>
      </w:pPr>
      <w:r w:rsidRPr="00323B2A">
        <w:rPr>
          <w:lang w:val="en-GB"/>
        </w:rPr>
        <w:t xml:space="preserve">To consider any loss of provision of FRR during a reference incident as defined by SOGL Article 157 (2)(d); </w:t>
      </w:r>
    </w:p>
    <w:p w14:paraId="345AD51C" w14:textId="5590759B" w:rsidR="00621E0C" w:rsidRPr="00323B2A" w:rsidRDefault="00621E0C" w:rsidP="006A7713">
      <w:pPr>
        <w:pStyle w:val="Paragrapgh-numbered"/>
        <w:numPr>
          <w:ilvl w:val="1"/>
          <w:numId w:val="18"/>
        </w:numPr>
        <w:rPr>
          <w:lang w:val="en-GB"/>
        </w:rPr>
      </w:pPr>
      <w:r w:rsidRPr="00323B2A">
        <w:rPr>
          <w:lang w:val="en-GB"/>
        </w:rPr>
        <w:t>Seek minimum cost solution of meeting GB FRR and therein the sharing or exchange of FRR, that could be possible subject to meeting points a-c.</w:t>
      </w:r>
    </w:p>
    <w:p w14:paraId="1BAE73E8" w14:textId="6320721F" w:rsidR="00621E0C" w:rsidRPr="00323B2A" w:rsidRDefault="00621E0C" w:rsidP="006A7713">
      <w:pPr>
        <w:pStyle w:val="Paragrapgh-numbered"/>
        <w:numPr>
          <w:ilvl w:val="1"/>
          <w:numId w:val="18"/>
        </w:numPr>
        <w:rPr>
          <w:lang w:val="en-GB"/>
        </w:rPr>
      </w:pPr>
      <w:r w:rsidRPr="00323B2A">
        <w:rPr>
          <w:lang w:val="en-GB"/>
        </w:rPr>
        <w:t xml:space="preserve">The risk of the probability and impact of FRR short falls that could arise due to sharing. </w:t>
      </w:r>
    </w:p>
    <w:p w14:paraId="03E9EE64" w14:textId="0C3D7022" w:rsidR="007C602F" w:rsidRDefault="007C602F" w:rsidP="007C602F">
      <w:pPr>
        <w:pStyle w:val="Paragrapgh-numbered"/>
        <w:numPr>
          <w:ilvl w:val="0"/>
          <w:numId w:val="18"/>
        </w:numPr>
        <w:rPr>
          <w:lang w:val="en-GB"/>
        </w:rPr>
      </w:pPr>
      <w:r>
        <w:rPr>
          <w:lang w:val="en-GB"/>
        </w:rPr>
        <w:t xml:space="preserve">Market </w:t>
      </w:r>
      <w:r w:rsidRPr="00323B2A">
        <w:rPr>
          <w:lang w:val="en-GB"/>
        </w:rPr>
        <w:t>part</w:t>
      </w:r>
      <w:r>
        <w:rPr>
          <w:lang w:val="en-GB"/>
        </w:rPr>
        <w:t>ies will be made aware of the FR</w:t>
      </w:r>
      <w:r w:rsidRPr="00323B2A">
        <w:rPr>
          <w:lang w:val="en-GB"/>
        </w:rPr>
        <w:t xml:space="preserve">R capacity that the ESO has determined through publications on the internet in accordance with SOGL </w:t>
      </w:r>
      <w:r>
        <w:rPr>
          <w:lang w:val="en-GB"/>
        </w:rPr>
        <w:t>Article</w:t>
      </w:r>
      <w:r w:rsidRPr="00323B2A">
        <w:rPr>
          <w:lang w:val="en-GB"/>
        </w:rPr>
        <w:t xml:space="preserve"> 18</w:t>
      </w:r>
      <w:r>
        <w:rPr>
          <w:lang w:val="en-GB"/>
        </w:rPr>
        <w:t>8. The amounts of FR</w:t>
      </w:r>
      <w:r w:rsidRPr="00323B2A">
        <w:rPr>
          <w:lang w:val="en-GB"/>
        </w:rPr>
        <w:t xml:space="preserve">R </w:t>
      </w:r>
      <w:r w:rsidR="00646287">
        <w:rPr>
          <w:lang w:val="en-GB"/>
        </w:rPr>
        <w:t>s</w:t>
      </w:r>
      <w:r w:rsidRPr="00323B2A">
        <w:rPr>
          <w:lang w:val="en-GB"/>
        </w:rPr>
        <w:t xml:space="preserve">hared </w:t>
      </w:r>
      <w:r>
        <w:rPr>
          <w:lang w:val="en-GB"/>
        </w:rPr>
        <w:t xml:space="preserve">or </w:t>
      </w:r>
      <w:r w:rsidR="00646287">
        <w:rPr>
          <w:lang w:val="en-GB"/>
        </w:rPr>
        <w:t>e</w:t>
      </w:r>
      <w:r>
        <w:rPr>
          <w:lang w:val="en-GB"/>
        </w:rPr>
        <w:t xml:space="preserve">xchanged </w:t>
      </w:r>
      <w:r w:rsidRPr="00323B2A">
        <w:rPr>
          <w:lang w:val="en-GB"/>
        </w:rPr>
        <w:t xml:space="preserve">with other Synchronous Areas will be published on the internet in accordance with SOGL </w:t>
      </w:r>
      <w:r>
        <w:rPr>
          <w:lang w:val="en-GB"/>
        </w:rPr>
        <w:t>Article</w:t>
      </w:r>
      <w:r w:rsidRPr="00323B2A">
        <w:rPr>
          <w:lang w:val="en-GB"/>
        </w:rPr>
        <w:t xml:space="preserve"> 190.</w:t>
      </w:r>
    </w:p>
    <w:p w14:paraId="593687A8" w14:textId="77777777" w:rsidR="00085D4B" w:rsidRPr="00323B2A" w:rsidRDefault="00085D4B" w:rsidP="006A4139">
      <w:pPr>
        <w:pStyle w:val="Paragrapgh-numbered"/>
        <w:ind w:left="360"/>
        <w:rPr>
          <w:lang w:val="en-GB"/>
        </w:rPr>
      </w:pPr>
    </w:p>
    <w:p w14:paraId="566377BC" w14:textId="77777777" w:rsidR="00085D4B" w:rsidRPr="00323B2A" w:rsidRDefault="00085D4B" w:rsidP="00A6017D">
      <w:pPr>
        <w:pStyle w:val="Artnr"/>
      </w:pPr>
      <w:bookmarkStart w:id="28" w:name="_Toc517426336"/>
    </w:p>
    <w:p w14:paraId="5A605CCC" w14:textId="14D26669" w:rsidR="006D194A" w:rsidRPr="00323B2A" w:rsidRDefault="008C4823">
      <w:pPr>
        <w:pStyle w:val="ArticleTitle"/>
      </w:pPr>
      <w:r w:rsidRPr="00323B2A">
        <w:t>T</w:t>
      </w:r>
      <w:r w:rsidR="00EF5C84" w:rsidRPr="00323B2A">
        <w:t>he methodology to determine limits on the amount of exchange of RR between synchronous areas defined</w:t>
      </w:r>
      <w:r w:rsidR="00A05F47" w:rsidRPr="00323B2A">
        <w:t xml:space="preserve"> </w:t>
      </w:r>
      <w:r w:rsidR="00EF5C84" w:rsidRPr="00323B2A">
        <w:t>in</w:t>
      </w:r>
      <w:r w:rsidR="00A05F47" w:rsidRPr="00323B2A">
        <w:t xml:space="preserve"> </w:t>
      </w:r>
      <w:r w:rsidR="00EF5C84" w:rsidRPr="00323B2A">
        <w:t xml:space="preserve">accordance with </w:t>
      </w:r>
      <w:r w:rsidR="009F40BA" w:rsidRPr="00323B2A">
        <w:t>SOGL</w:t>
      </w:r>
      <w:r w:rsidR="00775349">
        <w:t xml:space="preserve"> </w:t>
      </w:r>
      <w:r w:rsidR="00EF5C84" w:rsidRPr="00323B2A">
        <w:t>Article</w:t>
      </w:r>
      <w:r w:rsidR="00A05F47" w:rsidRPr="00323B2A">
        <w:t xml:space="preserve"> </w:t>
      </w:r>
      <w:r w:rsidR="00EF5C84" w:rsidRPr="00323B2A">
        <w:t>178(1)</w:t>
      </w:r>
      <w:r w:rsidR="00A05F47" w:rsidRPr="00323B2A">
        <w:t xml:space="preserve"> </w:t>
      </w:r>
      <w:r w:rsidR="00EF5C84" w:rsidRPr="00323B2A">
        <w:t>and</w:t>
      </w:r>
      <w:r w:rsidR="00A05F47" w:rsidRPr="00323B2A">
        <w:t xml:space="preserve"> </w:t>
      </w:r>
      <w:r w:rsidR="00EF5C84" w:rsidRPr="00323B2A">
        <w:t>the methodology</w:t>
      </w:r>
      <w:r w:rsidR="00A05F47" w:rsidRPr="00323B2A">
        <w:t xml:space="preserve"> </w:t>
      </w:r>
      <w:r w:rsidR="00EF5C84" w:rsidRPr="00323B2A">
        <w:t>to</w:t>
      </w:r>
      <w:r w:rsidR="00A05F47" w:rsidRPr="00323B2A">
        <w:t xml:space="preserve"> </w:t>
      </w:r>
      <w:r w:rsidR="00EF5C84" w:rsidRPr="00323B2A">
        <w:t>determine</w:t>
      </w:r>
      <w:r w:rsidR="00A05F47" w:rsidRPr="00323B2A">
        <w:t xml:space="preserve"> </w:t>
      </w:r>
      <w:r w:rsidR="00EF5C84" w:rsidRPr="00323B2A">
        <w:t>limits</w:t>
      </w:r>
      <w:r w:rsidR="00A05F47" w:rsidRPr="00323B2A">
        <w:t xml:space="preserve"> </w:t>
      </w:r>
      <w:r w:rsidR="00EF5C84" w:rsidRPr="00323B2A">
        <w:t>on</w:t>
      </w:r>
      <w:r w:rsidR="00A05F47" w:rsidRPr="00323B2A">
        <w:t xml:space="preserve"> </w:t>
      </w:r>
      <w:r w:rsidR="00EF5C84" w:rsidRPr="00323B2A">
        <w:t>the</w:t>
      </w:r>
      <w:r w:rsidR="00A05F47" w:rsidRPr="00323B2A">
        <w:t xml:space="preserve"> </w:t>
      </w:r>
      <w:r w:rsidR="00EF5C84" w:rsidRPr="00323B2A">
        <w:t>amount</w:t>
      </w:r>
      <w:r w:rsidR="00A05F47" w:rsidRPr="00323B2A">
        <w:t xml:space="preserve"> </w:t>
      </w:r>
      <w:r w:rsidR="00EF5C84" w:rsidRPr="00323B2A">
        <w:t>of</w:t>
      </w:r>
      <w:r w:rsidR="00A05F47" w:rsidRPr="00323B2A">
        <w:t xml:space="preserve"> </w:t>
      </w:r>
      <w:r w:rsidR="00EF5C84" w:rsidRPr="00323B2A">
        <w:t>sharing</w:t>
      </w:r>
      <w:r w:rsidR="00A05F47" w:rsidRPr="00323B2A">
        <w:t xml:space="preserve"> </w:t>
      </w:r>
      <w:r w:rsidR="00EF5C84" w:rsidRPr="00323B2A">
        <w:t>of</w:t>
      </w:r>
      <w:r w:rsidR="00A05F47" w:rsidRPr="00323B2A">
        <w:t xml:space="preserve"> </w:t>
      </w:r>
      <w:r w:rsidR="00EF5C84" w:rsidRPr="00323B2A">
        <w:t>RR</w:t>
      </w:r>
      <w:r w:rsidR="00A05F47" w:rsidRPr="00323B2A">
        <w:t xml:space="preserve"> </w:t>
      </w:r>
      <w:r w:rsidR="00EF5C84" w:rsidRPr="00323B2A">
        <w:t xml:space="preserve">between synchronous areas defined in accordance with </w:t>
      </w:r>
      <w:r w:rsidR="009F40BA" w:rsidRPr="00323B2A">
        <w:t xml:space="preserve">SOGL </w:t>
      </w:r>
      <w:r w:rsidR="00EF5C84" w:rsidRPr="00323B2A">
        <w:t>Article 179(1).</w:t>
      </w:r>
      <w:bookmarkEnd w:id="28"/>
    </w:p>
    <w:p w14:paraId="2DC5C4E7" w14:textId="5AB53BB5" w:rsidR="00EF5C84" w:rsidRPr="00323B2A" w:rsidRDefault="00D60A39" w:rsidP="006A7713">
      <w:pPr>
        <w:pStyle w:val="Paragrapgh-numbered"/>
        <w:numPr>
          <w:ilvl w:val="0"/>
          <w:numId w:val="47"/>
        </w:numPr>
        <w:rPr>
          <w:lang w:val="en-GB"/>
        </w:rPr>
      </w:pPr>
      <w:r w:rsidRPr="00323B2A">
        <w:rPr>
          <w:lang w:val="en-GB"/>
        </w:rPr>
        <w:t>The ESO</w:t>
      </w:r>
      <w:r w:rsidR="00EF5C84" w:rsidRPr="00323B2A">
        <w:rPr>
          <w:lang w:val="en-GB"/>
        </w:rPr>
        <w:t xml:space="preserve"> determines the maximum amount of RR sharing and exchange that could be accommodated from other synchronous areas by considering the following</w:t>
      </w:r>
      <w:r w:rsidR="000F2786" w:rsidRPr="00323B2A">
        <w:rPr>
          <w:lang w:val="en-GB"/>
        </w:rPr>
        <w:t>:</w:t>
      </w:r>
    </w:p>
    <w:p w14:paraId="7AA7BA69" w14:textId="7DF42652" w:rsidR="00840A9E" w:rsidRPr="00365D34" w:rsidRDefault="00840A9E" w:rsidP="006A7713">
      <w:pPr>
        <w:pStyle w:val="Paragrapgh-numbered"/>
        <w:numPr>
          <w:ilvl w:val="1"/>
          <w:numId w:val="47"/>
        </w:numPr>
        <w:rPr>
          <w:lang w:val="en-GB"/>
        </w:rPr>
      </w:pPr>
      <w:r w:rsidRPr="00323B2A">
        <w:rPr>
          <w:lang w:val="en-GB"/>
        </w:rPr>
        <w:t xml:space="preserve">Whether sharing or exchange of RR can be accommodated by the ESO under expected system conditions whilst complying with NETS SQSS; </w:t>
      </w:r>
    </w:p>
    <w:p w14:paraId="0FA7595D" w14:textId="2B4FFAED" w:rsidR="00840A9E" w:rsidRPr="00323B2A" w:rsidRDefault="00840A9E" w:rsidP="006A7713">
      <w:pPr>
        <w:pStyle w:val="Paragrapgh-numbered"/>
        <w:numPr>
          <w:ilvl w:val="1"/>
          <w:numId w:val="47"/>
        </w:numPr>
        <w:rPr>
          <w:lang w:val="en-GB"/>
        </w:rPr>
      </w:pPr>
      <w:r w:rsidRPr="00323B2A">
        <w:rPr>
          <w:lang w:val="en-GB"/>
        </w:rPr>
        <w:t>The ability to transfer RR between synchronous areas;</w:t>
      </w:r>
    </w:p>
    <w:p w14:paraId="221C0B25" w14:textId="7693F8DA" w:rsidR="00840A9E" w:rsidRPr="00323B2A" w:rsidRDefault="00840A9E" w:rsidP="006A7713">
      <w:pPr>
        <w:pStyle w:val="Paragrapgh-numbered"/>
        <w:numPr>
          <w:ilvl w:val="1"/>
          <w:numId w:val="47"/>
        </w:numPr>
        <w:rPr>
          <w:lang w:val="en-GB"/>
        </w:rPr>
      </w:pPr>
      <w:r w:rsidRPr="00323B2A">
        <w:rPr>
          <w:lang w:val="en-GB"/>
        </w:rPr>
        <w:t xml:space="preserve">To consider any loss of provision of RR during a reference incident as defined by SOGL Article </w:t>
      </w:r>
      <w:r>
        <w:rPr>
          <w:lang w:val="en-GB"/>
        </w:rPr>
        <w:t>160(3)(c</w:t>
      </w:r>
      <w:r w:rsidRPr="00323B2A">
        <w:rPr>
          <w:lang w:val="en-GB"/>
        </w:rPr>
        <w:t xml:space="preserve">); </w:t>
      </w:r>
    </w:p>
    <w:p w14:paraId="28E4536C" w14:textId="21B7CD6D" w:rsidR="00840A9E" w:rsidRPr="00323B2A" w:rsidRDefault="00840A9E" w:rsidP="006A7713">
      <w:pPr>
        <w:pStyle w:val="Paragrapgh-numbered"/>
        <w:numPr>
          <w:ilvl w:val="1"/>
          <w:numId w:val="47"/>
        </w:numPr>
        <w:rPr>
          <w:lang w:val="en-GB"/>
        </w:rPr>
      </w:pPr>
      <w:r w:rsidRPr="00323B2A">
        <w:rPr>
          <w:lang w:val="en-GB"/>
        </w:rPr>
        <w:t>Seek minimum cost solution of meeting GB RR and therein the sharing or exchange of FRR, that could be possible subject to meeting points a-c.</w:t>
      </w:r>
    </w:p>
    <w:p w14:paraId="6E880FB6" w14:textId="2DF9C0CC" w:rsidR="00840A9E" w:rsidRDefault="00840A9E" w:rsidP="006A7713">
      <w:pPr>
        <w:pStyle w:val="Paragrapgh-numbered"/>
        <w:numPr>
          <w:ilvl w:val="1"/>
          <w:numId w:val="47"/>
        </w:numPr>
        <w:rPr>
          <w:lang w:val="en-GB"/>
        </w:rPr>
      </w:pPr>
      <w:r w:rsidRPr="00323B2A">
        <w:rPr>
          <w:lang w:val="en-GB"/>
        </w:rPr>
        <w:t>The risk of the probability and impact of RR short falls that could arise due to sharing</w:t>
      </w:r>
      <w:r>
        <w:rPr>
          <w:lang w:val="en-GB"/>
        </w:rPr>
        <w:t xml:space="preserve"> or exchange.</w:t>
      </w:r>
    </w:p>
    <w:p w14:paraId="4ED960A3" w14:textId="50DE81A4" w:rsidR="007C602F" w:rsidRDefault="007C602F" w:rsidP="007C602F">
      <w:pPr>
        <w:pStyle w:val="Paragrapgh-numbered"/>
        <w:numPr>
          <w:ilvl w:val="0"/>
          <w:numId w:val="47"/>
        </w:numPr>
        <w:rPr>
          <w:lang w:val="en-GB"/>
        </w:rPr>
      </w:pPr>
      <w:r>
        <w:rPr>
          <w:lang w:val="en-GB"/>
        </w:rPr>
        <w:t xml:space="preserve">Market </w:t>
      </w:r>
      <w:r w:rsidRPr="00323B2A">
        <w:rPr>
          <w:lang w:val="en-GB"/>
        </w:rPr>
        <w:t xml:space="preserve">parties will be made aware of the </w:t>
      </w:r>
      <w:r>
        <w:rPr>
          <w:lang w:val="en-GB"/>
        </w:rPr>
        <w:t>R</w:t>
      </w:r>
      <w:r w:rsidRPr="00323B2A">
        <w:rPr>
          <w:lang w:val="en-GB"/>
        </w:rPr>
        <w:t xml:space="preserve">R capacity that the ESO has determined through publications on the internet in accordance with SOGL </w:t>
      </w:r>
      <w:r>
        <w:rPr>
          <w:lang w:val="en-GB"/>
        </w:rPr>
        <w:t>Article 189</w:t>
      </w:r>
      <w:r w:rsidRPr="00323B2A">
        <w:rPr>
          <w:lang w:val="en-GB"/>
        </w:rPr>
        <w:t xml:space="preserve">. The amounts of </w:t>
      </w:r>
      <w:r>
        <w:rPr>
          <w:lang w:val="en-GB"/>
        </w:rPr>
        <w:t>R</w:t>
      </w:r>
      <w:r w:rsidRPr="00323B2A">
        <w:rPr>
          <w:lang w:val="en-GB"/>
        </w:rPr>
        <w:t xml:space="preserve">R </w:t>
      </w:r>
      <w:r w:rsidR="00646287">
        <w:rPr>
          <w:lang w:val="en-GB"/>
        </w:rPr>
        <w:t>s</w:t>
      </w:r>
      <w:r w:rsidRPr="00323B2A">
        <w:rPr>
          <w:lang w:val="en-GB"/>
        </w:rPr>
        <w:t xml:space="preserve">hared </w:t>
      </w:r>
      <w:r>
        <w:rPr>
          <w:lang w:val="en-GB"/>
        </w:rPr>
        <w:t xml:space="preserve">or </w:t>
      </w:r>
      <w:r w:rsidR="00646287">
        <w:rPr>
          <w:lang w:val="en-GB"/>
        </w:rPr>
        <w:t>e</w:t>
      </w:r>
      <w:r>
        <w:rPr>
          <w:lang w:val="en-GB"/>
        </w:rPr>
        <w:t xml:space="preserve">xchanged </w:t>
      </w:r>
      <w:r w:rsidRPr="00323B2A">
        <w:rPr>
          <w:lang w:val="en-GB"/>
        </w:rPr>
        <w:t xml:space="preserve">with other Synchronous Areas will be published on the internet in accordance with SOGL </w:t>
      </w:r>
      <w:r>
        <w:rPr>
          <w:lang w:val="en-GB"/>
        </w:rPr>
        <w:t>Article</w:t>
      </w:r>
      <w:r w:rsidRPr="00323B2A">
        <w:rPr>
          <w:lang w:val="en-GB"/>
        </w:rPr>
        <w:t xml:space="preserve"> 190.</w:t>
      </w:r>
    </w:p>
    <w:p w14:paraId="783C6195" w14:textId="77777777" w:rsidR="00646727" w:rsidRPr="00323B2A" w:rsidRDefault="00646727" w:rsidP="0017653A"/>
    <w:p w14:paraId="6934EB5B" w14:textId="77777777" w:rsidR="000C4364" w:rsidRPr="00323B2A" w:rsidRDefault="000C4364" w:rsidP="00A6017D">
      <w:pPr>
        <w:pStyle w:val="Title1"/>
      </w:pPr>
    </w:p>
    <w:p w14:paraId="3F78784E" w14:textId="24D1EE26" w:rsidR="00E169EC" w:rsidRPr="00323B2A" w:rsidRDefault="00E169EC">
      <w:pPr>
        <w:pStyle w:val="ArticleTitle"/>
      </w:pPr>
      <w:bookmarkStart w:id="29" w:name="_Toc517426337"/>
      <w:r w:rsidRPr="00323B2A">
        <w:t xml:space="preserve">Synchronous area operational </w:t>
      </w:r>
      <w:r w:rsidR="008E7123">
        <w:t>methodologies</w:t>
      </w:r>
      <w:r w:rsidRPr="00323B2A">
        <w:t>, Part B</w:t>
      </w:r>
    </w:p>
    <w:bookmarkEnd w:id="29"/>
    <w:p w14:paraId="0BAC26D3" w14:textId="1736A15E" w:rsidR="00453CD2" w:rsidRPr="00323B2A" w:rsidRDefault="00453CD2">
      <w:pPr>
        <w:pStyle w:val="Artnr"/>
      </w:pPr>
    </w:p>
    <w:p w14:paraId="002BC076" w14:textId="23347D72" w:rsidR="00A05F47" w:rsidRPr="00323B2A" w:rsidRDefault="007A221B">
      <w:pPr>
        <w:pStyle w:val="ArticleTitle"/>
      </w:pPr>
      <w:bookmarkStart w:id="30" w:name="_Toc517426338"/>
      <w:bookmarkStart w:id="31" w:name="_Toc514856552"/>
      <w:r w:rsidRPr="00323B2A">
        <w:t>F</w:t>
      </w:r>
      <w:r w:rsidR="00213845" w:rsidRPr="00323B2A">
        <w:t xml:space="preserve">or the Continental Europe (‘CE’) and Nordic synchronous areas, the frequency restoration control error target parameters for each LFC </w:t>
      </w:r>
      <w:r w:rsidR="00295FA5">
        <w:t>B</w:t>
      </w:r>
      <w:r w:rsidR="00295FA5" w:rsidRPr="00323B2A">
        <w:t xml:space="preserve">lock </w:t>
      </w:r>
      <w:r w:rsidR="00213845" w:rsidRPr="00323B2A">
        <w:t xml:space="preserve">in accordance with </w:t>
      </w:r>
      <w:r w:rsidR="000C4364" w:rsidRPr="00323B2A">
        <w:t>SOGL Article 1</w:t>
      </w:r>
      <w:r w:rsidR="00AF7D2E">
        <w:t>28</w:t>
      </w:r>
      <w:r w:rsidR="000C4364" w:rsidRPr="00323B2A">
        <w:t>(2);</w:t>
      </w:r>
    </w:p>
    <w:p w14:paraId="1ECF7B0E" w14:textId="500C304E" w:rsidR="008A49D4" w:rsidRDefault="001C7A50" w:rsidP="006A7713">
      <w:pPr>
        <w:pStyle w:val="Paragrapgh-numbered"/>
        <w:numPr>
          <w:ilvl w:val="0"/>
          <w:numId w:val="48"/>
        </w:numPr>
        <w:rPr>
          <w:lang w:val="en-GB"/>
        </w:rPr>
      </w:pPr>
      <w:bookmarkStart w:id="32" w:name="_Toc514856554"/>
      <w:bookmarkEnd w:id="30"/>
      <w:bookmarkEnd w:id="31"/>
      <w:r>
        <w:rPr>
          <w:lang w:val="en-GB"/>
        </w:rPr>
        <w:t xml:space="preserve">SOGL </w:t>
      </w:r>
      <w:r w:rsidR="000F4C7B">
        <w:rPr>
          <w:lang w:val="en-GB"/>
        </w:rPr>
        <w:t xml:space="preserve">Article </w:t>
      </w:r>
      <w:r w:rsidR="00AF7D2E">
        <w:rPr>
          <w:lang w:val="en-GB"/>
        </w:rPr>
        <w:t xml:space="preserve">128(2) </w:t>
      </w:r>
      <w:r w:rsidR="000F4C7B">
        <w:rPr>
          <w:lang w:val="en-GB"/>
        </w:rPr>
        <w:t xml:space="preserve">is not applicable to this document. </w:t>
      </w:r>
    </w:p>
    <w:p w14:paraId="6ECC43C6" w14:textId="45E6755E" w:rsidR="00AF7D2E" w:rsidRDefault="00295FA5" w:rsidP="006A7713">
      <w:pPr>
        <w:pStyle w:val="Paragrapgh-numbered"/>
        <w:numPr>
          <w:ilvl w:val="0"/>
          <w:numId w:val="48"/>
        </w:numPr>
        <w:rPr>
          <w:lang w:val="en-GB"/>
        </w:rPr>
      </w:pPr>
      <w:r>
        <w:rPr>
          <w:lang w:val="en-GB"/>
        </w:rPr>
        <w:t>The FRCE target parameters for the GB LFC Block are de</w:t>
      </w:r>
      <w:r w:rsidR="00951E50">
        <w:rPr>
          <w:lang w:val="en-GB"/>
        </w:rPr>
        <w:t>fined in SOGL 128(</w:t>
      </w:r>
      <w:r w:rsidR="005B475C">
        <w:rPr>
          <w:lang w:val="en-GB"/>
        </w:rPr>
        <w:t xml:space="preserve">5) &amp; </w:t>
      </w:r>
      <w:r w:rsidR="00951E50">
        <w:rPr>
          <w:lang w:val="en-GB"/>
        </w:rPr>
        <w:t xml:space="preserve">(6) and in SOGL Annex IV, </w:t>
      </w:r>
      <w:r w:rsidR="00AF7D2E">
        <w:rPr>
          <w:lang w:val="en-GB"/>
        </w:rPr>
        <w:t xml:space="preserve">Table as Level 1 FRCE range at 3% and Level 2 FRCE range at 1%. </w:t>
      </w:r>
    </w:p>
    <w:p w14:paraId="703EAECC" w14:textId="77777777" w:rsidR="00A05F47" w:rsidRPr="00323B2A" w:rsidRDefault="00A05F47" w:rsidP="00A6017D">
      <w:pPr>
        <w:pStyle w:val="Artnr"/>
      </w:pPr>
      <w:bookmarkStart w:id="33" w:name="_Toc517426340"/>
    </w:p>
    <w:p w14:paraId="18B07951" w14:textId="41737AA7" w:rsidR="00213845" w:rsidRPr="00323B2A" w:rsidRDefault="005B475C">
      <w:pPr>
        <w:pStyle w:val="ArticleTitle"/>
      </w:pPr>
      <w:r>
        <w:t>T</w:t>
      </w:r>
      <w:r w:rsidR="00213845" w:rsidRPr="00323B2A">
        <w:t xml:space="preserve">he methodology to assess the risk and the evolution of the risk of exhaustion of FCR of the synchronous area in accordance with </w:t>
      </w:r>
      <w:r w:rsidR="00A05F47" w:rsidRPr="00323B2A">
        <w:t xml:space="preserve">SOGL </w:t>
      </w:r>
      <w:r w:rsidR="00213845" w:rsidRPr="00323B2A">
        <w:t>Article 131(2);</w:t>
      </w:r>
      <w:bookmarkEnd w:id="32"/>
      <w:bookmarkEnd w:id="33"/>
    </w:p>
    <w:p w14:paraId="17CE7838" w14:textId="357C507D" w:rsidR="007A221B" w:rsidRPr="00365D34" w:rsidRDefault="00BA6B83" w:rsidP="006A7713">
      <w:pPr>
        <w:pStyle w:val="Paragrapgh-numbered"/>
        <w:numPr>
          <w:ilvl w:val="0"/>
          <w:numId w:val="19"/>
        </w:numPr>
        <w:rPr>
          <w:rStyle w:val="NoSpacingChar"/>
          <w:rFonts w:ascii="Times New Roman" w:hAnsi="Times New Roman" w:cs="Times New Roman"/>
          <w:sz w:val="24"/>
          <w:szCs w:val="24"/>
          <w:lang w:val="en-GB" w:eastAsia="en-US"/>
        </w:rPr>
      </w:pPr>
      <w:r w:rsidRPr="00323B2A">
        <w:rPr>
          <w:rStyle w:val="NoSpacingChar"/>
          <w:lang w:val="en-GB"/>
        </w:rPr>
        <w:t xml:space="preserve">The GB </w:t>
      </w:r>
      <w:r w:rsidR="00920D48" w:rsidRPr="00323B2A">
        <w:rPr>
          <w:rStyle w:val="NoSpacingChar"/>
          <w:lang w:val="en-GB"/>
        </w:rPr>
        <w:t>codes</w:t>
      </w:r>
      <w:r w:rsidR="007A221B" w:rsidRPr="00323B2A">
        <w:rPr>
          <w:rStyle w:val="NoSpacingChar"/>
          <w:lang w:val="en-GB"/>
        </w:rPr>
        <w:t xml:space="preserve"> </w:t>
      </w:r>
      <w:r w:rsidRPr="00323B2A">
        <w:rPr>
          <w:rStyle w:val="NoSpacingChar"/>
          <w:lang w:val="en-GB"/>
        </w:rPr>
        <w:t>m</w:t>
      </w:r>
      <w:r w:rsidR="00820B3D" w:rsidRPr="00323B2A">
        <w:rPr>
          <w:rStyle w:val="NoSpacingChar"/>
          <w:lang w:val="en-GB"/>
        </w:rPr>
        <w:t xml:space="preserve">andate </w:t>
      </w:r>
      <w:r w:rsidR="007A221B" w:rsidRPr="00323B2A">
        <w:rPr>
          <w:rStyle w:val="NoSpacingChar"/>
          <w:lang w:val="en-GB"/>
        </w:rPr>
        <w:t xml:space="preserve">parties to provide the capability to deliver certain Balancing Services and to offer these capabilities to the market as a condition </w:t>
      </w:r>
      <w:r w:rsidR="00EA52DC" w:rsidRPr="00323B2A">
        <w:rPr>
          <w:rStyle w:val="NoSpacingChar"/>
          <w:lang w:val="en-GB"/>
        </w:rPr>
        <w:t>of</w:t>
      </w:r>
      <w:r w:rsidR="007A221B" w:rsidRPr="00323B2A">
        <w:rPr>
          <w:rStyle w:val="NoSpacingChar"/>
          <w:lang w:val="en-GB"/>
        </w:rPr>
        <w:t xml:space="preserve"> connect</w:t>
      </w:r>
      <w:r w:rsidR="00EA52DC" w:rsidRPr="00323B2A">
        <w:rPr>
          <w:rStyle w:val="NoSpacingChar"/>
          <w:lang w:val="en-GB"/>
        </w:rPr>
        <w:t>ing to the network</w:t>
      </w:r>
      <w:r w:rsidR="007A221B" w:rsidRPr="00323B2A">
        <w:rPr>
          <w:rStyle w:val="NoSpacingChar"/>
          <w:lang w:val="en-GB"/>
        </w:rPr>
        <w:t xml:space="preserve">. </w:t>
      </w:r>
    </w:p>
    <w:p w14:paraId="7ED594AC" w14:textId="58847604" w:rsidR="00BA6B83" w:rsidRPr="00365D34" w:rsidRDefault="007A221B" w:rsidP="006A7713">
      <w:pPr>
        <w:pStyle w:val="Paragrapgh-numbered"/>
        <w:numPr>
          <w:ilvl w:val="0"/>
          <w:numId w:val="19"/>
        </w:numPr>
        <w:rPr>
          <w:rStyle w:val="NoSpacingChar"/>
          <w:lang w:val="en-GB"/>
        </w:rPr>
      </w:pPr>
      <w:r w:rsidRPr="00323B2A">
        <w:rPr>
          <w:rStyle w:val="NoSpacingChar"/>
          <w:lang w:val="en-GB"/>
        </w:rPr>
        <w:t xml:space="preserve">As a result of paragraph 1. </w:t>
      </w:r>
      <w:r w:rsidR="00D60A39" w:rsidRPr="00323B2A">
        <w:rPr>
          <w:rStyle w:val="NoSpacingChar"/>
          <w:lang w:val="en-GB"/>
        </w:rPr>
        <w:t>The ESO</w:t>
      </w:r>
      <w:r w:rsidR="00BA6B83" w:rsidRPr="00323B2A">
        <w:rPr>
          <w:rStyle w:val="NoSpacingChar"/>
          <w:lang w:val="en-GB"/>
        </w:rPr>
        <w:t xml:space="preserve"> </w:t>
      </w:r>
      <w:r w:rsidR="00920D48" w:rsidRPr="00323B2A">
        <w:rPr>
          <w:rStyle w:val="NoSpacingChar"/>
          <w:lang w:val="en-GB"/>
        </w:rPr>
        <w:t>can appropriately a</w:t>
      </w:r>
      <w:r w:rsidR="00BA6B83" w:rsidRPr="00323B2A">
        <w:rPr>
          <w:rStyle w:val="NoSpacingChar"/>
          <w:lang w:val="en-GB"/>
        </w:rPr>
        <w:t>sses this risk</w:t>
      </w:r>
      <w:r w:rsidR="00920D48" w:rsidRPr="00323B2A">
        <w:rPr>
          <w:rStyle w:val="NoSpacingChar"/>
          <w:lang w:val="en-GB"/>
        </w:rPr>
        <w:t xml:space="preserve"> and the evolution of the risk of exhaustion of FCR of the GB synchronous area through records of those parties connected to the </w:t>
      </w:r>
      <w:r w:rsidR="00BA6B83" w:rsidRPr="00323B2A">
        <w:rPr>
          <w:rStyle w:val="NoSpacingChar"/>
          <w:lang w:val="en-GB"/>
        </w:rPr>
        <w:t>network</w:t>
      </w:r>
      <w:r w:rsidR="00920D48" w:rsidRPr="00323B2A">
        <w:rPr>
          <w:rStyle w:val="NoSpacingChar"/>
          <w:lang w:val="en-GB"/>
        </w:rPr>
        <w:t>.</w:t>
      </w:r>
      <w:r w:rsidR="00BA6B83" w:rsidRPr="00323B2A">
        <w:rPr>
          <w:rStyle w:val="NoSpacingChar"/>
          <w:lang w:val="en-GB"/>
        </w:rPr>
        <w:t xml:space="preserve"> </w:t>
      </w:r>
    </w:p>
    <w:p w14:paraId="62B57C86" w14:textId="6CB05124" w:rsidR="00BA6B83" w:rsidRPr="00365D34" w:rsidRDefault="00D60A39" w:rsidP="006A7713">
      <w:pPr>
        <w:pStyle w:val="Paragrapgh-numbered"/>
        <w:numPr>
          <w:ilvl w:val="0"/>
          <w:numId w:val="19"/>
        </w:numPr>
        <w:rPr>
          <w:rStyle w:val="NoSpacingChar"/>
          <w:lang w:val="en-GB"/>
        </w:rPr>
      </w:pPr>
      <w:r w:rsidRPr="00323B2A">
        <w:rPr>
          <w:rStyle w:val="NoSpacingChar"/>
          <w:lang w:val="en-GB"/>
        </w:rPr>
        <w:t>The ESO</w:t>
      </w:r>
      <w:r w:rsidR="00BA6B83" w:rsidRPr="00323B2A">
        <w:rPr>
          <w:rStyle w:val="NoSpacingChar"/>
          <w:lang w:val="en-GB"/>
        </w:rPr>
        <w:t xml:space="preserve"> </w:t>
      </w:r>
      <w:r w:rsidR="00920D48" w:rsidRPr="00323B2A">
        <w:rPr>
          <w:rStyle w:val="NoSpacingChar"/>
          <w:lang w:val="en-GB"/>
        </w:rPr>
        <w:t xml:space="preserve">manages changes in these connection records and </w:t>
      </w:r>
      <w:r w:rsidR="00BA6B83" w:rsidRPr="00323B2A">
        <w:rPr>
          <w:rStyle w:val="NoSpacingChar"/>
          <w:lang w:val="en-GB"/>
        </w:rPr>
        <w:t xml:space="preserve">can </w:t>
      </w:r>
      <w:r w:rsidR="00920D48" w:rsidRPr="00323B2A">
        <w:rPr>
          <w:rStyle w:val="NoSpacingChar"/>
          <w:lang w:val="en-GB"/>
        </w:rPr>
        <w:t xml:space="preserve">therefore </w:t>
      </w:r>
      <w:r w:rsidR="00BA6B83" w:rsidRPr="00323B2A">
        <w:rPr>
          <w:rStyle w:val="NoSpacingChar"/>
          <w:lang w:val="en-GB"/>
        </w:rPr>
        <w:t>assess the evolution of risk</w:t>
      </w:r>
      <w:r w:rsidR="00920D48" w:rsidRPr="00323B2A">
        <w:rPr>
          <w:rStyle w:val="NoSpacingChar"/>
          <w:lang w:val="en-GB"/>
        </w:rPr>
        <w:t xml:space="preserve"> of exhaustion of FCR of the GB synchronous area. </w:t>
      </w:r>
    </w:p>
    <w:p w14:paraId="67770C33" w14:textId="4325BC2D" w:rsidR="00213845" w:rsidRPr="00365D34" w:rsidRDefault="00D60A39" w:rsidP="006A7713">
      <w:pPr>
        <w:pStyle w:val="Paragrapgh-numbered"/>
        <w:numPr>
          <w:ilvl w:val="0"/>
          <w:numId w:val="19"/>
        </w:numPr>
        <w:rPr>
          <w:lang w:val="en-GB"/>
        </w:rPr>
      </w:pPr>
      <w:r w:rsidRPr="00323B2A">
        <w:rPr>
          <w:rStyle w:val="NoSpacingChar"/>
          <w:lang w:val="en-GB"/>
        </w:rPr>
        <w:t>The ESO</w:t>
      </w:r>
      <w:r w:rsidR="00920D48" w:rsidRPr="00323B2A">
        <w:rPr>
          <w:rStyle w:val="NoSpacingChar"/>
          <w:lang w:val="en-GB"/>
        </w:rPr>
        <w:t xml:space="preserve"> </w:t>
      </w:r>
      <w:r w:rsidR="00213845" w:rsidRPr="00323B2A">
        <w:rPr>
          <w:rStyle w:val="NoSpacingChar"/>
          <w:lang w:val="en-GB"/>
        </w:rPr>
        <w:t>continually assesses both the needs of the GB electricity system and the availability and capability of FCR providers</w:t>
      </w:r>
      <w:r w:rsidR="00920D48" w:rsidRPr="00323B2A">
        <w:rPr>
          <w:rStyle w:val="NoSpacingChar"/>
          <w:lang w:val="en-GB"/>
        </w:rPr>
        <w:t xml:space="preserve">, taking economic and efficient actions to </w:t>
      </w:r>
      <w:r w:rsidR="00213845" w:rsidRPr="00365D34">
        <w:rPr>
          <w:lang w:val="en-GB"/>
        </w:rPr>
        <w:t>align the two as required.</w:t>
      </w:r>
    </w:p>
    <w:p w14:paraId="61BD8DAA" w14:textId="42396983" w:rsidR="007B37A3" w:rsidRPr="00323B2A" w:rsidRDefault="007B37A3" w:rsidP="00A6017D">
      <w:pPr>
        <w:pStyle w:val="Artnr"/>
      </w:pPr>
      <w:bookmarkStart w:id="34" w:name="_Toc514856556"/>
      <w:bookmarkStart w:id="35" w:name="_Toc517426342"/>
    </w:p>
    <w:p w14:paraId="5D1BF377" w14:textId="20C6A584" w:rsidR="00213845" w:rsidRPr="00323B2A" w:rsidRDefault="00202260">
      <w:pPr>
        <w:pStyle w:val="ArticleTitle"/>
      </w:pPr>
      <w:r w:rsidRPr="00323B2A">
        <w:t xml:space="preserve">The </w:t>
      </w:r>
      <w:r w:rsidR="00213845" w:rsidRPr="00323B2A">
        <w:t xml:space="preserve">synchronous area monitor in accordance with </w:t>
      </w:r>
      <w:r w:rsidR="00A05F47" w:rsidRPr="00323B2A">
        <w:t xml:space="preserve">SOGL </w:t>
      </w:r>
      <w:r w:rsidR="00213845" w:rsidRPr="00323B2A">
        <w:t>Article 133;</w:t>
      </w:r>
      <w:bookmarkEnd w:id="34"/>
      <w:bookmarkEnd w:id="35"/>
    </w:p>
    <w:p w14:paraId="1130F80E" w14:textId="52E52919" w:rsidR="00213845" w:rsidRPr="00365D34" w:rsidRDefault="00D60A39" w:rsidP="006A7713">
      <w:pPr>
        <w:pStyle w:val="Paragrapgh-numbered"/>
        <w:numPr>
          <w:ilvl w:val="0"/>
          <w:numId w:val="20"/>
        </w:numPr>
        <w:rPr>
          <w:lang w:val="en-GB"/>
        </w:rPr>
      </w:pPr>
      <w:r w:rsidRPr="00365D34">
        <w:rPr>
          <w:lang w:val="en-GB"/>
        </w:rPr>
        <w:t>The ESO</w:t>
      </w:r>
      <w:r w:rsidR="00213845" w:rsidRPr="00365D34">
        <w:rPr>
          <w:lang w:val="en-GB"/>
        </w:rPr>
        <w:t xml:space="preserve"> is the Synchronous Area Monitor for the GB Synchronous Area and will fulfil the frequency reporting and monitoring functions set forth in SOGL </w:t>
      </w:r>
      <w:r w:rsidR="00775349">
        <w:rPr>
          <w:lang w:val="en-GB"/>
        </w:rPr>
        <w:t>Article</w:t>
      </w:r>
      <w:r w:rsidR="00213845" w:rsidRPr="00365D34">
        <w:rPr>
          <w:lang w:val="en-GB"/>
        </w:rPr>
        <w:t xml:space="preserve"> 133.</w:t>
      </w:r>
    </w:p>
    <w:p w14:paraId="1EAB2C5E" w14:textId="77777777" w:rsidR="007B37A3" w:rsidRPr="00365D34" w:rsidRDefault="007B37A3" w:rsidP="006A4139">
      <w:pPr>
        <w:pStyle w:val="Paragrapgh-numbered"/>
        <w:rPr>
          <w:lang w:val="en-GB"/>
        </w:rPr>
      </w:pPr>
    </w:p>
    <w:p w14:paraId="283C225E" w14:textId="77777777" w:rsidR="007B37A3" w:rsidRPr="00323B2A" w:rsidRDefault="007B37A3" w:rsidP="00A6017D">
      <w:pPr>
        <w:pStyle w:val="Artnr"/>
      </w:pPr>
      <w:bookmarkStart w:id="36" w:name="_Toc514856558"/>
      <w:bookmarkStart w:id="37" w:name="_Toc517426344"/>
    </w:p>
    <w:p w14:paraId="0C37B3B0" w14:textId="3C6693F3" w:rsidR="00213845" w:rsidRPr="00323B2A" w:rsidRDefault="00202260">
      <w:pPr>
        <w:pStyle w:val="ArticleTitle"/>
      </w:pPr>
      <w:r w:rsidRPr="00323B2A">
        <w:t>T</w:t>
      </w:r>
      <w:r w:rsidR="00213845" w:rsidRPr="00323B2A">
        <w:t xml:space="preserve">he calculation of the control program from the netted area AC position with a common ramping period for ACE calculation for a synchronous area with more than one LFC area in accordance with </w:t>
      </w:r>
      <w:r w:rsidR="00A05F47" w:rsidRPr="00323B2A">
        <w:t xml:space="preserve">SOGL </w:t>
      </w:r>
      <w:r w:rsidR="00213845" w:rsidRPr="00323B2A">
        <w:t>Article 136;</w:t>
      </w:r>
      <w:bookmarkEnd w:id="36"/>
      <w:bookmarkEnd w:id="37"/>
    </w:p>
    <w:p w14:paraId="621443C1" w14:textId="77777777" w:rsidR="00F07695" w:rsidRDefault="001C7A50" w:rsidP="006A7713">
      <w:pPr>
        <w:pStyle w:val="Paragrapgh-numbered"/>
        <w:numPr>
          <w:ilvl w:val="0"/>
          <w:numId w:val="21"/>
        </w:numPr>
        <w:rPr>
          <w:lang w:val="en-GB"/>
        </w:rPr>
      </w:pPr>
      <w:r>
        <w:rPr>
          <w:lang w:val="en-GB"/>
        </w:rPr>
        <w:t xml:space="preserve">SOGL </w:t>
      </w:r>
      <w:r w:rsidR="000F4C7B">
        <w:rPr>
          <w:lang w:val="en-GB"/>
        </w:rPr>
        <w:t xml:space="preserve">Article </w:t>
      </w:r>
      <w:r>
        <w:rPr>
          <w:lang w:val="en-GB"/>
        </w:rPr>
        <w:t xml:space="preserve">136 </w:t>
      </w:r>
      <w:r w:rsidR="000F4C7B">
        <w:rPr>
          <w:lang w:val="en-GB"/>
        </w:rPr>
        <w:t xml:space="preserve">is not applicable to this document.  </w:t>
      </w:r>
    </w:p>
    <w:p w14:paraId="0C1F625C" w14:textId="31D8B7E9" w:rsidR="00213845" w:rsidRPr="00365D34" w:rsidRDefault="000F4C7B" w:rsidP="006A7713">
      <w:pPr>
        <w:pStyle w:val="Paragrapgh-numbered"/>
        <w:numPr>
          <w:ilvl w:val="0"/>
          <w:numId w:val="21"/>
        </w:numPr>
        <w:rPr>
          <w:lang w:val="en-GB"/>
        </w:rPr>
      </w:pPr>
      <w:r>
        <w:rPr>
          <w:lang w:val="en-GB"/>
        </w:rPr>
        <w:t>The LF Block Structure has a single LF Block and single LF Area within the Synchronous Area of GB</w:t>
      </w:r>
      <w:r w:rsidR="00213845" w:rsidRPr="00365D34">
        <w:rPr>
          <w:lang w:val="en-GB"/>
        </w:rPr>
        <w:t xml:space="preserve">. </w:t>
      </w:r>
    </w:p>
    <w:p w14:paraId="702D7718" w14:textId="77777777" w:rsidR="007B37A3" w:rsidRPr="00365D34" w:rsidRDefault="007B37A3" w:rsidP="006A4139">
      <w:pPr>
        <w:pStyle w:val="Paragrapgh-numbered"/>
        <w:ind w:left="360"/>
        <w:rPr>
          <w:lang w:val="en-GB"/>
        </w:rPr>
      </w:pPr>
    </w:p>
    <w:p w14:paraId="44F11362" w14:textId="77777777" w:rsidR="007B37A3" w:rsidRPr="00323B2A" w:rsidRDefault="007B37A3" w:rsidP="00A6017D">
      <w:pPr>
        <w:pStyle w:val="Artnr"/>
      </w:pPr>
      <w:bookmarkStart w:id="38" w:name="_Toc514856560"/>
      <w:bookmarkStart w:id="39" w:name="_Toc517426346"/>
    </w:p>
    <w:p w14:paraId="23588E73" w14:textId="05D70500" w:rsidR="00213845" w:rsidRPr="00323B2A" w:rsidRDefault="009D6217">
      <w:pPr>
        <w:pStyle w:val="ArticleTitle"/>
      </w:pPr>
      <w:r>
        <w:t>I</w:t>
      </w:r>
      <w:r w:rsidR="00213845" w:rsidRPr="00323B2A">
        <w:t xml:space="preserve">f applicable, restrictions for the active power output of HVDC interconnectors between synchronous areas in accordance with </w:t>
      </w:r>
      <w:r w:rsidR="00A05F47" w:rsidRPr="00323B2A">
        <w:t xml:space="preserve">SOGL </w:t>
      </w:r>
      <w:r w:rsidR="00213845" w:rsidRPr="00323B2A">
        <w:t>Article 137(1);</w:t>
      </w:r>
      <w:bookmarkEnd w:id="38"/>
      <w:bookmarkEnd w:id="39"/>
    </w:p>
    <w:p w14:paraId="7EBEA761" w14:textId="031FC356" w:rsidR="00BA6B83" w:rsidRPr="00365D34" w:rsidRDefault="008A4931" w:rsidP="006A7713">
      <w:pPr>
        <w:pStyle w:val="Paragrapgh-numbered"/>
        <w:numPr>
          <w:ilvl w:val="0"/>
          <w:numId w:val="32"/>
        </w:numPr>
        <w:rPr>
          <w:lang w:val="en-GB"/>
        </w:rPr>
      </w:pPr>
      <w:r w:rsidRPr="00365D34">
        <w:rPr>
          <w:lang w:val="en-GB"/>
        </w:rPr>
        <w:t>No rules relevant to the</w:t>
      </w:r>
      <w:r w:rsidR="00BA6B83" w:rsidRPr="00365D34">
        <w:rPr>
          <w:lang w:val="en-GB"/>
        </w:rPr>
        <w:t xml:space="preserve"> combined maximum ramping rates across all interconnectors </w:t>
      </w:r>
      <w:r w:rsidRPr="00365D34">
        <w:rPr>
          <w:lang w:val="en-GB"/>
        </w:rPr>
        <w:t>between pairs of synchronous areas</w:t>
      </w:r>
      <w:r w:rsidR="00202260" w:rsidRPr="00365D34">
        <w:rPr>
          <w:lang w:val="en-GB"/>
        </w:rPr>
        <w:t xml:space="preserve"> are defined</w:t>
      </w:r>
      <w:r w:rsidRPr="00365D34">
        <w:rPr>
          <w:lang w:val="en-GB"/>
        </w:rPr>
        <w:t xml:space="preserve"> in this </w:t>
      </w:r>
      <w:r w:rsidR="00C15CDC">
        <w:rPr>
          <w:lang w:val="en-GB"/>
        </w:rPr>
        <w:t>document</w:t>
      </w:r>
      <w:r w:rsidRPr="00365D34">
        <w:rPr>
          <w:lang w:val="en-GB"/>
        </w:rPr>
        <w:t xml:space="preserve">; for rules concerning ramping restrictions applied on an </w:t>
      </w:r>
      <w:r w:rsidR="00BA6B83" w:rsidRPr="00365D34">
        <w:rPr>
          <w:lang w:val="en-GB"/>
        </w:rPr>
        <w:t xml:space="preserve">individual interconnector basis </w:t>
      </w:r>
      <w:r w:rsidRPr="00365D34">
        <w:rPr>
          <w:lang w:val="en-GB"/>
        </w:rPr>
        <w:t>refer to the</w:t>
      </w:r>
      <w:r w:rsidR="00257A06" w:rsidRPr="00365D34">
        <w:rPr>
          <w:lang w:val="en-GB"/>
        </w:rPr>
        <w:t xml:space="preserve"> GB</w:t>
      </w:r>
      <w:r w:rsidRPr="00365D34">
        <w:rPr>
          <w:lang w:val="en-GB"/>
        </w:rPr>
        <w:t xml:space="preserve"> </w:t>
      </w:r>
      <w:r w:rsidR="00BA6B83" w:rsidRPr="00365D34">
        <w:rPr>
          <w:lang w:val="en-GB"/>
        </w:rPr>
        <w:t>LFC B</w:t>
      </w:r>
      <w:r w:rsidR="00257A06" w:rsidRPr="00365D34">
        <w:rPr>
          <w:lang w:val="en-GB"/>
        </w:rPr>
        <w:t xml:space="preserve">lock </w:t>
      </w:r>
      <w:r w:rsidR="00BA6B83" w:rsidRPr="00365D34">
        <w:rPr>
          <w:lang w:val="en-GB"/>
        </w:rPr>
        <w:t>O</w:t>
      </w:r>
      <w:r w:rsidR="00257A06" w:rsidRPr="00365D34">
        <w:rPr>
          <w:lang w:val="en-GB"/>
        </w:rPr>
        <w:t xml:space="preserve">perational </w:t>
      </w:r>
      <w:r w:rsidR="008E7123">
        <w:rPr>
          <w:lang w:val="en-GB"/>
        </w:rPr>
        <w:t>Methodologies</w:t>
      </w:r>
      <w:r w:rsidR="008E7123" w:rsidRPr="00365D34">
        <w:rPr>
          <w:lang w:val="en-GB"/>
        </w:rPr>
        <w:t xml:space="preserve"> </w:t>
      </w:r>
      <w:r w:rsidR="00257A06" w:rsidRPr="00365D34">
        <w:rPr>
          <w:lang w:val="en-GB"/>
        </w:rPr>
        <w:t xml:space="preserve">document, </w:t>
      </w:r>
      <w:r w:rsidR="00775349">
        <w:rPr>
          <w:lang w:val="en-GB"/>
        </w:rPr>
        <w:t>Article</w:t>
      </w:r>
      <w:r w:rsidR="00257A06" w:rsidRPr="00365D34">
        <w:rPr>
          <w:lang w:val="en-GB"/>
        </w:rPr>
        <w:t xml:space="preserve"> 3</w:t>
      </w:r>
      <w:r w:rsidR="00BA6B83" w:rsidRPr="00365D34">
        <w:rPr>
          <w:lang w:val="en-GB"/>
        </w:rPr>
        <w:t>.</w:t>
      </w:r>
    </w:p>
    <w:p w14:paraId="0C87C341" w14:textId="77777777" w:rsidR="007B37A3" w:rsidRPr="00365D34" w:rsidRDefault="007B37A3" w:rsidP="006A4139">
      <w:pPr>
        <w:pStyle w:val="Paragrapgh-numbered"/>
        <w:ind w:left="360"/>
        <w:rPr>
          <w:lang w:val="en-GB"/>
        </w:rPr>
      </w:pPr>
    </w:p>
    <w:p w14:paraId="21CB4FFE" w14:textId="77777777" w:rsidR="007B37A3" w:rsidRPr="00323B2A" w:rsidRDefault="007B37A3" w:rsidP="00A6017D">
      <w:pPr>
        <w:pStyle w:val="Artnr"/>
      </w:pPr>
      <w:bookmarkStart w:id="40" w:name="_Toc514856562"/>
      <w:bookmarkStart w:id="41" w:name="_Toc517426348"/>
    </w:p>
    <w:p w14:paraId="19604A12" w14:textId="0B7C183F" w:rsidR="00213845" w:rsidRPr="00323B2A" w:rsidRDefault="00C56548">
      <w:pPr>
        <w:pStyle w:val="ArticleTitle"/>
      </w:pPr>
      <w:r>
        <w:t>T</w:t>
      </w:r>
      <w:r w:rsidR="00213845" w:rsidRPr="00323B2A">
        <w:t xml:space="preserve">he LFC structure in accordance with </w:t>
      </w:r>
      <w:r w:rsidR="00A05F47" w:rsidRPr="00323B2A">
        <w:t xml:space="preserve">SOGL </w:t>
      </w:r>
      <w:r w:rsidR="00213845" w:rsidRPr="00323B2A">
        <w:t>Article 139;</w:t>
      </w:r>
      <w:bookmarkEnd w:id="40"/>
      <w:bookmarkEnd w:id="41"/>
    </w:p>
    <w:p w14:paraId="743BD9A5" w14:textId="77777777" w:rsidR="00066CD1" w:rsidRPr="00BF670E" w:rsidRDefault="00066CD1" w:rsidP="006A7713">
      <w:pPr>
        <w:pStyle w:val="Paragrapgh-numbered"/>
        <w:numPr>
          <w:ilvl w:val="0"/>
          <w:numId w:val="49"/>
        </w:numPr>
        <w:rPr>
          <w:lang w:val="en-GB"/>
        </w:rPr>
      </w:pPr>
      <w:r w:rsidRPr="00BF670E">
        <w:rPr>
          <w:lang w:val="en-GB"/>
        </w:rPr>
        <w:t>In accordance with Article 139 of the SO GL all TSOs of the Synchronous Area GB hereby define:</w:t>
      </w:r>
    </w:p>
    <w:p w14:paraId="3719887A" w14:textId="77777777" w:rsidR="00066CD1" w:rsidRPr="00BF670E" w:rsidRDefault="00066CD1" w:rsidP="006A7713">
      <w:pPr>
        <w:pStyle w:val="Paragrapgh-numbered"/>
        <w:numPr>
          <w:ilvl w:val="1"/>
          <w:numId w:val="49"/>
        </w:numPr>
        <w:rPr>
          <w:lang w:val="en-GB"/>
        </w:rPr>
      </w:pPr>
      <w:r w:rsidRPr="00BF670E">
        <w:rPr>
          <w:lang w:val="en-GB"/>
        </w:rPr>
        <w:t xml:space="preserve">the Process Responsibility Structure; and </w:t>
      </w:r>
    </w:p>
    <w:p w14:paraId="69957BC5" w14:textId="77777777" w:rsidR="00066CD1" w:rsidRPr="00BF670E" w:rsidRDefault="00066CD1" w:rsidP="006A7713">
      <w:pPr>
        <w:pStyle w:val="Paragrapgh-numbered"/>
        <w:numPr>
          <w:ilvl w:val="1"/>
          <w:numId w:val="49"/>
        </w:numPr>
        <w:rPr>
          <w:lang w:val="en-GB"/>
        </w:rPr>
      </w:pPr>
      <w:r w:rsidRPr="00BF670E">
        <w:rPr>
          <w:lang w:val="en-GB"/>
        </w:rPr>
        <w:t>the Process Activation Structure.</w:t>
      </w:r>
    </w:p>
    <w:p w14:paraId="26BA3166" w14:textId="77777777" w:rsidR="00066CD1" w:rsidRPr="00BF670E" w:rsidRDefault="00066CD1" w:rsidP="006A7713">
      <w:pPr>
        <w:pStyle w:val="Paragrapgh-numbered"/>
        <w:numPr>
          <w:ilvl w:val="0"/>
          <w:numId w:val="49"/>
        </w:numPr>
        <w:rPr>
          <w:lang w:val="en-GB"/>
        </w:rPr>
      </w:pPr>
      <w:r w:rsidRPr="00BF670E">
        <w:rPr>
          <w:lang w:val="en-GB"/>
        </w:rPr>
        <w:t>The GB Process Responsibility Structure is defined as follows</w:t>
      </w:r>
    </w:p>
    <w:p w14:paraId="5005E10F" w14:textId="77777777" w:rsidR="00066CD1" w:rsidRPr="00BF670E" w:rsidRDefault="00066CD1" w:rsidP="006A7713">
      <w:pPr>
        <w:pStyle w:val="Paragrapgh-numbered"/>
        <w:numPr>
          <w:ilvl w:val="1"/>
          <w:numId w:val="49"/>
        </w:numPr>
        <w:rPr>
          <w:lang w:val="en-GB"/>
        </w:rPr>
      </w:pPr>
      <w:r w:rsidRPr="00BF670E">
        <w:rPr>
          <w:lang w:val="en-GB"/>
        </w:rPr>
        <w:t>The current Process Responsibility Structure per Article 141 of the SO GL is defined in the methodology for the determination of LFC blocks in GB.</w:t>
      </w:r>
    </w:p>
    <w:p w14:paraId="0C97CF79" w14:textId="24F1B35A" w:rsidR="00066CD1" w:rsidRPr="00BF670E" w:rsidRDefault="00066CD1" w:rsidP="006A7713">
      <w:pPr>
        <w:pStyle w:val="Paragrapgh-numbered"/>
        <w:numPr>
          <w:ilvl w:val="1"/>
          <w:numId w:val="49"/>
        </w:numPr>
        <w:rPr>
          <w:lang w:val="en-GB"/>
        </w:rPr>
      </w:pPr>
      <w:r w:rsidRPr="00BF670E">
        <w:rPr>
          <w:lang w:val="en-GB"/>
        </w:rPr>
        <w:t>The operation of Load-Frequency Control processes is based on operational areas, where every area has their own responsibilities in the LFC structure. The overall body is the Synchronous Area in which frequency and phase are the same for the whole area. The Synchronous Area GB consists of a single LFC Block, this LFC Block consists of a single LFC Area. The LFC Area itself consists of a single Monitoring Area, which also consist of a single Scheduling Areas.</w:t>
      </w:r>
      <w:r w:rsidR="00A05F47" w:rsidRPr="00BF670E">
        <w:rPr>
          <w:lang w:val="en-GB"/>
        </w:rPr>
        <w:t xml:space="preserve"> </w:t>
      </w:r>
      <w:r w:rsidRPr="00BF670E">
        <w:rPr>
          <w:lang w:val="en-GB"/>
        </w:rPr>
        <w:t xml:space="preserve"> </w:t>
      </w:r>
    </w:p>
    <w:p w14:paraId="36FF1253" w14:textId="677A4A20" w:rsidR="00066CD1" w:rsidRPr="00BF670E" w:rsidRDefault="00066CD1" w:rsidP="006A7713">
      <w:pPr>
        <w:pStyle w:val="Paragrapgh-numbered"/>
        <w:numPr>
          <w:ilvl w:val="1"/>
          <w:numId w:val="49"/>
        </w:numPr>
        <w:rPr>
          <w:lang w:val="en-GB"/>
        </w:rPr>
      </w:pPr>
      <w:r w:rsidRPr="00BF670E">
        <w:rPr>
          <w:lang w:val="en-GB"/>
        </w:rPr>
        <w:t>Each of these operational areas has their own obligations: A Scheduling Area is responsible for the scheduling process in that area. A Monitoring Area has in addition to the scheduling the obligation to calculate and measure the active power interchange in real-time in that area. A LFC Area has the additional obligation to fulfil the Frequency Restoration Quality Target Parameters by using the Frequency Restoration Process. A LFC Block is additionally responsible for the dimensioning of FRR and RR. The Synchronous Area has the obligation to fulfil the Frequency Quality Target Parameters by using the Frequency Containment Process.</w:t>
      </w:r>
      <w:r w:rsidR="00A05F47" w:rsidRPr="00BF670E">
        <w:rPr>
          <w:lang w:val="en-GB"/>
        </w:rPr>
        <w:t xml:space="preserve"> </w:t>
      </w:r>
      <w:r w:rsidRPr="00BF670E">
        <w:rPr>
          <w:lang w:val="en-GB"/>
        </w:rPr>
        <w:t>Within GB all these obligations and processes fall to the single electricity system operator.</w:t>
      </w:r>
    </w:p>
    <w:p w14:paraId="726ECAEC" w14:textId="74957AFA" w:rsidR="00066CD1" w:rsidRPr="00323B2A" w:rsidRDefault="00066CD1" w:rsidP="006A7713">
      <w:pPr>
        <w:pStyle w:val="Paragrapgh-numbered"/>
        <w:numPr>
          <w:ilvl w:val="1"/>
          <w:numId w:val="49"/>
        </w:numPr>
      </w:pPr>
      <w:r w:rsidRPr="00BF670E">
        <w:rPr>
          <w:lang w:val="en-GB"/>
        </w:rPr>
        <w:t xml:space="preserve">The GB Synchronous Area is </w:t>
      </w:r>
      <w:r w:rsidR="00AC0231" w:rsidRPr="00BF670E">
        <w:rPr>
          <w:lang w:val="en-GB"/>
        </w:rPr>
        <w:t xml:space="preserve">demarcated </w:t>
      </w:r>
      <w:r w:rsidRPr="00BF670E">
        <w:rPr>
          <w:lang w:val="en-GB"/>
        </w:rPr>
        <w:t>by the point at which power is converted from AC into DC for transfer by HVDC</w:t>
      </w:r>
      <w:r w:rsidRPr="00323B2A">
        <w:t xml:space="preserve"> interconnectors. </w:t>
      </w:r>
    </w:p>
    <w:p w14:paraId="1F6BB899" w14:textId="77777777" w:rsidR="00066CD1" w:rsidRPr="00BF670E" w:rsidRDefault="00066CD1" w:rsidP="006A7713">
      <w:pPr>
        <w:pStyle w:val="Paragrapgh-numbered"/>
        <w:numPr>
          <w:ilvl w:val="0"/>
          <w:numId w:val="49"/>
        </w:numPr>
        <w:rPr>
          <w:lang w:val="en-GB"/>
        </w:rPr>
      </w:pPr>
      <w:r w:rsidRPr="00BF670E">
        <w:rPr>
          <w:lang w:val="en-GB"/>
        </w:rPr>
        <w:t>There are no virtual tie-lines utilised within the GB.</w:t>
      </w:r>
    </w:p>
    <w:p w14:paraId="0295789D" w14:textId="22FD7812" w:rsidR="00066CD1" w:rsidRPr="00323B2A" w:rsidRDefault="00066CD1" w:rsidP="006A7713">
      <w:pPr>
        <w:pStyle w:val="Paragrapgh-numbered"/>
        <w:numPr>
          <w:ilvl w:val="0"/>
          <w:numId w:val="50"/>
        </w:numPr>
      </w:pPr>
      <w:r w:rsidRPr="00BF670E">
        <w:rPr>
          <w:lang w:val="en-GB"/>
        </w:rPr>
        <w:t xml:space="preserve">All generation modules and demand facilities are directly connected to the GB </w:t>
      </w:r>
      <w:r w:rsidR="00BA6B83" w:rsidRPr="00BF670E">
        <w:rPr>
          <w:lang w:val="en-GB"/>
        </w:rPr>
        <w:t>e</w:t>
      </w:r>
      <w:r w:rsidRPr="00BF670E">
        <w:rPr>
          <w:lang w:val="en-GB"/>
        </w:rPr>
        <w:t xml:space="preserve">lectricity </w:t>
      </w:r>
      <w:r w:rsidR="00BA6B83" w:rsidRPr="00BF670E">
        <w:rPr>
          <w:lang w:val="en-GB"/>
        </w:rPr>
        <w:t>s</w:t>
      </w:r>
      <w:r w:rsidRPr="00BF670E">
        <w:rPr>
          <w:lang w:val="en-GB"/>
        </w:rPr>
        <w:t>ystem and not via virtual tie-lines; in so-much as there is only a single LFC-Area in GB.</w:t>
      </w:r>
      <w:r w:rsidR="00A05F47" w:rsidRPr="00BF670E">
        <w:rPr>
          <w:lang w:val="en-GB"/>
        </w:rPr>
        <w:t xml:space="preserve"> </w:t>
      </w:r>
      <w:r w:rsidRPr="00BF670E">
        <w:rPr>
          <w:lang w:val="en-GB"/>
        </w:rPr>
        <w:t>No modules outside of the GB area are controlled via this mechanism.</w:t>
      </w:r>
    </w:p>
    <w:p w14:paraId="3B40C6E6" w14:textId="6A7C0268" w:rsidR="00066CD1" w:rsidRPr="00BF670E" w:rsidRDefault="00B64716" w:rsidP="006A7713">
      <w:pPr>
        <w:pStyle w:val="Paragrapgh-numbered"/>
        <w:numPr>
          <w:ilvl w:val="0"/>
          <w:numId w:val="49"/>
        </w:numPr>
        <w:rPr>
          <w:lang w:val="en-GB"/>
        </w:rPr>
      </w:pPr>
      <w:r w:rsidRPr="00BF670E">
        <w:rPr>
          <w:lang w:val="en-GB"/>
        </w:rPr>
        <w:t xml:space="preserve">In accordance with SOGL Article 140 (1) </w:t>
      </w:r>
      <w:r w:rsidR="0031211C" w:rsidRPr="00BF670E">
        <w:rPr>
          <w:lang w:val="en-GB"/>
        </w:rPr>
        <w:t>the mandatory processes are</w:t>
      </w:r>
      <w:r w:rsidR="00202260" w:rsidRPr="00BF670E">
        <w:rPr>
          <w:lang w:val="en-GB"/>
        </w:rPr>
        <w:t>:</w:t>
      </w:r>
    </w:p>
    <w:p w14:paraId="4D1E9907" w14:textId="77777777" w:rsidR="00066CD1" w:rsidRPr="006A7713" w:rsidRDefault="00066CD1" w:rsidP="006A7713">
      <w:pPr>
        <w:pStyle w:val="Paragrapgh-numbered"/>
        <w:numPr>
          <w:ilvl w:val="0"/>
          <w:numId w:val="51"/>
        </w:numPr>
        <w:rPr>
          <w:lang w:val="en-GB"/>
        </w:rPr>
      </w:pPr>
      <w:r w:rsidRPr="006A7713">
        <w:rPr>
          <w:lang w:val="en-GB"/>
        </w:rPr>
        <w:t>the Frequency Containment Process (FCP);</w:t>
      </w:r>
    </w:p>
    <w:p w14:paraId="29E176E3" w14:textId="24D61BFD" w:rsidR="00066CD1" w:rsidRPr="006A7713" w:rsidRDefault="00066CD1" w:rsidP="006A7713">
      <w:pPr>
        <w:pStyle w:val="Paragrapgh-numbered"/>
        <w:numPr>
          <w:ilvl w:val="0"/>
          <w:numId w:val="51"/>
        </w:numPr>
        <w:rPr>
          <w:lang w:val="en-GB"/>
        </w:rPr>
      </w:pPr>
      <w:r w:rsidRPr="006A7713">
        <w:rPr>
          <w:lang w:val="en-GB"/>
        </w:rPr>
        <w:t xml:space="preserve">the Frequency Restoration Process (FRP), which is a 100% manual Frequency Restoration Process </w:t>
      </w:r>
    </w:p>
    <w:p w14:paraId="53DC6859" w14:textId="3275445F" w:rsidR="0031211C" w:rsidRPr="006A7713" w:rsidRDefault="0031211C" w:rsidP="006A7713">
      <w:pPr>
        <w:pStyle w:val="Paragrapgh-numbered"/>
        <w:numPr>
          <w:ilvl w:val="0"/>
          <w:numId w:val="49"/>
        </w:numPr>
        <w:rPr>
          <w:lang w:val="en-GB"/>
        </w:rPr>
      </w:pPr>
      <w:r w:rsidRPr="006A7713">
        <w:rPr>
          <w:lang w:val="en-GB"/>
        </w:rPr>
        <w:t>In accordance with SOGL Article 140 (2) the optional processes are</w:t>
      </w:r>
      <w:r w:rsidR="00202260" w:rsidRPr="006A7713">
        <w:rPr>
          <w:lang w:val="en-GB"/>
        </w:rPr>
        <w:t>:</w:t>
      </w:r>
    </w:p>
    <w:p w14:paraId="005B7859" w14:textId="5D59D14A" w:rsidR="00066CD1" w:rsidRPr="006A7713" w:rsidRDefault="00066CD1" w:rsidP="006A7713">
      <w:pPr>
        <w:pStyle w:val="Paragrapgh-numbered"/>
        <w:numPr>
          <w:ilvl w:val="0"/>
          <w:numId w:val="52"/>
        </w:numPr>
        <w:rPr>
          <w:lang w:val="en-GB"/>
        </w:rPr>
      </w:pPr>
      <w:r w:rsidRPr="006A7713">
        <w:rPr>
          <w:lang w:val="en-GB"/>
        </w:rPr>
        <w:t xml:space="preserve">the Reserve Replacement Process (RRP); </w:t>
      </w:r>
    </w:p>
    <w:p w14:paraId="29D60310" w14:textId="0D0A3454" w:rsidR="00066CD1" w:rsidRPr="006A7713" w:rsidRDefault="00066CD1" w:rsidP="006A7713">
      <w:pPr>
        <w:pStyle w:val="Paragrapgh-numbered"/>
        <w:numPr>
          <w:ilvl w:val="0"/>
          <w:numId w:val="52"/>
        </w:numPr>
        <w:rPr>
          <w:lang w:val="en-GB"/>
        </w:rPr>
      </w:pPr>
      <w:r w:rsidRPr="006A7713">
        <w:rPr>
          <w:lang w:val="en-GB"/>
        </w:rPr>
        <w:t xml:space="preserve">the Cross-Border FRR Activation Processes, </w:t>
      </w:r>
    </w:p>
    <w:p w14:paraId="05B3BBDF" w14:textId="57CCBC43" w:rsidR="00202260" w:rsidRPr="006A7713" w:rsidRDefault="00066CD1" w:rsidP="006A7713">
      <w:pPr>
        <w:pStyle w:val="Paragrapgh-numbered"/>
        <w:numPr>
          <w:ilvl w:val="0"/>
          <w:numId w:val="52"/>
        </w:numPr>
        <w:rPr>
          <w:lang w:val="en-GB"/>
        </w:rPr>
      </w:pPr>
      <w:r w:rsidRPr="006A7713">
        <w:rPr>
          <w:lang w:val="en-GB"/>
        </w:rPr>
        <w:t>the Cross-Border RR Activation Process</w:t>
      </w:r>
    </w:p>
    <w:p w14:paraId="67337AAB" w14:textId="645F48AE" w:rsidR="0031211C" w:rsidRPr="006A7713" w:rsidRDefault="0031211C" w:rsidP="006A7713">
      <w:pPr>
        <w:pStyle w:val="Paragrapgh-numbered"/>
        <w:numPr>
          <w:ilvl w:val="0"/>
          <w:numId w:val="52"/>
        </w:numPr>
        <w:rPr>
          <w:lang w:val="en-GB"/>
        </w:rPr>
      </w:pPr>
      <w:r w:rsidRPr="006A7713">
        <w:rPr>
          <w:lang w:val="en-GB"/>
        </w:rPr>
        <w:lastRenderedPageBreak/>
        <w:t>the Time Control Process</w:t>
      </w:r>
    </w:p>
    <w:p w14:paraId="3CF5E669" w14:textId="77777777" w:rsidR="00066CD1" w:rsidRPr="006A7713" w:rsidRDefault="00066CD1" w:rsidP="006A7713">
      <w:pPr>
        <w:pStyle w:val="Paragrapgh-numbered"/>
        <w:numPr>
          <w:ilvl w:val="0"/>
          <w:numId w:val="49"/>
        </w:numPr>
        <w:rPr>
          <w:lang w:val="en-GB"/>
        </w:rPr>
      </w:pPr>
      <w:r w:rsidRPr="006A7713">
        <w:rPr>
          <w:lang w:val="en-GB"/>
        </w:rPr>
        <w:t>The following processes types defined in SOGL are not currently part of the GB Process Activation Process:</w:t>
      </w:r>
    </w:p>
    <w:p w14:paraId="40952063" w14:textId="77777777" w:rsidR="00066CD1" w:rsidRPr="006A7713" w:rsidRDefault="00066CD1" w:rsidP="006A7713">
      <w:pPr>
        <w:pStyle w:val="Paragrapgh-numbered"/>
        <w:numPr>
          <w:ilvl w:val="0"/>
          <w:numId w:val="53"/>
        </w:numPr>
        <w:rPr>
          <w:lang w:val="en-GB"/>
        </w:rPr>
      </w:pPr>
      <w:r w:rsidRPr="006A7713">
        <w:rPr>
          <w:lang w:val="en-GB"/>
        </w:rPr>
        <w:t>the Imbalance Netting Process;</w:t>
      </w:r>
    </w:p>
    <w:p w14:paraId="3408526D" w14:textId="485D29C8" w:rsidR="00066CD1" w:rsidRPr="006A7713" w:rsidRDefault="00066CD1" w:rsidP="006A7713">
      <w:pPr>
        <w:pStyle w:val="Paragrapgh-numbered"/>
        <w:numPr>
          <w:ilvl w:val="0"/>
          <w:numId w:val="53"/>
        </w:numPr>
        <w:rPr>
          <w:lang w:val="en-GB"/>
        </w:rPr>
      </w:pPr>
      <w:r w:rsidRPr="006A7713">
        <w:rPr>
          <w:lang w:val="en-GB"/>
        </w:rPr>
        <w:t xml:space="preserve">automatic </w:t>
      </w:r>
      <w:r w:rsidR="0031211C" w:rsidRPr="006A7713">
        <w:rPr>
          <w:lang w:val="en-GB"/>
        </w:rPr>
        <w:t>Frequency Restoration</w:t>
      </w:r>
      <w:r w:rsidRPr="006A7713">
        <w:rPr>
          <w:lang w:val="en-GB"/>
        </w:rPr>
        <w:t xml:space="preserve"> Process (</w:t>
      </w:r>
      <w:r w:rsidR="0031211C" w:rsidRPr="006A7713">
        <w:rPr>
          <w:lang w:val="en-GB"/>
        </w:rPr>
        <w:t>aFRP</w:t>
      </w:r>
      <w:r w:rsidRPr="006A7713">
        <w:rPr>
          <w:lang w:val="en-GB"/>
        </w:rPr>
        <w:t>)</w:t>
      </w:r>
      <w:r w:rsidR="0031211C" w:rsidRPr="006A7713">
        <w:rPr>
          <w:lang w:val="en-GB"/>
        </w:rPr>
        <w:t xml:space="preserve"> as defined in Article 145 (1)</w:t>
      </w:r>
      <w:r w:rsidR="00202260" w:rsidRPr="006A7713">
        <w:rPr>
          <w:lang w:val="en-GB"/>
        </w:rPr>
        <w:t>.</w:t>
      </w:r>
    </w:p>
    <w:p w14:paraId="7798C5C9" w14:textId="77777777" w:rsidR="00066CD1" w:rsidRPr="006A7713" w:rsidRDefault="00066CD1" w:rsidP="006A7713">
      <w:pPr>
        <w:pStyle w:val="Paragrapgh-numbered"/>
        <w:numPr>
          <w:ilvl w:val="0"/>
          <w:numId w:val="49"/>
        </w:numPr>
        <w:rPr>
          <w:lang w:val="en-GB"/>
        </w:rPr>
      </w:pPr>
      <w:r w:rsidRPr="006A7713">
        <w:rPr>
          <w:lang w:val="en-GB"/>
        </w:rPr>
        <w:t xml:space="preserve">The Process Activation Structure of the Synchronous Area GB is implemented in the single GB LFC Area according to the control process in </w:t>
      </w:r>
    </w:p>
    <w:p w14:paraId="3AE8B1B9" w14:textId="77777777" w:rsidR="00066CD1" w:rsidRPr="006A7713" w:rsidRDefault="00066CD1" w:rsidP="006A7713">
      <w:pPr>
        <w:pStyle w:val="Paragrapgh-numbered"/>
        <w:numPr>
          <w:ilvl w:val="0"/>
          <w:numId w:val="54"/>
        </w:numPr>
        <w:rPr>
          <w:lang w:val="en-GB"/>
        </w:rPr>
      </w:pPr>
      <w:r w:rsidRPr="006A7713">
        <w:rPr>
          <w:lang w:val="en-GB"/>
        </w:rPr>
        <w:t>The control error, i.e. input, of the FCP is the frequency deviation;</w:t>
      </w:r>
    </w:p>
    <w:p w14:paraId="15AB2451" w14:textId="36741C18" w:rsidR="00066CD1" w:rsidRPr="006A7713" w:rsidRDefault="00066CD1" w:rsidP="006A7713">
      <w:pPr>
        <w:pStyle w:val="Paragrapgh-numbered"/>
        <w:numPr>
          <w:ilvl w:val="0"/>
          <w:numId w:val="54"/>
        </w:numPr>
        <w:rPr>
          <w:lang w:val="en-GB"/>
        </w:rPr>
      </w:pPr>
      <w:r w:rsidRPr="006A7713">
        <w:rPr>
          <w:lang w:val="en-GB"/>
        </w:rPr>
        <w:t>The mFRP and RRP are manually triggered by the TSO in order to release FCP based on observed or expected imbalances;</w:t>
      </w:r>
    </w:p>
    <w:p w14:paraId="619CE2A8" w14:textId="1F66993D" w:rsidR="00066CD1" w:rsidRPr="006A7713" w:rsidRDefault="00066CD1" w:rsidP="006A7713">
      <w:pPr>
        <w:pStyle w:val="Paragrapgh-numbered"/>
        <w:numPr>
          <w:ilvl w:val="0"/>
          <w:numId w:val="49"/>
        </w:numPr>
        <w:rPr>
          <w:lang w:val="en-GB"/>
        </w:rPr>
      </w:pPr>
      <w:r w:rsidRPr="006A7713">
        <w:rPr>
          <w:lang w:val="en-GB"/>
        </w:rPr>
        <w:t xml:space="preserve">The Frequency Containment Process (FCP) in the LFC Area GB shall be implemented according to SOGL </w:t>
      </w:r>
      <w:r w:rsidR="00775349" w:rsidRPr="006A7713">
        <w:rPr>
          <w:lang w:val="en-GB"/>
        </w:rPr>
        <w:t>Article</w:t>
      </w:r>
      <w:r w:rsidRPr="006A7713">
        <w:rPr>
          <w:lang w:val="en-GB"/>
        </w:rPr>
        <w:t xml:space="preserve"> 142.</w:t>
      </w:r>
    </w:p>
    <w:p w14:paraId="5AB03FD0" w14:textId="42A03FEA" w:rsidR="00066CD1" w:rsidRPr="006A7713" w:rsidRDefault="00066CD1" w:rsidP="006A7713">
      <w:pPr>
        <w:pStyle w:val="Paragrapgh-numbered"/>
        <w:numPr>
          <w:ilvl w:val="0"/>
          <w:numId w:val="49"/>
        </w:numPr>
        <w:rPr>
          <w:lang w:val="en-GB"/>
        </w:rPr>
      </w:pPr>
      <w:r w:rsidRPr="006A7713">
        <w:rPr>
          <w:lang w:val="en-GB"/>
        </w:rPr>
        <w:t xml:space="preserve">The Frequency Restoration Process (FRP) in the LFC Area GB shall be organised and operated by </w:t>
      </w:r>
      <w:r w:rsidR="00D60A39" w:rsidRPr="006A7713">
        <w:rPr>
          <w:lang w:val="en-GB"/>
        </w:rPr>
        <w:t>the ESO</w:t>
      </w:r>
      <w:r w:rsidRPr="006A7713">
        <w:rPr>
          <w:lang w:val="en-GB"/>
        </w:rPr>
        <w:t xml:space="preserve"> in order to bring the GB, Frequency Restoration Control Error (Δf) within the GB frequency recovery range within the GB time to restore frequency, in accordance with SOGL </w:t>
      </w:r>
      <w:r w:rsidR="00775349" w:rsidRPr="006A7713">
        <w:rPr>
          <w:lang w:val="en-GB"/>
        </w:rPr>
        <w:t>Article</w:t>
      </w:r>
      <w:r w:rsidRPr="006A7713">
        <w:rPr>
          <w:lang w:val="en-GB"/>
        </w:rPr>
        <w:t xml:space="preserve"> 143.</w:t>
      </w:r>
      <w:r w:rsidR="00A05F47" w:rsidRPr="006A7713">
        <w:rPr>
          <w:lang w:val="en-GB"/>
        </w:rPr>
        <w:t xml:space="preserve"> </w:t>
      </w:r>
      <w:r w:rsidRPr="006A7713">
        <w:rPr>
          <w:lang w:val="en-GB"/>
        </w:rPr>
        <w:t xml:space="preserve">The GB FRP is 100% manual. The manual Frequency Restoration Process shall be operated through instructions for manual FRR activation in accordance with SOGL </w:t>
      </w:r>
      <w:r w:rsidR="00775349" w:rsidRPr="006A7713">
        <w:rPr>
          <w:lang w:val="en-GB"/>
        </w:rPr>
        <w:t>Article</w:t>
      </w:r>
      <w:r w:rsidRPr="006A7713">
        <w:rPr>
          <w:lang w:val="en-GB"/>
        </w:rPr>
        <w:t xml:space="preserve"> 145(5).</w:t>
      </w:r>
    </w:p>
    <w:p w14:paraId="368D0746" w14:textId="18C0CE00" w:rsidR="00066CD1" w:rsidRPr="006A7713" w:rsidRDefault="00066CD1" w:rsidP="006A7713">
      <w:pPr>
        <w:pStyle w:val="Paragrapgh-numbered"/>
        <w:numPr>
          <w:ilvl w:val="0"/>
          <w:numId w:val="49"/>
        </w:numPr>
        <w:rPr>
          <w:lang w:val="en-GB"/>
        </w:rPr>
      </w:pPr>
      <w:r w:rsidRPr="006A7713">
        <w:rPr>
          <w:lang w:val="en-GB"/>
        </w:rPr>
        <w:t xml:space="preserve">The Reserve Replacement Process (RRP) in the LFC Area GB shall be organised and operated by </w:t>
      </w:r>
      <w:r w:rsidR="00D60A39" w:rsidRPr="006A7713">
        <w:rPr>
          <w:lang w:val="en-GB"/>
        </w:rPr>
        <w:t>the ESO</w:t>
      </w:r>
      <w:r w:rsidR="00B95C20" w:rsidRPr="006A7713">
        <w:rPr>
          <w:lang w:val="en-GB"/>
        </w:rPr>
        <w:t xml:space="preserve"> </w:t>
      </w:r>
      <w:r w:rsidRPr="006A7713">
        <w:rPr>
          <w:lang w:val="en-GB"/>
        </w:rPr>
        <w:t xml:space="preserve">to progressively restore the activated FCR and FRR, in accordance with SOGL </w:t>
      </w:r>
      <w:r w:rsidR="00775349" w:rsidRPr="006A7713">
        <w:rPr>
          <w:lang w:val="en-GB"/>
        </w:rPr>
        <w:t>Article</w:t>
      </w:r>
      <w:r w:rsidRPr="006A7713">
        <w:rPr>
          <w:lang w:val="en-GB"/>
        </w:rPr>
        <w:t xml:space="preserve"> 144.</w:t>
      </w:r>
      <w:r w:rsidR="00B95C20" w:rsidRPr="006A7713">
        <w:rPr>
          <w:lang w:val="en-GB"/>
        </w:rPr>
        <w:t>(1</w:t>
      </w:r>
      <w:r w:rsidR="00DB5F59" w:rsidRPr="006A7713">
        <w:rPr>
          <w:lang w:val="en-GB"/>
        </w:rPr>
        <w:t>)(c )</w:t>
      </w:r>
    </w:p>
    <w:p w14:paraId="7B8E00AF" w14:textId="4D8E3696" w:rsidR="000C4364" w:rsidRDefault="00066CD1" w:rsidP="006A7713">
      <w:pPr>
        <w:pStyle w:val="Paragrapgh-numbered"/>
        <w:numPr>
          <w:ilvl w:val="0"/>
          <w:numId w:val="49"/>
        </w:numPr>
      </w:pPr>
      <w:r w:rsidRPr="006A7713">
        <w:rPr>
          <w:lang w:val="en-GB"/>
        </w:rPr>
        <w:t xml:space="preserve">GB does not operate an aFRP and therefore no properties for a Frequency Restoration Controller </w:t>
      </w:r>
      <w:r w:rsidR="00B95C20" w:rsidRPr="006A7713">
        <w:rPr>
          <w:lang w:val="en-GB"/>
        </w:rPr>
        <w:t xml:space="preserve">are </w:t>
      </w:r>
      <w:r w:rsidRPr="006A7713">
        <w:rPr>
          <w:lang w:val="en-GB"/>
        </w:rPr>
        <w:t>defined.</w:t>
      </w:r>
      <w:r w:rsidR="00385896" w:rsidRPr="006A7713" w:rsidDel="00385896">
        <w:rPr>
          <w:lang w:val="en-GB"/>
        </w:rPr>
        <w:t xml:space="preserve"> </w:t>
      </w:r>
      <w:bookmarkStart w:id="42" w:name="_Toc514856564"/>
      <w:bookmarkStart w:id="43" w:name="_Toc517426350"/>
    </w:p>
    <w:p w14:paraId="63D10968" w14:textId="77777777" w:rsidR="0029133B" w:rsidRPr="00323B2A" w:rsidRDefault="0029133B" w:rsidP="00BF670E">
      <w:pPr>
        <w:pStyle w:val="Artnr"/>
      </w:pPr>
    </w:p>
    <w:p w14:paraId="060780AA" w14:textId="3528FD5D" w:rsidR="00213845" w:rsidRPr="00323B2A" w:rsidRDefault="00323B2A" w:rsidP="00A6017D">
      <w:pPr>
        <w:pStyle w:val="ArticleTitle"/>
      </w:pPr>
      <w:r>
        <w:t>I</w:t>
      </w:r>
      <w:r w:rsidR="00213845" w:rsidRPr="00323B2A">
        <w:t>f</w:t>
      </w:r>
      <w:r w:rsidR="00A05F47" w:rsidRPr="00323B2A">
        <w:t xml:space="preserve"> </w:t>
      </w:r>
      <w:r w:rsidR="00213845" w:rsidRPr="00323B2A">
        <w:t>applicable,</w:t>
      </w:r>
      <w:r w:rsidR="00A05F47" w:rsidRPr="00323B2A">
        <w:t xml:space="preserve"> </w:t>
      </w:r>
      <w:r w:rsidR="00213845" w:rsidRPr="00323B2A">
        <w:t>the</w:t>
      </w:r>
      <w:r w:rsidR="00A05F47" w:rsidRPr="00323B2A">
        <w:t xml:space="preserve"> </w:t>
      </w:r>
      <w:r w:rsidR="00213845" w:rsidRPr="00323B2A">
        <w:t>methodology</w:t>
      </w:r>
      <w:r w:rsidR="00A05F47" w:rsidRPr="00323B2A">
        <w:t xml:space="preserve"> </w:t>
      </w:r>
      <w:r w:rsidR="00213845" w:rsidRPr="00323B2A">
        <w:t>to</w:t>
      </w:r>
      <w:r w:rsidR="00A05F47" w:rsidRPr="00323B2A">
        <w:t xml:space="preserve"> </w:t>
      </w:r>
      <w:r w:rsidR="00213845" w:rsidRPr="00323B2A">
        <w:t>reduce</w:t>
      </w:r>
      <w:r w:rsidR="00A05F47" w:rsidRPr="00323B2A">
        <w:t xml:space="preserve"> </w:t>
      </w:r>
      <w:r w:rsidR="00213845" w:rsidRPr="00323B2A">
        <w:t>the</w:t>
      </w:r>
      <w:r w:rsidR="00A05F47" w:rsidRPr="00323B2A">
        <w:t xml:space="preserve"> </w:t>
      </w:r>
      <w:r w:rsidR="00213845" w:rsidRPr="00323B2A">
        <w:t>electrical</w:t>
      </w:r>
      <w:r w:rsidR="00A05F47" w:rsidRPr="00323B2A">
        <w:t xml:space="preserve"> </w:t>
      </w:r>
      <w:r w:rsidR="00213845" w:rsidRPr="00323B2A">
        <w:t>time</w:t>
      </w:r>
      <w:r w:rsidR="00A05F47" w:rsidRPr="00323B2A">
        <w:t xml:space="preserve"> </w:t>
      </w:r>
      <w:r w:rsidR="00213845" w:rsidRPr="00323B2A">
        <w:t>deviation</w:t>
      </w:r>
      <w:r w:rsidR="00A05F47" w:rsidRPr="00323B2A">
        <w:t xml:space="preserve"> </w:t>
      </w:r>
      <w:r w:rsidR="00213845" w:rsidRPr="00323B2A">
        <w:t xml:space="preserve">in accordance with </w:t>
      </w:r>
      <w:r w:rsidR="000C4364" w:rsidRPr="00323B2A">
        <w:t xml:space="preserve">SOGL </w:t>
      </w:r>
      <w:r w:rsidR="00213845" w:rsidRPr="00323B2A">
        <w:t>Article 181;</w:t>
      </w:r>
      <w:bookmarkEnd w:id="42"/>
      <w:bookmarkEnd w:id="43"/>
    </w:p>
    <w:p w14:paraId="0CC3E3F5" w14:textId="351DAC20" w:rsidR="00213845" w:rsidRPr="00365D34" w:rsidRDefault="00213845" w:rsidP="006A7713">
      <w:pPr>
        <w:pStyle w:val="Paragrapgh-numbered"/>
        <w:numPr>
          <w:ilvl w:val="0"/>
          <w:numId w:val="22"/>
        </w:numPr>
        <w:spacing w:line="240" w:lineRule="auto"/>
        <w:rPr>
          <w:lang w:val="en-GB"/>
        </w:rPr>
      </w:pPr>
      <w:r w:rsidRPr="00365D34">
        <w:rPr>
          <w:lang w:val="en-GB"/>
        </w:rPr>
        <w:t xml:space="preserve">Within the GB synchronous area, the </w:t>
      </w:r>
      <w:r w:rsidR="00BC67D4" w:rsidRPr="00365D34">
        <w:rPr>
          <w:lang w:val="en-GB"/>
        </w:rPr>
        <w:t>ESO</w:t>
      </w:r>
      <w:r w:rsidRPr="00365D34">
        <w:rPr>
          <w:lang w:val="en-GB"/>
        </w:rPr>
        <w:t xml:space="preserve"> controls the electrical system time as specified in the </w:t>
      </w:r>
      <w:r w:rsidR="00DB5F59" w:rsidRPr="00365D34">
        <w:rPr>
          <w:lang w:val="en-GB"/>
        </w:rPr>
        <w:t>G</w:t>
      </w:r>
      <w:r w:rsidRPr="00365D34">
        <w:rPr>
          <w:lang w:val="en-GB"/>
        </w:rPr>
        <w:t xml:space="preserve">rid </w:t>
      </w:r>
      <w:r w:rsidR="00DB5F59" w:rsidRPr="00365D34">
        <w:rPr>
          <w:lang w:val="en-GB"/>
        </w:rPr>
        <w:t>C</w:t>
      </w:r>
      <w:r w:rsidRPr="00365D34">
        <w:rPr>
          <w:lang w:val="en-GB"/>
        </w:rPr>
        <w:t>ode</w:t>
      </w:r>
      <w:r w:rsidR="00674366">
        <w:rPr>
          <w:lang w:val="en-GB"/>
        </w:rPr>
        <w:t>.</w:t>
      </w:r>
    </w:p>
    <w:p w14:paraId="0F79756C" w14:textId="77777777" w:rsidR="007B37A3" w:rsidRPr="00323B2A" w:rsidRDefault="007B37A3" w:rsidP="00A6017D">
      <w:pPr>
        <w:pStyle w:val="Artnr"/>
      </w:pPr>
      <w:bookmarkStart w:id="44" w:name="_Toc514856566"/>
      <w:bookmarkStart w:id="45" w:name="_Toc517426352"/>
    </w:p>
    <w:p w14:paraId="520CE719" w14:textId="1BEF607F" w:rsidR="00213845" w:rsidRPr="00323B2A" w:rsidRDefault="00323B2A">
      <w:pPr>
        <w:pStyle w:val="ArticleTitle"/>
      </w:pPr>
      <w:r>
        <w:t>W</w:t>
      </w:r>
      <w:r w:rsidR="00213845" w:rsidRPr="00323B2A">
        <w:t xml:space="preserve">henever the synchronous area is operated by more than one TSO, the specific allocation of responsibilities between TSOs in accordance with </w:t>
      </w:r>
      <w:r w:rsidR="00273A0D">
        <w:t xml:space="preserve">SOGL </w:t>
      </w:r>
      <w:r w:rsidR="00213845" w:rsidRPr="00323B2A">
        <w:t>Article 141;</w:t>
      </w:r>
      <w:bookmarkEnd w:id="44"/>
      <w:bookmarkEnd w:id="45"/>
    </w:p>
    <w:p w14:paraId="7C21B3D6" w14:textId="77777777" w:rsidR="00F064CE" w:rsidRDefault="00F064CE" w:rsidP="006A7713">
      <w:pPr>
        <w:pStyle w:val="Paragrapgh-numbered"/>
        <w:numPr>
          <w:ilvl w:val="0"/>
          <w:numId w:val="23"/>
        </w:numPr>
        <w:rPr>
          <w:lang w:val="en-GB"/>
        </w:rPr>
      </w:pPr>
      <w:r>
        <w:rPr>
          <w:lang w:val="en-GB"/>
        </w:rPr>
        <w:t xml:space="preserve">SOGL </w:t>
      </w:r>
      <w:r w:rsidR="00775349">
        <w:rPr>
          <w:lang w:val="en-GB"/>
        </w:rPr>
        <w:t>Article</w:t>
      </w:r>
      <w:r w:rsidR="00213845" w:rsidRPr="00365D34">
        <w:rPr>
          <w:lang w:val="en-GB"/>
        </w:rPr>
        <w:t xml:space="preserve"> </w:t>
      </w:r>
      <w:r>
        <w:rPr>
          <w:lang w:val="en-GB"/>
        </w:rPr>
        <w:t xml:space="preserve">141 </w:t>
      </w:r>
      <w:r w:rsidR="00213845" w:rsidRPr="00365D34">
        <w:rPr>
          <w:lang w:val="en-GB"/>
        </w:rPr>
        <w:t xml:space="preserve">is not applicable to </w:t>
      </w:r>
      <w:r w:rsidR="000F4C7B">
        <w:rPr>
          <w:lang w:val="en-GB"/>
        </w:rPr>
        <w:t>this document.</w:t>
      </w:r>
      <w:r w:rsidR="000F4C7B" w:rsidRPr="00365D34">
        <w:rPr>
          <w:lang w:val="en-GB"/>
        </w:rPr>
        <w:t xml:space="preserve"> </w:t>
      </w:r>
    </w:p>
    <w:p w14:paraId="14523A37" w14:textId="5B8E4609" w:rsidR="00213845" w:rsidRPr="00365D34" w:rsidRDefault="000F4C7B" w:rsidP="006A7713">
      <w:pPr>
        <w:pStyle w:val="Paragrapgh-numbered"/>
        <w:numPr>
          <w:ilvl w:val="0"/>
          <w:numId w:val="23"/>
        </w:numPr>
        <w:rPr>
          <w:lang w:val="en-GB"/>
        </w:rPr>
      </w:pPr>
      <w:r>
        <w:rPr>
          <w:lang w:val="en-GB"/>
        </w:rPr>
        <w:t>T</w:t>
      </w:r>
      <w:r w:rsidR="00213845" w:rsidRPr="00365D34">
        <w:rPr>
          <w:lang w:val="en-GB"/>
        </w:rPr>
        <w:t xml:space="preserve">he GB synchronous area is operated by </w:t>
      </w:r>
      <w:r w:rsidR="00D60A39" w:rsidRPr="00365D34">
        <w:rPr>
          <w:lang w:val="en-GB"/>
        </w:rPr>
        <w:t>the ESO</w:t>
      </w:r>
      <w:r w:rsidR="00213845" w:rsidRPr="00365D34">
        <w:rPr>
          <w:lang w:val="en-GB"/>
        </w:rPr>
        <w:t xml:space="preserve"> alone.</w:t>
      </w:r>
    </w:p>
    <w:p w14:paraId="2FAD536A" w14:textId="77777777" w:rsidR="007B37A3" w:rsidRPr="00323B2A" w:rsidRDefault="007B37A3" w:rsidP="00A6017D">
      <w:pPr>
        <w:pStyle w:val="Artnr"/>
      </w:pPr>
      <w:bookmarkStart w:id="46" w:name="_Toc514856568"/>
      <w:bookmarkStart w:id="47" w:name="_Toc517426354"/>
    </w:p>
    <w:p w14:paraId="318FF9CB" w14:textId="16A45CB0" w:rsidR="00213845" w:rsidRPr="00323B2A" w:rsidRDefault="00323B2A" w:rsidP="00A6017D">
      <w:pPr>
        <w:pStyle w:val="Artnr"/>
        <w:numPr>
          <w:ilvl w:val="0"/>
          <w:numId w:val="0"/>
        </w:numPr>
      </w:pPr>
      <w:r>
        <w:t>O</w:t>
      </w:r>
      <w:r w:rsidR="00213845" w:rsidRPr="00323B2A">
        <w:t>perational</w:t>
      </w:r>
      <w:r w:rsidR="00A05F47" w:rsidRPr="00323B2A">
        <w:t xml:space="preserve"> </w:t>
      </w:r>
      <w:r w:rsidR="00213845" w:rsidRPr="00323B2A">
        <w:t>procedures</w:t>
      </w:r>
      <w:r w:rsidR="00A05F47" w:rsidRPr="00323B2A">
        <w:t xml:space="preserve"> </w:t>
      </w:r>
      <w:r w:rsidR="00213845" w:rsidRPr="00323B2A">
        <w:t>in</w:t>
      </w:r>
      <w:r w:rsidR="00A05F47" w:rsidRPr="00323B2A">
        <w:t xml:space="preserve"> </w:t>
      </w:r>
      <w:r w:rsidR="00213845" w:rsidRPr="00323B2A">
        <w:t>case</w:t>
      </w:r>
      <w:r w:rsidR="00A05F47" w:rsidRPr="00323B2A">
        <w:t xml:space="preserve"> </w:t>
      </w:r>
      <w:r w:rsidR="00213845" w:rsidRPr="00323B2A">
        <w:t>of</w:t>
      </w:r>
      <w:r w:rsidR="00A05F47" w:rsidRPr="00323B2A">
        <w:t xml:space="preserve"> </w:t>
      </w:r>
      <w:r w:rsidR="00213845" w:rsidRPr="00323B2A">
        <w:t>exhausted</w:t>
      </w:r>
      <w:r w:rsidR="00A05F47" w:rsidRPr="00323B2A">
        <w:t xml:space="preserve"> </w:t>
      </w:r>
      <w:r w:rsidR="00213845" w:rsidRPr="00323B2A">
        <w:t>FCR</w:t>
      </w:r>
      <w:r w:rsidR="00A05F47" w:rsidRPr="00323B2A">
        <w:t xml:space="preserve"> </w:t>
      </w:r>
      <w:r w:rsidR="00213845" w:rsidRPr="00323B2A">
        <w:t>in</w:t>
      </w:r>
      <w:r w:rsidR="00A05F47" w:rsidRPr="00323B2A">
        <w:t xml:space="preserve"> </w:t>
      </w:r>
      <w:r w:rsidR="00213845" w:rsidRPr="00323B2A">
        <w:t>accordance</w:t>
      </w:r>
      <w:r w:rsidR="00A05F47" w:rsidRPr="00323B2A">
        <w:t xml:space="preserve"> </w:t>
      </w:r>
      <w:r w:rsidR="00213845" w:rsidRPr="00323B2A">
        <w:t>with</w:t>
      </w:r>
      <w:r w:rsidR="00A05F47" w:rsidRPr="00323B2A">
        <w:t xml:space="preserve"> </w:t>
      </w:r>
      <w:r w:rsidR="00273A0D">
        <w:t xml:space="preserve">SOGL </w:t>
      </w:r>
      <w:r w:rsidR="00213845" w:rsidRPr="00323B2A">
        <w:t>Article 152(7)</w:t>
      </w:r>
      <w:bookmarkEnd w:id="46"/>
      <w:bookmarkEnd w:id="47"/>
    </w:p>
    <w:p w14:paraId="7CAB4ABA" w14:textId="7157C59E" w:rsidR="00066CD1" w:rsidRPr="006A7713" w:rsidRDefault="00066CD1" w:rsidP="006A7713">
      <w:pPr>
        <w:pStyle w:val="Paragrapgh-numbered"/>
        <w:numPr>
          <w:ilvl w:val="0"/>
          <w:numId w:val="55"/>
        </w:numPr>
        <w:rPr>
          <w:lang w:val="en-GB"/>
        </w:rPr>
      </w:pPr>
      <w:r w:rsidRPr="006A7713">
        <w:rPr>
          <w:lang w:val="en-GB"/>
        </w:rPr>
        <w:t xml:space="preserve">Ensuring sufficient FCR capacity is available to </w:t>
      </w:r>
      <w:r w:rsidR="00BC67D4" w:rsidRPr="006A7713">
        <w:rPr>
          <w:lang w:val="en-GB"/>
        </w:rPr>
        <w:t>ESO</w:t>
      </w:r>
      <w:r w:rsidRPr="006A7713">
        <w:rPr>
          <w:lang w:val="en-GB"/>
        </w:rPr>
        <w:t xml:space="preserve"> under commercial arrangements:</w:t>
      </w:r>
    </w:p>
    <w:p w14:paraId="5AC3BD57" w14:textId="34AE0C62" w:rsidR="00B13757" w:rsidRPr="006A7713" w:rsidRDefault="00066CD1" w:rsidP="006A7713">
      <w:pPr>
        <w:pStyle w:val="Paragrapgh-numbered"/>
        <w:numPr>
          <w:ilvl w:val="1"/>
          <w:numId w:val="55"/>
        </w:numPr>
        <w:rPr>
          <w:lang w:val="en-GB"/>
        </w:rPr>
      </w:pPr>
      <w:r w:rsidRPr="006A7713">
        <w:rPr>
          <w:lang w:val="en-GB"/>
        </w:rPr>
        <w:t xml:space="preserve">In order to ensure that the sufficient FCR capacity is made available in all timescales to the </w:t>
      </w:r>
      <w:r w:rsidR="00D60A39" w:rsidRPr="006A7713">
        <w:rPr>
          <w:lang w:val="en-GB"/>
        </w:rPr>
        <w:t>ESO</w:t>
      </w:r>
      <w:r w:rsidRPr="006A7713">
        <w:rPr>
          <w:lang w:val="en-GB"/>
        </w:rPr>
        <w:t xml:space="preserve">, </w:t>
      </w:r>
      <w:r w:rsidR="00323B2A" w:rsidRPr="006A7713">
        <w:rPr>
          <w:lang w:val="en-GB"/>
        </w:rPr>
        <w:t xml:space="preserve">the Grid Code defines </w:t>
      </w:r>
      <w:r w:rsidRPr="006A7713">
        <w:rPr>
          <w:lang w:val="en-GB"/>
        </w:rPr>
        <w:t>obligation</w:t>
      </w:r>
      <w:r w:rsidR="00323B2A" w:rsidRPr="006A7713">
        <w:rPr>
          <w:lang w:val="en-GB"/>
        </w:rPr>
        <w:t>s</w:t>
      </w:r>
      <w:r w:rsidRPr="006A7713">
        <w:rPr>
          <w:lang w:val="en-GB"/>
        </w:rPr>
        <w:t xml:space="preserve"> for certain </w:t>
      </w:r>
      <w:r w:rsidR="00AC0231" w:rsidRPr="006A7713">
        <w:rPr>
          <w:lang w:val="en-GB"/>
        </w:rPr>
        <w:t xml:space="preserve">grid users </w:t>
      </w:r>
      <w:r w:rsidR="00927478" w:rsidRPr="006A7713">
        <w:rPr>
          <w:lang w:val="en-GB"/>
        </w:rPr>
        <w:t xml:space="preserve">to </w:t>
      </w:r>
    </w:p>
    <w:p w14:paraId="68EC83E1" w14:textId="7116A067" w:rsidR="00B13757" w:rsidRPr="006A7713" w:rsidRDefault="00927478" w:rsidP="006A7713">
      <w:pPr>
        <w:pStyle w:val="Paragrapgh-numbered"/>
        <w:numPr>
          <w:ilvl w:val="2"/>
          <w:numId w:val="55"/>
        </w:numPr>
        <w:rPr>
          <w:lang w:val="en-GB"/>
        </w:rPr>
      </w:pPr>
      <w:r w:rsidRPr="006A7713">
        <w:rPr>
          <w:lang w:val="en-GB"/>
        </w:rPr>
        <w:t xml:space="preserve">have the capability to provide </w:t>
      </w:r>
      <w:r w:rsidR="00B13757" w:rsidRPr="006A7713">
        <w:rPr>
          <w:lang w:val="en-GB"/>
        </w:rPr>
        <w:t>FCR</w:t>
      </w:r>
      <w:r w:rsidR="00066CD1" w:rsidRPr="006A7713">
        <w:rPr>
          <w:lang w:val="en-GB"/>
        </w:rPr>
        <w:t xml:space="preserve"> </w:t>
      </w:r>
      <w:r w:rsidRPr="006A7713">
        <w:rPr>
          <w:lang w:val="en-GB"/>
        </w:rPr>
        <w:t>services</w:t>
      </w:r>
      <w:r w:rsidR="00323B2A" w:rsidRPr="006A7713">
        <w:rPr>
          <w:lang w:val="en-GB"/>
        </w:rPr>
        <w:t xml:space="preserve"> to the ESO</w:t>
      </w:r>
      <w:r w:rsidR="00B13757" w:rsidRPr="006A7713">
        <w:rPr>
          <w:lang w:val="en-GB"/>
        </w:rPr>
        <w:t>,</w:t>
      </w:r>
      <w:r w:rsidR="00066CD1" w:rsidRPr="006A7713">
        <w:rPr>
          <w:lang w:val="en-GB"/>
        </w:rPr>
        <w:t xml:space="preserve"> and</w:t>
      </w:r>
    </w:p>
    <w:p w14:paraId="525EAD9E" w14:textId="5B20B411" w:rsidR="00066CD1" w:rsidRPr="006A7713" w:rsidRDefault="00323B2A" w:rsidP="006A7713">
      <w:pPr>
        <w:pStyle w:val="Paragrapgh-numbered"/>
        <w:numPr>
          <w:ilvl w:val="2"/>
          <w:numId w:val="55"/>
        </w:numPr>
        <w:rPr>
          <w:lang w:val="en-GB"/>
        </w:rPr>
      </w:pPr>
      <w:r w:rsidRPr="006A7713">
        <w:rPr>
          <w:lang w:val="en-GB"/>
        </w:rPr>
        <w:t xml:space="preserve">a </w:t>
      </w:r>
      <w:r w:rsidR="00066CD1" w:rsidRPr="006A7713">
        <w:rPr>
          <w:lang w:val="en-GB"/>
        </w:rPr>
        <w:t xml:space="preserve">requirement to make those FCR services commercially available to the </w:t>
      </w:r>
      <w:r w:rsidR="00B13757" w:rsidRPr="006A7713">
        <w:rPr>
          <w:lang w:val="en-GB"/>
        </w:rPr>
        <w:t>ESO.</w:t>
      </w:r>
    </w:p>
    <w:p w14:paraId="15375D8B" w14:textId="400BCA33" w:rsidR="00066CD1" w:rsidRPr="006A7713" w:rsidRDefault="00066CD1" w:rsidP="006A7713">
      <w:pPr>
        <w:pStyle w:val="Paragrapgh-numbered"/>
        <w:numPr>
          <w:ilvl w:val="1"/>
          <w:numId w:val="55"/>
        </w:numPr>
        <w:rPr>
          <w:lang w:val="en-GB"/>
        </w:rPr>
      </w:pPr>
      <w:r w:rsidRPr="006A7713">
        <w:rPr>
          <w:lang w:val="en-GB"/>
        </w:rPr>
        <w:t>Those reserve services that are critical to ensuring sufficient FCR capacity offering in GB are defined in Grid Code</w:t>
      </w:r>
      <w:r w:rsidR="00B13757" w:rsidRPr="006A7713">
        <w:rPr>
          <w:lang w:val="en-GB"/>
        </w:rPr>
        <w:t>.</w:t>
      </w:r>
    </w:p>
    <w:p w14:paraId="3AFD7D7E" w14:textId="77777777" w:rsidR="00066CD1" w:rsidRPr="006A7713" w:rsidRDefault="00066CD1" w:rsidP="006A7713">
      <w:pPr>
        <w:pStyle w:val="Paragrapgh-numbered"/>
        <w:numPr>
          <w:ilvl w:val="0"/>
          <w:numId w:val="55"/>
        </w:numPr>
        <w:rPr>
          <w:lang w:val="en-GB"/>
        </w:rPr>
      </w:pPr>
      <w:r w:rsidRPr="006A7713">
        <w:rPr>
          <w:lang w:val="en-GB"/>
        </w:rPr>
        <w:t>Procedures performed in control timescales where FCR provision from FCR providers is eroded below the dimensioning requirement:</w:t>
      </w:r>
    </w:p>
    <w:p w14:paraId="29C42237" w14:textId="246360D6" w:rsidR="00066CD1" w:rsidRPr="00365D34" w:rsidRDefault="00066CD1" w:rsidP="006A7713">
      <w:pPr>
        <w:pStyle w:val="Paragrapgh-numbered"/>
        <w:numPr>
          <w:ilvl w:val="1"/>
          <w:numId w:val="55"/>
        </w:numPr>
        <w:rPr>
          <w:lang w:val="en-GB"/>
        </w:rPr>
      </w:pPr>
      <w:r w:rsidRPr="00365D34">
        <w:rPr>
          <w:lang w:val="en-GB"/>
        </w:rPr>
        <w:t xml:space="preserve">The approach to managing active FCR provision by </w:t>
      </w:r>
      <w:r w:rsidR="00D60A39" w:rsidRPr="00365D34">
        <w:rPr>
          <w:lang w:val="en-GB"/>
        </w:rPr>
        <w:t>the ESO</w:t>
      </w:r>
      <w:r w:rsidRPr="00365D34">
        <w:rPr>
          <w:lang w:val="en-GB"/>
        </w:rPr>
        <w:t xml:space="preserve"> is such that every endeavour is taken to ensure that requirements and risks relating to FCR exhaustion are managed on a</w:t>
      </w:r>
      <w:r w:rsidR="00AC0231">
        <w:rPr>
          <w:lang w:val="en-GB"/>
        </w:rPr>
        <w:t xml:space="preserve"> continuous </w:t>
      </w:r>
      <w:r w:rsidRPr="00365D34">
        <w:rPr>
          <w:lang w:val="en-GB"/>
        </w:rPr>
        <w:t>basis.</w:t>
      </w:r>
      <w:r w:rsidR="00A05F47" w:rsidRPr="00365D34">
        <w:rPr>
          <w:lang w:val="en-GB"/>
        </w:rPr>
        <w:t xml:space="preserve"> </w:t>
      </w:r>
      <w:r w:rsidRPr="00365D34">
        <w:rPr>
          <w:lang w:val="en-GB"/>
        </w:rPr>
        <w:t>This should ensure that a point of critically reduced or exhausted FCR holding is never reached.</w:t>
      </w:r>
      <w:r w:rsidR="00A05F47" w:rsidRPr="00365D34">
        <w:rPr>
          <w:lang w:val="en-GB"/>
        </w:rPr>
        <w:t xml:space="preserve"> </w:t>
      </w:r>
      <w:r w:rsidRPr="00365D34">
        <w:rPr>
          <w:lang w:val="en-GB"/>
        </w:rPr>
        <w:t xml:space="preserve">Where operational conditions arise </w:t>
      </w:r>
      <w:r w:rsidR="00AC0231">
        <w:rPr>
          <w:lang w:val="en-GB"/>
        </w:rPr>
        <w:t xml:space="preserve">that </w:t>
      </w:r>
      <w:r w:rsidRPr="00365D34">
        <w:rPr>
          <w:lang w:val="en-GB"/>
        </w:rPr>
        <w:t xml:space="preserve">result in depletion of FCR capability, the </w:t>
      </w:r>
      <w:r w:rsidR="00F13378" w:rsidRPr="00365D34">
        <w:rPr>
          <w:lang w:val="en-GB"/>
        </w:rPr>
        <w:t>ESO</w:t>
      </w:r>
      <w:r w:rsidRPr="00365D34">
        <w:rPr>
          <w:lang w:val="en-GB"/>
        </w:rPr>
        <w:t xml:space="preserve"> will</w:t>
      </w:r>
      <w:r w:rsidR="00F13378" w:rsidRPr="00365D34">
        <w:rPr>
          <w:lang w:val="en-GB"/>
        </w:rPr>
        <w:t>:</w:t>
      </w:r>
      <w:r w:rsidRPr="00365D34">
        <w:rPr>
          <w:lang w:val="en-GB"/>
        </w:rPr>
        <w:t xml:space="preserve"> </w:t>
      </w:r>
    </w:p>
    <w:p w14:paraId="646170D8" w14:textId="77777777" w:rsidR="00FC7EC3" w:rsidRPr="00365D34" w:rsidRDefault="00FC7EC3" w:rsidP="006A7713">
      <w:pPr>
        <w:pStyle w:val="Paragrapgh-numbered"/>
        <w:numPr>
          <w:ilvl w:val="2"/>
          <w:numId w:val="55"/>
        </w:numPr>
        <w:rPr>
          <w:lang w:val="en-GB"/>
        </w:rPr>
      </w:pPr>
      <w:r w:rsidRPr="00365D34">
        <w:rPr>
          <w:lang w:val="en-GB"/>
        </w:rPr>
        <w:t>Reduce the size of the reference incident so it can be secured with the available FCR.</w:t>
      </w:r>
    </w:p>
    <w:p w14:paraId="0932F8A5" w14:textId="77777777" w:rsidR="00FC7EC3" w:rsidRPr="00365D34" w:rsidRDefault="00FC7EC3" w:rsidP="006A7713">
      <w:pPr>
        <w:pStyle w:val="Paragrapgh-numbered"/>
        <w:numPr>
          <w:ilvl w:val="2"/>
          <w:numId w:val="55"/>
        </w:numPr>
        <w:rPr>
          <w:lang w:val="en-GB"/>
        </w:rPr>
      </w:pPr>
      <w:r w:rsidRPr="00365D34">
        <w:rPr>
          <w:lang w:val="en-GB"/>
        </w:rPr>
        <w:t xml:space="preserve">Call on ancillary service provision and put additional units in response mode </w:t>
      </w:r>
    </w:p>
    <w:p w14:paraId="0379942F" w14:textId="77777777" w:rsidR="00FC7EC3" w:rsidRPr="00365D34" w:rsidRDefault="00FC7EC3" w:rsidP="006A7713">
      <w:pPr>
        <w:pStyle w:val="Paragrapgh-numbered"/>
        <w:numPr>
          <w:ilvl w:val="2"/>
          <w:numId w:val="55"/>
        </w:numPr>
        <w:rPr>
          <w:lang w:val="en-GB"/>
        </w:rPr>
      </w:pPr>
      <w:r w:rsidRPr="00365D34">
        <w:rPr>
          <w:lang w:val="en-GB"/>
        </w:rPr>
        <w:t>Call upon emergency restoration of transmission equipment on outage or arm inter-tripping generation to relieve any generation that has been in a transmission congestion</w:t>
      </w:r>
    </w:p>
    <w:p w14:paraId="6A367210" w14:textId="40F323AD" w:rsidR="00FC7EC3" w:rsidRPr="00365D34" w:rsidRDefault="00FC7EC3" w:rsidP="006A7713">
      <w:pPr>
        <w:pStyle w:val="Paragrapgh-numbered"/>
        <w:numPr>
          <w:ilvl w:val="2"/>
          <w:numId w:val="55"/>
        </w:numPr>
        <w:rPr>
          <w:lang w:val="en-GB"/>
        </w:rPr>
      </w:pPr>
      <w:r w:rsidRPr="00365D34">
        <w:rPr>
          <w:lang w:val="en-GB"/>
        </w:rPr>
        <w:t xml:space="preserve">If points </w:t>
      </w:r>
      <w:r w:rsidR="009A4B55" w:rsidRPr="00365D34">
        <w:rPr>
          <w:lang w:val="en-GB"/>
        </w:rPr>
        <w:t>i to iii</w:t>
      </w:r>
      <w:r w:rsidR="00EA52DC" w:rsidRPr="00365D34">
        <w:rPr>
          <w:lang w:val="en-GB"/>
        </w:rPr>
        <w:t xml:space="preserve"> </w:t>
      </w:r>
      <w:r w:rsidR="009A4B55" w:rsidRPr="00365D34">
        <w:rPr>
          <w:lang w:val="en-GB"/>
        </w:rPr>
        <w:t xml:space="preserve">above </w:t>
      </w:r>
      <w:r w:rsidRPr="00365D34">
        <w:rPr>
          <w:lang w:val="en-GB"/>
        </w:rPr>
        <w:t xml:space="preserve">are insufficient or unachievable </w:t>
      </w:r>
      <w:r w:rsidR="00D60A39" w:rsidRPr="00365D34">
        <w:rPr>
          <w:lang w:val="en-GB"/>
        </w:rPr>
        <w:t>the ESO</w:t>
      </w:r>
      <w:r w:rsidRPr="00365D34">
        <w:rPr>
          <w:lang w:val="en-GB"/>
        </w:rPr>
        <w:t xml:space="preserve"> will issue the appropriate National Electricity Transmission System Warning and actions as defined in the Grid Code. </w:t>
      </w:r>
    </w:p>
    <w:p w14:paraId="79904ECE" w14:textId="77777777" w:rsidR="00761661" w:rsidRPr="00323B2A" w:rsidRDefault="00761661" w:rsidP="00A6017D">
      <w:pPr>
        <w:pStyle w:val="Artnr"/>
        <w:rPr>
          <w:rFonts w:eastAsiaTheme="minorEastAsia"/>
        </w:rPr>
      </w:pPr>
    </w:p>
    <w:p w14:paraId="0C789411" w14:textId="40030005" w:rsidR="00213845" w:rsidRPr="00323B2A" w:rsidRDefault="00323B2A">
      <w:pPr>
        <w:pStyle w:val="ArticleTitle"/>
      </w:pPr>
      <w:bookmarkStart w:id="48" w:name="_Toc514856571"/>
      <w:bookmarkStart w:id="49" w:name="_Toc517426356"/>
      <w:r>
        <w:t>O</w:t>
      </w:r>
      <w:r w:rsidR="00213845" w:rsidRPr="00323B2A">
        <w:t xml:space="preserve">perational procedures to reduce the system frequency deviation to restore the system state to normal state and to limit the risk of entering into the emergency state in accordance with </w:t>
      </w:r>
      <w:r w:rsidR="00273A0D">
        <w:t xml:space="preserve">SOGL </w:t>
      </w:r>
      <w:r w:rsidR="00213845" w:rsidRPr="00323B2A">
        <w:t>Article 152(10);</w:t>
      </w:r>
      <w:bookmarkEnd w:id="48"/>
      <w:bookmarkEnd w:id="49"/>
    </w:p>
    <w:p w14:paraId="6FF40416" w14:textId="5CE20C66" w:rsidR="00A66E39" w:rsidRPr="00365D34" w:rsidRDefault="00213845" w:rsidP="006A7713">
      <w:pPr>
        <w:pStyle w:val="Paragrapgh-numbered"/>
        <w:numPr>
          <w:ilvl w:val="0"/>
          <w:numId w:val="35"/>
        </w:numPr>
        <w:rPr>
          <w:lang w:val="en-GB"/>
        </w:rPr>
      </w:pPr>
      <w:r w:rsidRPr="00365D34">
        <w:rPr>
          <w:lang w:val="en-GB"/>
        </w:rPr>
        <w:t xml:space="preserve">When the GB electricity system is in an </w:t>
      </w:r>
      <w:r w:rsidR="00F13378" w:rsidRPr="00365D34">
        <w:rPr>
          <w:lang w:val="en-GB"/>
        </w:rPr>
        <w:t>A</w:t>
      </w:r>
      <w:r w:rsidRPr="00365D34">
        <w:rPr>
          <w:lang w:val="en-GB"/>
        </w:rPr>
        <w:t xml:space="preserve">lert </w:t>
      </w:r>
      <w:r w:rsidR="00F13378" w:rsidRPr="00365D34">
        <w:rPr>
          <w:lang w:val="en-GB"/>
        </w:rPr>
        <w:t>State</w:t>
      </w:r>
      <w:r w:rsidRPr="00365D34">
        <w:rPr>
          <w:lang w:val="en-GB"/>
        </w:rPr>
        <w:t xml:space="preserve">, due to frequency deviation or depletion of reserves, </w:t>
      </w:r>
      <w:r w:rsidR="00F13378" w:rsidRPr="00365D34">
        <w:rPr>
          <w:lang w:val="en-GB"/>
        </w:rPr>
        <w:t>t</w:t>
      </w:r>
      <w:r w:rsidR="00D60A39" w:rsidRPr="00365D34">
        <w:rPr>
          <w:lang w:val="en-GB"/>
        </w:rPr>
        <w:t>he ESO</w:t>
      </w:r>
      <w:r w:rsidR="00A66E39" w:rsidRPr="00365D34">
        <w:rPr>
          <w:lang w:val="en-GB"/>
        </w:rPr>
        <w:t xml:space="preserve"> will issue the appropriate National Electricity Transmission System Warning and actions as defined in the Grid Code to ensure that system needs and available reserve resources match.</w:t>
      </w:r>
    </w:p>
    <w:p w14:paraId="4F8C6346" w14:textId="77777777" w:rsidR="00761661" w:rsidRPr="00323B2A" w:rsidRDefault="00761661" w:rsidP="00A6017D">
      <w:pPr>
        <w:pStyle w:val="Artnr"/>
      </w:pPr>
    </w:p>
    <w:p w14:paraId="3BBDAC37" w14:textId="19701726" w:rsidR="00213845" w:rsidRPr="00323B2A" w:rsidRDefault="00323B2A">
      <w:pPr>
        <w:pStyle w:val="ArticleTitle"/>
      </w:pPr>
      <w:bookmarkStart w:id="50" w:name="_Toc514856573"/>
      <w:bookmarkStart w:id="51" w:name="_Toc517426358"/>
      <w:r>
        <w:t>T</w:t>
      </w:r>
      <w:r w:rsidR="00213845" w:rsidRPr="00323B2A">
        <w:t xml:space="preserve">he roles and responsibilities of the TSOs implementing an imbalance netting process, a cross-border FRR activation process or a cross-border RR activation process in accordance with </w:t>
      </w:r>
      <w:r w:rsidR="00273A0D">
        <w:t xml:space="preserve">SOGL </w:t>
      </w:r>
      <w:r w:rsidR="00213845" w:rsidRPr="00323B2A">
        <w:t>Article 149(2)</w:t>
      </w:r>
      <w:bookmarkEnd w:id="50"/>
      <w:bookmarkEnd w:id="51"/>
    </w:p>
    <w:p w14:paraId="035BC81B" w14:textId="4EB948B6" w:rsidR="00213845" w:rsidRPr="00365D34" w:rsidRDefault="00F13378" w:rsidP="006A7713">
      <w:pPr>
        <w:pStyle w:val="Paragrapgh-numbered"/>
        <w:numPr>
          <w:ilvl w:val="0"/>
          <w:numId w:val="24"/>
        </w:numPr>
        <w:rPr>
          <w:u w:val="single"/>
          <w:lang w:val="en-GB"/>
        </w:rPr>
      </w:pPr>
      <w:r w:rsidRPr="00365D34">
        <w:rPr>
          <w:lang w:val="en-GB"/>
        </w:rPr>
        <w:t>No</w:t>
      </w:r>
      <w:r w:rsidR="00BF5ED8" w:rsidRPr="00365D34">
        <w:rPr>
          <w:lang w:val="en-GB"/>
        </w:rPr>
        <w:t xml:space="preserve"> </w:t>
      </w:r>
      <w:r w:rsidRPr="00365D34">
        <w:rPr>
          <w:lang w:val="en-GB"/>
        </w:rPr>
        <w:t xml:space="preserve">Imbalance Netting </w:t>
      </w:r>
      <w:r w:rsidR="00BF5ED8" w:rsidRPr="00365D34">
        <w:rPr>
          <w:lang w:val="en-GB"/>
        </w:rPr>
        <w:t>Process</w:t>
      </w:r>
      <w:r w:rsidRPr="00365D34">
        <w:rPr>
          <w:lang w:val="en-GB"/>
        </w:rPr>
        <w:t xml:space="preserve"> is in place within GB or between GB and other LFC Blocks of other Synchronous Areas.</w:t>
      </w:r>
    </w:p>
    <w:p w14:paraId="73186F60" w14:textId="1386C12B" w:rsidR="00BF5ED8" w:rsidRPr="00365D34" w:rsidRDefault="00BF5ED8" w:rsidP="006A7713">
      <w:pPr>
        <w:pStyle w:val="Paragrapgh-numbered"/>
        <w:numPr>
          <w:ilvl w:val="0"/>
          <w:numId w:val="24"/>
        </w:numPr>
        <w:rPr>
          <w:lang w:val="en-GB"/>
        </w:rPr>
      </w:pPr>
      <w:r w:rsidRPr="00365D34">
        <w:rPr>
          <w:lang w:val="en-GB"/>
        </w:rPr>
        <w:t>FRR activation process</w:t>
      </w:r>
      <w:r w:rsidR="00F13378" w:rsidRPr="00365D34">
        <w:rPr>
          <w:lang w:val="en-GB"/>
        </w:rPr>
        <w:t>es used by the ESO</w:t>
      </w:r>
      <w:r w:rsidRPr="00365D34">
        <w:rPr>
          <w:lang w:val="en-GB"/>
        </w:rPr>
        <w:t xml:space="preserve"> </w:t>
      </w:r>
      <w:r w:rsidR="00F13378" w:rsidRPr="00365D34">
        <w:rPr>
          <w:lang w:val="en-GB"/>
        </w:rPr>
        <w:t xml:space="preserve">are </w:t>
      </w:r>
      <w:r w:rsidRPr="00365D34">
        <w:rPr>
          <w:lang w:val="en-GB"/>
        </w:rPr>
        <w:t xml:space="preserve">defined </w:t>
      </w:r>
      <w:r w:rsidR="00F13378" w:rsidRPr="00365D34">
        <w:rPr>
          <w:lang w:val="en-GB"/>
        </w:rPr>
        <w:t xml:space="preserve">in </w:t>
      </w:r>
      <w:r w:rsidRPr="00365D34">
        <w:rPr>
          <w:lang w:val="en-GB"/>
        </w:rPr>
        <w:t xml:space="preserve">interconnector operator protocols and agreed with </w:t>
      </w:r>
      <w:r w:rsidR="00D60A39" w:rsidRPr="00365D34">
        <w:rPr>
          <w:lang w:val="en-GB"/>
        </w:rPr>
        <w:t>the ESO</w:t>
      </w:r>
      <w:r w:rsidR="00F13378" w:rsidRPr="00365D34">
        <w:rPr>
          <w:lang w:val="en-GB"/>
        </w:rPr>
        <w:t xml:space="preserve"> in GB</w:t>
      </w:r>
      <w:r w:rsidRPr="00365D34">
        <w:rPr>
          <w:lang w:val="en-GB"/>
        </w:rPr>
        <w:t xml:space="preserve">, Interconnector </w:t>
      </w:r>
      <w:r w:rsidR="00F13378" w:rsidRPr="00365D34">
        <w:rPr>
          <w:lang w:val="en-GB"/>
        </w:rPr>
        <w:t xml:space="preserve">Owners, the connecting </w:t>
      </w:r>
      <w:r w:rsidRPr="00365D34">
        <w:rPr>
          <w:lang w:val="en-GB"/>
        </w:rPr>
        <w:t>TSO</w:t>
      </w:r>
      <w:r w:rsidR="00F13378" w:rsidRPr="00365D34">
        <w:rPr>
          <w:lang w:val="en-GB"/>
        </w:rPr>
        <w:t>s and where relevant affected TSOs</w:t>
      </w:r>
      <w:r w:rsidRPr="00365D34">
        <w:rPr>
          <w:lang w:val="en-GB"/>
        </w:rPr>
        <w:t>.</w:t>
      </w:r>
    </w:p>
    <w:p w14:paraId="030ADFF8" w14:textId="33AD56C7" w:rsidR="00F13378" w:rsidRPr="00365D34" w:rsidRDefault="00F13378" w:rsidP="006A7713">
      <w:pPr>
        <w:pStyle w:val="Paragrapgh-numbered"/>
        <w:numPr>
          <w:ilvl w:val="0"/>
          <w:numId w:val="24"/>
        </w:numPr>
        <w:rPr>
          <w:lang w:val="en-GB"/>
        </w:rPr>
      </w:pPr>
      <w:r w:rsidRPr="00365D34">
        <w:rPr>
          <w:lang w:val="en-GB"/>
        </w:rPr>
        <w:t>RR activation processes used by the ESO are defined in interconnector operator protocols and agreed with the ESO in GB, Interconnector Owners, the connecting TSOs and where relevant affected TSOs.</w:t>
      </w:r>
    </w:p>
    <w:p w14:paraId="23EA706B" w14:textId="77777777" w:rsidR="00761661" w:rsidRPr="00323B2A" w:rsidRDefault="00761661" w:rsidP="006A4139">
      <w:bookmarkStart w:id="52" w:name="_Toc514856575"/>
      <w:bookmarkStart w:id="53" w:name="_Toc517426360"/>
    </w:p>
    <w:p w14:paraId="618BB4F0" w14:textId="77777777" w:rsidR="00761661" w:rsidRPr="00323B2A" w:rsidRDefault="00761661" w:rsidP="00A6017D">
      <w:pPr>
        <w:pStyle w:val="Artnr"/>
      </w:pPr>
    </w:p>
    <w:p w14:paraId="76D6AFED" w14:textId="0DD56607" w:rsidR="00213845" w:rsidRPr="00323B2A" w:rsidRDefault="00323B2A">
      <w:pPr>
        <w:pStyle w:val="ArticleTitle"/>
      </w:pPr>
      <w:r>
        <w:t>R</w:t>
      </w:r>
      <w:r w:rsidR="00213845" w:rsidRPr="00323B2A">
        <w:t>equirements</w:t>
      </w:r>
      <w:r w:rsidR="00A05F47" w:rsidRPr="00323B2A">
        <w:t xml:space="preserve"> </w:t>
      </w:r>
      <w:r w:rsidR="00213845" w:rsidRPr="00323B2A">
        <w:t>concerning</w:t>
      </w:r>
      <w:r w:rsidR="00A05F47" w:rsidRPr="00323B2A">
        <w:t xml:space="preserve"> </w:t>
      </w:r>
      <w:r w:rsidR="00213845" w:rsidRPr="00323B2A">
        <w:t>the</w:t>
      </w:r>
      <w:r w:rsidR="00A05F47" w:rsidRPr="00323B2A">
        <w:t xml:space="preserve"> </w:t>
      </w:r>
      <w:r w:rsidR="00213845" w:rsidRPr="00323B2A">
        <w:t>availability,</w:t>
      </w:r>
      <w:r w:rsidR="00A05F47" w:rsidRPr="00323B2A">
        <w:t xml:space="preserve"> </w:t>
      </w:r>
      <w:r w:rsidR="00213845" w:rsidRPr="00323B2A">
        <w:t>reliability</w:t>
      </w:r>
      <w:r w:rsidR="00A05F47" w:rsidRPr="00323B2A">
        <w:t xml:space="preserve"> </w:t>
      </w:r>
      <w:r w:rsidR="00213845" w:rsidRPr="00323B2A">
        <w:t>and</w:t>
      </w:r>
      <w:r w:rsidR="00A05F47" w:rsidRPr="00323B2A">
        <w:t xml:space="preserve"> </w:t>
      </w:r>
      <w:r w:rsidR="00213845" w:rsidRPr="00323B2A">
        <w:t>redundancy</w:t>
      </w:r>
      <w:r w:rsidR="00A05F47" w:rsidRPr="00323B2A">
        <w:t xml:space="preserve"> </w:t>
      </w:r>
      <w:r w:rsidR="00213845" w:rsidRPr="00323B2A">
        <w:t>of</w:t>
      </w:r>
      <w:r w:rsidR="00A05F47" w:rsidRPr="00323B2A">
        <w:t xml:space="preserve"> </w:t>
      </w:r>
      <w:r w:rsidR="00213845" w:rsidRPr="00323B2A">
        <w:t xml:space="preserve">the technical infrastructure in accordance with </w:t>
      </w:r>
      <w:r w:rsidR="00273A0D">
        <w:t xml:space="preserve">SOGL </w:t>
      </w:r>
      <w:r w:rsidR="00213845" w:rsidRPr="00323B2A">
        <w:t>Article 151(2);</w:t>
      </w:r>
      <w:bookmarkEnd w:id="52"/>
      <w:bookmarkEnd w:id="53"/>
    </w:p>
    <w:p w14:paraId="49BD1515" w14:textId="5718A4CC" w:rsidR="00D855AB" w:rsidRDefault="00D855AB" w:rsidP="006A7713">
      <w:pPr>
        <w:pStyle w:val="Paragrapgh-numbered"/>
        <w:numPr>
          <w:ilvl w:val="0"/>
          <w:numId w:val="25"/>
        </w:numPr>
        <w:rPr>
          <w:rFonts w:eastAsiaTheme="minorHAnsi"/>
        </w:rPr>
      </w:pPr>
      <w:r w:rsidRPr="00365D34">
        <w:rPr>
          <w:rFonts w:eastAsiaTheme="minorHAnsi"/>
          <w:lang w:val="en-GB"/>
        </w:rPr>
        <w:t xml:space="preserve">All BM participants must ensure that appropriate electronic data communication facilities are in place to permit the submission of data as required by the Grid Code and Relevant Electrical Standards. Requirements for non-BM participants </w:t>
      </w:r>
      <w:r>
        <w:rPr>
          <w:rFonts w:eastAsiaTheme="minorHAnsi"/>
          <w:lang w:val="en-GB"/>
        </w:rPr>
        <w:t xml:space="preserve">shall be </w:t>
      </w:r>
      <w:r w:rsidRPr="00365D34">
        <w:rPr>
          <w:rFonts w:eastAsiaTheme="minorHAnsi"/>
          <w:lang w:val="en-GB"/>
        </w:rPr>
        <w:t xml:space="preserve">defined </w:t>
      </w:r>
      <w:r>
        <w:rPr>
          <w:rFonts w:eastAsiaTheme="minorHAnsi"/>
          <w:lang w:val="en-GB"/>
        </w:rPr>
        <w:t xml:space="preserve">by </w:t>
      </w:r>
      <w:r w:rsidRPr="00365D34">
        <w:rPr>
          <w:rFonts w:eastAsiaTheme="minorHAnsi"/>
          <w:lang w:val="en-GB"/>
        </w:rPr>
        <w:t>Bilateral agreement</w:t>
      </w:r>
      <w:r>
        <w:rPr>
          <w:rFonts w:eastAsiaTheme="minorHAnsi"/>
          <w:lang w:val="en-GB"/>
        </w:rPr>
        <w:t>s</w:t>
      </w:r>
      <w:r w:rsidRPr="00365D34">
        <w:rPr>
          <w:rFonts w:eastAsiaTheme="minorHAnsi"/>
          <w:lang w:val="en-GB"/>
        </w:rPr>
        <w:t>.</w:t>
      </w:r>
      <w:r w:rsidR="009B7BC0">
        <w:rPr>
          <w:rFonts w:eastAsiaTheme="minorHAnsi"/>
          <w:lang w:val="en-GB"/>
        </w:rPr>
        <w:t xml:space="preserve"> National Grid shall maintain compliance standards as detailed in internal Business Requirements Documents.</w:t>
      </w:r>
    </w:p>
    <w:p w14:paraId="63B9A6E6" w14:textId="26259DA0" w:rsidR="00213845" w:rsidRPr="00365D34" w:rsidRDefault="00D855AB" w:rsidP="006A7713">
      <w:pPr>
        <w:pStyle w:val="Paragrapgh-numbered"/>
        <w:numPr>
          <w:ilvl w:val="0"/>
          <w:numId w:val="25"/>
        </w:numPr>
        <w:rPr>
          <w:rFonts w:eastAsiaTheme="minorHAnsi"/>
        </w:rPr>
      </w:pPr>
      <w:r w:rsidRPr="00365D34">
        <w:rPr>
          <w:rFonts w:eastAsiaTheme="minorHAnsi"/>
          <w:lang w:val="en-GB"/>
        </w:rPr>
        <w:t xml:space="preserve">The </w:t>
      </w:r>
      <w:r w:rsidR="003366F9">
        <w:rPr>
          <w:rFonts w:eastAsiaTheme="minorHAnsi"/>
          <w:lang w:val="en-GB"/>
        </w:rPr>
        <w:t xml:space="preserve">minimum requirements for the availability, reliability and redundancy of the technical infrastructure shall be in line with the CNI Architecture Principles. The quality </w:t>
      </w:r>
      <w:r w:rsidR="009B7BC0">
        <w:rPr>
          <w:rFonts w:eastAsiaTheme="minorHAnsi"/>
          <w:lang w:val="en-GB"/>
        </w:rPr>
        <w:t xml:space="preserve">standards </w:t>
      </w:r>
      <w:r w:rsidR="009B7BC0" w:rsidRPr="00365D34">
        <w:rPr>
          <w:rFonts w:eastAsiaTheme="minorHAnsi"/>
          <w:lang w:val="en-GB"/>
        </w:rPr>
        <w:t>shall</w:t>
      </w:r>
      <w:r w:rsidRPr="00365D34">
        <w:rPr>
          <w:rFonts w:eastAsiaTheme="minorHAnsi"/>
          <w:lang w:val="en-GB"/>
        </w:rPr>
        <w:t xml:space="preserve"> be in accordance with the GE Standards XA. Availability and redundancy of communication infrastructure shall be in accordance with the National Grid Technical Specification NG TS 3.24.20.  Finally, all communication protocols must comply with standard protocols ICCP-1996, IEC101 and GI-74. </w:t>
      </w:r>
    </w:p>
    <w:p w14:paraId="10084CFD" w14:textId="77777777" w:rsidR="00761661" w:rsidRPr="00323B2A" w:rsidRDefault="00761661" w:rsidP="00A6017D">
      <w:pPr>
        <w:pStyle w:val="Artnr"/>
      </w:pPr>
      <w:bookmarkStart w:id="54" w:name="_Toc514856577"/>
      <w:bookmarkStart w:id="55" w:name="_Toc517426362"/>
    </w:p>
    <w:p w14:paraId="6444C3CF" w14:textId="652857DF" w:rsidR="00213845" w:rsidRPr="00323B2A" w:rsidRDefault="00323B2A">
      <w:pPr>
        <w:pStyle w:val="ArticleTitle"/>
      </w:pPr>
      <w:r>
        <w:t>C</w:t>
      </w:r>
      <w:r w:rsidR="00213845" w:rsidRPr="00323B2A">
        <w:t>ommon rules for the</w:t>
      </w:r>
      <w:r w:rsidR="00A05F47" w:rsidRPr="00323B2A">
        <w:t xml:space="preserve"> </w:t>
      </w:r>
      <w:r w:rsidR="00213845" w:rsidRPr="00323B2A">
        <w:t>operation in</w:t>
      </w:r>
      <w:r w:rsidR="00A05F47" w:rsidRPr="00323B2A">
        <w:t xml:space="preserve"> </w:t>
      </w:r>
      <w:r w:rsidR="00213845" w:rsidRPr="00323B2A">
        <w:t>normal</w:t>
      </w:r>
      <w:r w:rsidR="00A05F47" w:rsidRPr="00323B2A">
        <w:t xml:space="preserve"> </w:t>
      </w:r>
      <w:r w:rsidR="00213845" w:rsidRPr="00323B2A">
        <w:t>state and</w:t>
      </w:r>
      <w:r w:rsidR="00A05F47" w:rsidRPr="00323B2A">
        <w:t xml:space="preserve"> </w:t>
      </w:r>
      <w:r w:rsidR="00213845" w:rsidRPr="00323B2A">
        <w:t>alert</w:t>
      </w:r>
      <w:r w:rsidR="00A05F47" w:rsidRPr="00323B2A">
        <w:t xml:space="preserve"> </w:t>
      </w:r>
      <w:r w:rsidR="00213845" w:rsidRPr="00323B2A">
        <w:t>state</w:t>
      </w:r>
      <w:r w:rsidR="00A05F47" w:rsidRPr="00323B2A">
        <w:t xml:space="preserve"> </w:t>
      </w:r>
      <w:r w:rsidR="00213845" w:rsidRPr="00323B2A">
        <w:t>in</w:t>
      </w:r>
      <w:r w:rsidR="00A05F47" w:rsidRPr="00323B2A">
        <w:t xml:space="preserve"> </w:t>
      </w:r>
      <w:r w:rsidR="00213845" w:rsidRPr="00323B2A">
        <w:t xml:space="preserve">accordance with Article 152(6) and the actions referred to in </w:t>
      </w:r>
      <w:r w:rsidR="00273A0D">
        <w:t xml:space="preserve">SOGL </w:t>
      </w:r>
      <w:r w:rsidR="00213845" w:rsidRPr="00323B2A">
        <w:t>Article 152(15);</w:t>
      </w:r>
      <w:bookmarkEnd w:id="54"/>
      <w:bookmarkEnd w:id="55"/>
    </w:p>
    <w:p w14:paraId="786B4B09" w14:textId="1BE6E710" w:rsidR="00213845" w:rsidRPr="00365D34" w:rsidRDefault="00202827" w:rsidP="006A7713">
      <w:pPr>
        <w:pStyle w:val="Paragrapgh-numbered"/>
        <w:numPr>
          <w:ilvl w:val="0"/>
          <w:numId w:val="43"/>
        </w:numPr>
        <w:rPr>
          <w:rFonts w:eastAsiaTheme="minorHAnsi"/>
          <w:lang w:val="en-GB"/>
        </w:rPr>
      </w:pPr>
      <w:r w:rsidRPr="00365D34">
        <w:rPr>
          <w:rFonts w:eastAsiaTheme="minorHAnsi"/>
          <w:lang w:val="en-GB"/>
        </w:rPr>
        <w:t xml:space="preserve">Common rules for normal state as defined by SOGL Article 18 are </w:t>
      </w:r>
      <w:r w:rsidR="00323B2A">
        <w:rPr>
          <w:rFonts w:eastAsiaTheme="minorHAnsi"/>
          <w:lang w:val="en-GB"/>
        </w:rPr>
        <w:t xml:space="preserve">the general nature of Load, Frequency Control. </w:t>
      </w:r>
      <w:r w:rsidR="00D855AB">
        <w:rPr>
          <w:rFonts w:eastAsiaTheme="minorHAnsi"/>
          <w:lang w:val="en-GB"/>
        </w:rPr>
        <w:t xml:space="preserve">The </w:t>
      </w:r>
      <w:r w:rsidR="008E7123">
        <w:rPr>
          <w:rFonts w:eastAsiaTheme="minorHAnsi"/>
          <w:lang w:val="en-GB"/>
        </w:rPr>
        <w:t>SAOM</w:t>
      </w:r>
      <w:r w:rsidR="00323B2A">
        <w:rPr>
          <w:rFonts w:eastAsiaTheme="minorHAnsi"/>
          <w:lang w:val="en-GB"/>
        </w:rPr>
        <w:t xml:space="preserve"> Article 18 defines the general control structures used in a normal state.</w:t>
      </w:r>
    </w:p>
    <w:p w14:paraId="472A831E" w14:textId="043B1154" w:rsidR="00202827" w:rsidRPr="00365D34" w:rsidRDefault="00202827" w:rsidP="006A7713">
      <w:pPr>
        <w:pStyle w:val="Paragrapgh-numbered"/>
        <w:numPr>
          <w:ilvl w:val="0"/>
          <w:numId w:val="43"/>
        </w:numPr>
        <w:rPr>
          <w:rFonts w:eastAsiaTheme="minorHAnsi"/>
          <w:lang w:val="en-GB"/>
        </w:rPr>
      </w:pPr>
      <w:r w:rsidRPr="00365D34">
        <w:rPr>
          <w:rFonts w:eastAsiaTheme="minorHAnsi"/>
          <w:lang w:val="en-GB"/>
        </w:rPr>
        <w:t xml:space="preserve">Common rules for the alert state as defined by SOGL Article 18 are as per </w:t>
      </w:r>
      <w:r w:rsidR="008E7123">
        <w:rPr>
          <w:rFonts w:eastAsiaTheme="minorHAnsi"/>
          <w:lang w:val="en-GB"/>
        </w:rPr>
        <w:t>SAOM</w:t>
      </w:r>
      <w:r w:rsidRPr="00365D34">
        <w:rPr>
          <w:rFonts w:eastAsiaTheme="minorHAnsi"/>
          <w:lang w:val="en-GB"/>
        </w:rPr>
        <w:t xml:space="preserve"> Article 2</w:t>
      </w:r>
      <w:r w:rsidR="00D855AB">
        <w:rPr>
          <w:rFonts w:eastAsiaTheme="minorHAnsi"/>
          <w:lang w:val="en-GB"/>
        </w:rPr>
        <w:t>1.</w:t>
      </w:r>
      <w:r w:rsidRPr="00365D34">
        <w:rPr>
          <w:rFonts w:eastAsiaTheme="minorHAnsi"/>
          <w:lang w:val="en-GB"/>
        </w:rPr>
        <w:t xml:space="preserve"> </w:t>
      </w:r>
    </w:p>
    <w:p w14:paraId="44F4F0A3" w14:textId="77777777" w:rsidR="00202827" w:rsidRPr="00365D34" w:rsidRDefault="00202827" w:rsidP="006A4139">
      <w:pPr>
        <w:pStyle w:val="Paragrapgh-numbered"/>
        <w:ind w:left="360"/>
        <w:rPr>
          <w:rFonts w:eastAsiaTheme="minorHAnsi"/>
          <w:lang w:val="en-GB"/>
        </w:rPr>
      </w:pPr>
    </w:p>
    <w:p w14:paraId="76E8564E" w14:textId="77777777" w:rsidR="00761661" w:rsidRPr="00323B2A" w:rsidRDefault="00761661" w:rsidP="00A6017D">
      <w:pPr>
        <w:pStyle w:val="Artnr"/>
      </w:pPr>
      <w:bookmarkStart w:id="56" w:name="_Toc517426364"/>
      <w:bookmarkStart w:id="57" w:name="_Toc514856579"/>
    </w:p>
    <w:p w14:paraId="03C075C9" w14:textId="541BE021" w:rsidR="00213845" w:rsidRPr="00323B2A" w:rsidRDefault="00323B2A">
      <w:pPr>
        <w:pStyle w:val="ArticleTitle"/>
      </w:pPr>
      <w:r>
        <w:t>F</w:t>
      </w:r>
      <w:r w:rsidR="00213845" w:rsidRPr="00323B2A">
        <w:t xml:space="preserve">or the CE and Nordic synchronous areas, the minimum activation period to be ensured by FCR providers in accordance with </w:t>
      </w:r>
      <w:r w:rsidR="00273A0D">
        <w:t xml:space="preserve">SOGL </w:t>
      </w:r>
      <w:r w:rsidR="00213845" w:rsidRPr="00323B2A">
        <w:t>Article 156(10);</w:t>
      </w:r>
      <w:bookmarkEnd w:id="56"/>
      <w:bookmarkEnd w:id="57"/>
    </w:p>
    <w:p w14:paraId="269C54BA" w14:textId="4F35D651" w:rsidR="00213845" w:rsidRPr="00365D34" w:rsidRDefault="001C7A50" w:rsidP="006A7713">
      <w:pPr>
        <w:pStyle w:val="Paragrapgh-numbered"/>
        <w:numPr>
          <w:ilvl w:val="0"/>
          <w:numId w:val="26"/>
        </w:numPr>
        <w:rPr>
          <w:rFonts w:eastAsiaTheme="minorHAnsi"/>
          <w:lang w:val="en-GB"/>
        </w:rPr>
      </w:pPr>
      <w:r>
        <w:rPr>
          <w:rFonts w:eastAsiaTheme="minorHAnsi"/>
          <w:lang w:val="en-GB"/>
        </w:rPr>
        <w:t xml:space="preserve">SOGL </w:t>
      </w:r>
      <w:r w:rsidR="000F4C7B">
        <w:rPr>
          <w:rFonts w:eastAsiaTheme="minorHAnsi"/>
          <w:lang w:val="en-GB"/>
        </w:rPr>
        <w:t xml:space="preserve">Article </w:t>
      </w:r>
      <w:r>
        <w:rPr>
          <w:rFonts w:eastAsiaTheme="minorHAnsi"/>
          <w:lang w:val="en-GB"/>
        </w:rPr>
        <w:t xml:space="preserve">156(10) </w:t>
      </w:r>
      <w:r w:rsidR="000F4C7B">
        <w:rPr>
          <w:rFonts w:eastAsiaTheme="minorHAnsi"/>
          <w:lang w:val="en-GB"/>
        </w:rPr>
        <w:t xml:space="preserve">is not applicable to this document. </w:t>
      </w:r>
    </w:p>
    <w:p w14:paraId="1DCC766F" w14:textId="77777777" w:rsidR="00761661" w:rsidRPr="00323B2A" w:rsidRDefault="00761661" w:rsidP="00A6017D">
      <w:pPr>
        <w:pStyle w:val="Artnr"/>
      </w:pPr>
      <w:bookmarkStart w:id="58" w:name="_Toc514856581"/>
      <w:bookmarkStart w:id="59" w:name="_Toc517426366"/>
    </w:p>
    <w:p w14:paraId="566B2B6D" w14:textId="488862A3" w:rsidR="00213845" w:rsidRPr="00323B2A" w:rsidRDefault="00323B2A">
      <w:pPr>
        <w:pStyle w:val="ArticleTitle"/>
      </w:pPr>
      <w:r>
        <w:t>F</w:t>
      </w:r>
      <w:r w:rsidR="00213845" w:rsidRPr="00323B2A">
        <w:t xml:space="preserve">or the CE and Nordic synchronous areas, the assumptions and methodology for a cost-benefit analysis in accordance with </w:t>
      </w:r>
      <w:r w:rsidR="00273A0D">
        <w:t xml:space="preserve">SOGL </w:t>
      </w:r>
      <w:r w:rsidR="00213845" w:rsidRPr="00323B2A">
        <w:t>Article 156(11);</w:t>
      </w:r>
      <w:bookmarkEnd w:id="58"/>
      <w:bookmarkEnd w:id="59"/>
    </w:p>
    <w:p w14:paraId="58B2038E" w14:textId="25B8B6B2" w:rsidR="00213845" w:rsidRPr="00365D34" w:rsidRDefault="001C7A50" w:rsidP="006A7713">
      <w:pPr>
        <w:pStyle w:val="Paragrapgh-numbered"/>
        <w:numPr>
          <w:ilvl w:val="0"/>
          <w:numId w:val="27"/>
        </w:numPr>
        <w:rPr>
          <w:rFonts w:eastAsiaTheme="minorHAnsi"/>
          <w:lang w:val="en-GB"/>
        </w:rPr>
      </w:pPr>
      <w:r>
        <w:rPr>
          <w:rFonts w:eastAsiaTheme="minorHAnsi"/>
          <w:lang w:val="en-GB"/>
        </w:rPr>
        <w:t xml:space="preserve">SOGL </w:t>
      </w:r>
      <w:r w:rsidR="000F4C7B">
        <w:rPr>
          <w:rFonts w:eastAsiaTheme="minorHAnsi"/>
          <w:lang w:val="en-GB"/>
        </w:rPr>
        <w:t xml:space="preserve">Article </w:t>
      </w:r>
      <w:r>
        <w:rPr>
          <w:rFonts w:eastAsiaTheme="minorHAnsi"/>
          <w:lang w:val="en-GB"/>
        </w:rPr>
        <w:t xml:space="preserve">156(11) </w:t>
      </w:r>
      <w:r w:rsidR="000F4C7B">
        <w:rPr>
          <w:rFonts w:eastAsiaTheme="minorHAnsi"/>
          <w:lang w:val="en-GB"/>
        </w:rPr>
        <w:t xml:space="preserve">is not applicable to this document. </w:t>
      </w:r>
    </w:p>
    <w:p w14:paraId="2B0C53A5" w14:textId="77777777" w:rsidR="00761661" w:rsidRPr="00323B2A" w:rsidRDefault="00761661" w:rsidP="00A6017D">
      <w:pPr>
        <w:pStyle w:val="Artnr"/>
      </w:pPr>
      <w:bookmarkStart w:id="60" w:name="_Toc514856584"/>
      <w:bookmarkStart w:id="61" w:name="_Toc517426368"/>
    </w:p>
    <w:p w14:paraId="403F45FD" w14:textId="64ECE2C4" w:rsidR="00213845" w:rsidRPr="00323B2A" w:rsidRDefault="00323B2A">
      <w:pPr>
        <w:pStyle w:val="ArticleTitle"/>
      </w:pPr>
      <w:r>
        <w:t>T</w:t>
      </w:r>
      <w:r w:rsidR="00213845" w:rsidRPr="00323B2A">
        <w:t>he</w:t>
      </w:r>
      <w:r w:rsidR="00A05F47" w:rsidRPr="00323B2A">
        <w:t xml:space="preserve"> </w:t>
      </w:r>
      <w:r w:rsidR="00213845" w:rsidRPr="00323B2A">
        <w:t>roles</w:t>
      </w:r>
      <w:r w:rsidR="00A05F47" w:rsidRPr="00323B2A">
        <w:t xml:space="preserve"> </w:t>
      </w:r>
      <w:r w:rsidR="00213845" w:rsidRPr="00323B2A">
        <w:t>and</w:t>
      </w:r>
      <w:r w:rsidR="00A05F47" w:rsidRPr="00323B2A">
        <w:t xml:space="preserve"> </w:t>
      </w:r>
      <w:r w:rsidR="00213845" w:rsidRPr="00323B2A">
        <w:t>responsibilities</w:t>
      </w:r>
      <w:r w:rsidR="00A05F47" w:rsidRPr="00323B2A">
        <w:t xml:space="preserve"> </w:t>
      </w:r>
      <w:r w:rsidR="00213845" w:rsidRPr="00323B2A">
        <w:t>of</w:t>
      </w:r>
      <w:r w:rsidR="00A05F47" w:rsidRPr="00323B2A">
        <w:t xml:space="preserve"> </w:t>
      </w:r>
      <w:r w:rsidR="00213845" w:rsidRPr="00323B2A">
        <w:t>the</w:t>
      </w:r>
      <w:r w:rsidR="00A05F47" w:rsidRPr="00323B2A">
        <w:t xml:space="preserve"> </w:t>
      </w:r>
      <w:r w:rsidR="00213845" w:rsidRPr="00323B2A">
        <w:t>reserve</w:t>
      </w:r>
      <w:r w:rsidR="00A05F47" w:rsidRPr="00323B2A">
        <w:t xml:space="preserve"> </w:t>
      </w:r>
      <w:r w:rsidR="00213845" w:rsidRPr="00323B2A">
        <w:t>connecting</w:t>
      </w:r>
      <w:r w:rsidR="00A05F47" w:rsidRPr="00323B2A">
        <w:t xml:space="preserve"> </w:t>
      </w:r>
      <w:r w:rsidR="00213845" w:rsidRPr="00323B2A">
        <w:t>TSO,</w:t>
      </w:r>
      <w:r w:rsidR="00A05F47" w:rsidRPr="00323B2A">
        <w:t xml:space="preserve"> </w:t>
      </w:r>
      <w:r w:rsidR="00213845" w:rsidRPr="00323B2A">
        <w:t>the</w:t>
      </w:r>
      <w:r w:rsidR="00A05F47" w:rsidRPr="00323B2A">
        <w:t xml:space="preserve"> </w:t>
      </w:r>
      <w:r w:rsidR="00213845" w:rsidRPr="00323B2A">
        <w:t xml:space="preserve">reserve receiving TSO and the affected TSO as regards the exchange of FRR and RR </w:t>
      </w:r>
      <w:r w:rsidR="002B31D7">
        <w:t xml:space="preserve">within a synchronous area </w:t>
      </w:r>
      <w:r w:rsidR="00213845" w:rsidRPr="00323B2A">
        <w:t xml:space="preserve">defined in </w:t>
      </w:r>
      <w:r w:rsidR="00761661" w:rsidRPr="00323B2A">
        <w:t>a</w:t>
      </w:r>
      <w:r w:rsidR="00213845" w:rsidRPr="00323B2A">
        <w:t xml:space="preserve">ccordance with </w:t>
      </w:r>
      <w:r w:rsidR="00273A0D">
        <w:t xml:space="preserve">SOGL </w:t>
      </w:r>
      <w:r w:rsidR="00213845" w:rsidRPr="00323B2A">
        <w:t>Article 165(1);</w:t>
      </w:r>
      <w:bookmarkEnd w:id="60"/>
      <w:bookmarkEnd w:id="61"/>
    </w:p>
    <w:p w14:paraId="3334DA6C" w14:textId="77777777" w:rsidR="001C7A50" w:rsidRDefault="001C7A50" w:rsidP="006A7713">
      <w:pPr>
        <w:pStyle w:val="Paragrapgh-numbered"/>
        <w:numPr>
          <w:ilvl w:val="0"/>
          <w:numId w:val="28"/>
        </w:numPr>
        <w:rPr>
          <w:lang w:val="en-GB"/>
        </w:rPr>
      </w:pPr>
      <w:r>
        <w:rPr>
          <w:lang w:val="en-GB"/>
        </w:rPr>
        <w:t>SOGL</w:t>
      </w:r>
      <w:r w:rsidR="000F4C7B">
        <w:rPr>
          <w:lang w:val="en-GB"/>
        </w:rPr>
        <w:t xml:space="preserve"> </w:t>
      </w:r>
      <w:r>
        <w:rPr>
          <w:lang w:val="en-GB"/>
        </w:rPr>
        <w:t>A</w:t>
      </w:r>
      <w:r w:rsidR="000F4C7B">
        <w:rPr>
          <w:lang w:val="en-GB"/>
        </w:rPr>
        <w:t xml:space="preserve">rticle </w:t>
      </w:r>
      <w:r>
        <w:rPr>
          <w:lang w:val="en-GB"/>
        </w:rPr>
        <w:t xml:space="preserve">165(1) </w:t>
      </w:r>
      <w:r w:rsidR="000F4C7B">
        <w:rPr>
          <w:lang w:val="en-GB"/>
        </w:rPr>
        <w:t xml:space="preserve">is not applicable in this document. </w:t>
      </w:r>
    </w:p>
    <w:p w14:paraId="263C31AB" w14:textId="167C2219" w:rsidR="00213845" w:rsidRPr="00365D34" w:rsidRDefault="005A6235" w:rsidP="006A7713">
      <w:pPr>
        <w:pStyle w:val="Paragrapgh-numbered"/>
        <w:numPr>
          <w:ilvl w:val="0"/>
          <w:numId w:val="28"/>
        </w:numPr>
        <w:rPr>
          <w:lang w:val="en-GB"/>
        </w:rPr>
      </w:pPr>
      <w:r w:rsidRPr="00365D34">
        <w:rPr>
          <w:lang w:val="en-GB"/>
        </w:rPr>
        <w:t xml:space="preserve">In the scope of </w:t>
      </w:r>
      <w:r w:rsidR="00323B2A">
        <w:rPr>
          <w:lang w:val="en-GB"/>
        </w:rPr>
        <w:t xml:space="preserve">SOGL </w:t>
      </w:r>
      <w:r w:rsidRPr="00365D34">
        <w:rPr>
          <w:lang w:val="en-GB"/>
        </w:rPr>
        <w:t xml:space="preserve">Article 165 with regards to Exchange of FRR and RR between TSO within a Synchronous Area this </w:t>
      </w:r>
      <w:r w:rsidR="00775349">
        <w:rPr>
          <w:lang w:val="en-GB"/>
        </w:rPr>
        <w:t>Article</w:t>
      </w:r>
      <w:r w:rsidRPr="00365D34">
        <w:rPr>
          <w:lang w:val="en-GB"/>
        </w:rPr>
        <w:t xml:space="preserve"> is not applicable</w:t>
      </w:r>
      <w:r w:rsidR="00323B2A">
        <w:rPr>
          <w:lang w:val="en-GB"/>
        </w:rPr>
        <w:t xml:space="preserve">, </w:t>
      </w:r>
      <w:r w:rsidR="00323B2A" w:rsidRPr="00033DF9">
        <w:rPr>
          <w:rFonts w:eastAsiaTheme="minorHAnsi"/>
          <w:lang w:val="en-GB"/>
        </w:rPr>
        <w:t>since the LF Block Structure has a single LF Block and single LF Area within the Synchronous Area of GB</w:t>
      </w:r>
      <w:r w:rsidRPr="00365D34">
        <w:rPr>
          <w:lang w:val="en-GB"/>
        </w:rPr>
        <w:t xml:space="preserve">. </w:t>
      </w:r>
    </w:p>
    <w:p w14:paraId="7D1D57B3" w14:textId="77777777" w:rsidR="00761661" w:rsidRPr="00323B2A" w:rsidRDefault="00761661" w:rsidP="00A6017D">
      <w:pPr>
        <w:pStyle w:val="Artnr"/>
      </w:pPr>
      <w:bookmarkStart w:id="62" w:name="_Toc514856586"/>
      <w:bookmarkStart w:id="63" w:name="_Toc517426370"/>
    </w:p>
    <w:p w14:paraId="6E4A326D" w14:textId="181C26A9" w:rsidR="00213845" w:rsidRPr="00323B2A" w:rsidRDefault="00D855AB">
      <w:pPr>
        <w:pStyle w:val="ArticleTitle"/>
      </w:pPr>
      <w:r>
        <w:t>T</w:t>
      </w:r>
      <w:r w:rsidRPr="00323B2A">
        <w:t xml:space="preserve">he </w:t>
      </w:r>
      <w:r w:rsidR="00213845" w:rsidRPr="00323B2A">
        <w:t>roles</w:t>
      </w:r>
      <w:r w:rsidR="00A05F47" w:rsidRPr="00323B2A">
        <w:t xml:space="preserve"> </w:t>
      </w:r>
      <w:r w:rsidR="00213845" w:rsidRPr="00323B2A">
        <w:t>and</w:t>
      </w:r>
      <w:r w:rsidR="00A05F47" w:rsidRPr="00323B2A">
        <w:t xml:space="preserve"> </w:t>
      </w:r>
      <w:r w:rsidR="00213845" w:rsidRPr="00323B2A">
        <w:t>responsibilities</w:t>
      </w:r>
      <w:r w:rsidR="00A05F47" w:rsidRPr="00323B2A">
        <w:t xml:space="preserve"> </w:t>
      </w:r>
      <w:r w:rsidR="00213845" w:rsidRPr="00323B2A">
        <w:t>of</w:t>
      </w:r>
      <w:r w:rsidR="00A05F47" w:rsidRPr="00323B2A">
        <w:t xml:space="preserve"> </w:t>
      </w:r>
      <w:r w:rsidR="00213845" w:rsidRPr="00323B2A">
        <w:t>the</w:t>
      </w:r>
      <w:r w:rsidR="00A05F47" w:rsidRPr="00323B2A">
        <w:t xml:space="preserve"> </w:t>
      </w:r>
      <w:r w:rsidR="00213845" w:rsidRPr="00323B2A">
        <w:t>control</w:t>
      </w:r>
      <w:r w:rsidR="00A05F47" w:rsidRPr="00323B2A">
        <w:t xml:space="preserve"> </w:t>
      </w:r>
      <w:r w:rsidR="00213845" w:rsidRPr="00323B2A">
        <w:t>capability</w:t>
      </w:r>
      <w:r w:rsidR="00A05F47" w:rsidRPr="00323B2A">
        <w:t xml:space="preserve"> </w:t>
      </w:r>
      <w:r w:rsidR="00213845" w:rsidRPr="00323B2A">
        <w:t>providing</w:t>
      </w:r>
      <w:r w:rsidR="00A05F47" w:rsidRPr="00323B2A">
        <w:t xml:space="preserve"> </w:t>
      </w:r>
      <w:r w:rsidR="00213845" w:rsidRPr="00323B2A">
        <w:t>TSO,</w:t>
      </w:r>
      <w:r w:rsidR="00A05F47" w:rsidRPr="00323B2A">
        <w:t xml:space="preserve"> </w:t>
      </w:r>
      <w:r w:rsidR="00213845" w:rsidRPr="00323B2A">
        <w:t xml:space="preserve">the control capability receiving TSO and the affected TSO for the sharing of FRR and RR defined in accordance with </w:t>
      </w:r>
      <w:r w:rsidR="00273A0D">
        <w:t xml:space="preserve">SOGL </w:t>
      </w:r>
      <w:r w:rsidR="00213845" w:rsidRPr="00323B2A">
        <w:t>Article 166(1);</w:t>
      </w:r>
      <w:bookmarkEnd w:id="62"/>
      <w:bookmarkEnd w:id="63"/>
    </w:p>
    <w:p w14:paraId="2CFA5193" w14:textId="77777777" w:rsidR="001C7A50" w:rsidRDefault="001C7A50" w:rsidP="006A7713">
      <w:pPr>
        <w:pStyle w:val="Paragrapgh-numbered"/>
        <w:numPr>
          <w:ilvl w:val="0"/>
          <w:numId w:val="29"/>
        </w:numPr>
        <w:rPr>
          <w:rFonts w:eastAsiaTheme="minorHAnsi"/>
          <w:lang w:val="en-GB"/>
        </w:rPr>
      </w:pPr>
      <w:r>
        <w:rPr>
          <w:rFonts w:eastAsiaTheme="minorHAnsi"/>
          <w:lang w:val="en-GB"/>
        </w:rPr>
        <w:t>SOGL</w:t>
      </w:r>
      <w:r w:rsidR="000F4C7B">
        <w:rPr>
          <w:rFonts w:eastAsiaTheme="minorHAnsi"/>
          <w:lang w:val="en-GB"/>
        </w:rPr>
        <w:t xml:space="preserve"> Article </w:t>
      </w:r>
      <w:r>
        <w:rPr>
          <w:rFonts w:eastAsiaTheme="minorHAnsi"/>
          <w:lang w:val="en-GB"/>
        </w:rPr>
        <w:t xml:space="preserve">166(1) </w:t>
      </w:r>
      <w:r w:rsidR="000F4C7B">
        <w:rPr>
          <w:rFonts w:eastAsiaTheme="minorHAnsi"/>
          <w:lang w:val="en-GB"/>
        </w:rPr>
        <w:t xml:space="preserve">is not applicable to this document.  </w:t>
      </w:r>
    </w:p>
    <w:p w14:paraId="7CB68BFA" w14:textId="62FD5D8A" w:rsidR="00213845" w:rsidRPr="00365D34" w:rsidRDefault="000F4C7B" w:rsidP="006A7713">
      <w:pPr>
        <w:pStyle w:val="Paragrapgh-numbered"/>
        <w:numPr>
          <w:ilvl w:val="0"/>
          <w:numId w:val="29"/>
        </w:numPr>
        <w:rPr>
          <w:rFonts w:eastAsiaTheme="minorHAnsi"/>
          <w:lang w:val="en-GB"/>
        </w:rPr>
      </w:pPr>
      <w:r>
        <w:rPr>
          <w:rFonts w:eastAsiaTheme="minorHAnsi"/>
          <w:lang w:val="en-GB"/>
        </w:rPr>
        <w:t>The LF Block Structure has a single LF Block and single LF Area within the Synchronous Area of GB</w:t>
      </w:r>
      <w:r w:rsidR="00213845" w:rsidRPr="00365D34">
        <w:rPr>
          <w:rFonts w:eastAsiaTheme="minorHAnsi"/>
          <w:lang w:val="en-GB"/>
        </w:rPr>
        <w:t xml:space="preserve">. </w:t>
      </w:r>
    </w:p>
    <w:p w14:paraId="0224F6DA" w14:textId="77777777" w:rsidR="00213845" w:rsidRPr="00323B2A" w:rsidRDefault="00213845" w:rsidP="00B73FC6">
      <w:pPr>
        <w:pStyle w:val="MMTopic5"/>
        <w:spacing w:line="240" w:lineRule="auto"/>
      </w:pPr>
    </w:p>
    <w:p w14:paraId="40C791B2" w14:textId="77777777" w:rsidR="00761661" w:rsidRPr="00323B2A" w:rsidRDefault="00761661" w:rsidP="00A6017D">
      <w:pPr>
        <w:pStyle w:val="Artnr"/>
      </w:pPr>
      <w:bookmarkStart w:id="64" w:name="_Toc514856588"/>
      <w:bookmarkStart w:id="65" w:name="_Toc517426372"/>
    </w:p>
    <w:p w14:paraId="5F1EB494" w14:textId="4C80AE61" w:rsidR="00213845" w:rsidRPr="00323B2A" w:rsidRDefault="00323B2A">
      <w:pPr>
        <w:pStyle w:val="ArticleTitle"/>
      </w:pPr>
      <w:r>
        <w:t>T</w:t>
      </w:r>
      <w:r w:rsidR="00213845" w:rsidRPr="00323B2A">
        <w:t>he roles and responsibilities of the reserve connecting TSO, the reserve receiving TSO and the affected TSO for the exchange of reserves between synchronous areas, and of the control capability providing TSO, the control capability</w:t>
      </w:r>
      <w:r w:rsidR="00A05F47" w:rsidRPr="00323B2A">
        <w:t xml:space="preserve"> </w:t>
      </w:r>
      <w:r w:rsidR="00213845" w:rsidRPr="00323B2A">
        <w:t>receiving</w:t>
      </w:r>
      <w:r w:rsidR="00A05F47" w:rsidRPr="00323B2A">
        <w:t xml:space="preserve"> </w:t>
      </w:r>
      <w:r w:rsidR="00213845" w:rsidRPr="00323B2A">
        <w:t>TSO</w:t>
      </w:r>
      <w:r w:rsidR="00A05F47" w:rsidRPr="00323B2A">
        <w:t xml:space="preserve"> </w:t>
      </w:r>
      <w:r w:rsidR="00213845" w:rsidRPr="00323B2A">
        <w:t>and</w:t>
      </w:r>
      <w:r w:rsidR="00A05F47" w:rsidRPr="00323B2A">
        <w:t xml:space="preserve"> </w:t>
      </w:r>
      <w:r w:rsidR="00213845" w:rsidRPr="00323B2A">
        <w:t>the</w:t>
      </w:r>
      <w:r w:rsidR="00A05F47" w:rsidRPr="00323B2A">
        <w:t xml:space="preserve"> </w:t>
      </w:r>
      <w:r w:rsidR="00213845" w:rsidRPr="00323B2A">
        <w:t>affected</w:t>
      </w:r>
      <w:r w:rsidR="00A05F47" w:rsidRPr="00323B2A">
        <w:t xml:space="preserve"> </w:t>
      </w:r>
      <w:r w:rsidR="00213845" w:rsidRPr="00323B2A">
        <w:t>TSO</w:t>
      </w:r>
      <w:r w:rsidR="00A05F47" w:rsidRPr="00323B2A">
        <w:t xml:space="preserve"> </w:t>
      </w:r>
      <w:r w:rsidR="00213845" w:rsidRPr="00323B2A">
        <w:t>for</w:t>
      </w:r>
      <w:r w:rsidR="00A05F47" w:rsidRPr="00323B2A">
        <w:t xml:space="preserve"> </w:t>
      </w:r>
      <w:r w:rsidR="00213845" w:rsidRPr="00323B2A">
        <w:t>the</w:t>
      </w:r>
      <w:r w:rsidR="00A05F47" w:rsidRPr="00323B2A">
        <w:t xml:space="preserve"> </w:t>
      </w:r>
      <w:r w:rsidR="00213845" w:rsidRPr="00323B2A">
        <w:t>sharing</w:t>
      </w:r>
      <w:r w:rsidR="00A05F47" w:rsidRPr="00323B2A">
        <w:t xml:space="preserve"> </w:t>
      </w:r>
      <w:r w:rsidR="00213845" w:rsidRPr="00323B2A">
        <w:t>of</w:t>
      </w:r>
      <w:r w:rsidR="00A05F47" w:rsidRPr="00323B2A">
        <w:t xml:space="preserve"> </w:t>
      </w:r>
      <w:r w:rsidR="00213845" w:rsidRPr="00323B2A">
        <w:t xml:space="preserve">reserves between synchronous areas defined in accordance with </w:t>
      </w:r>
      <w:r w:rsidR="00273A0D">
        <w:t xml:space="preserve">SOGL </w:t>
      </w:r>
      <w:r w:rsidR="00213845" w:rsidRPr="00323B2A">
        <w:t>Article 171(2);</w:t>
      </w:r>
      <w:bookmarkEnd w:id="64"/>
      <w:bookmarkEnd w:id="65"/>
    </w:p>
    <w:p w14:paraId="50E116BB" w14:textId="399AD503" w:rsidR="00213845" w:rsidRPr="00365D34" w:rsidRDefault="00213845" w:rsidP="006A7713">
      <w:pPr>
        <w:pStyle w:val="Paragrapgh-numbered"/>
        <w:numPr>
          <w:ilvl w:val="0"/>
          <w:numId w:val="30"/>
        </w:numPr>
        <w:rPr>
          <w:lang w:val="en-GB"/>
        </w:rPr>
      </w:pPr>
      <w:r w:rsidRPr="00365D34">
        <w:rPr>
          <w:lang w:val="en-GB"/>
        </w:rPr>
        <w:t xml:space="preserve">Within the GB Synchronous Area, for any reserve exchanged or reserves shared with other areas, </w:t>
      </w:r>
      <w:r w:rsidR="00B27FDC" w:rsidRPr="00365D34">
        <w:rPr>
          <w:lang w:val="en-GB"/>
        </w:rPr>
        <w:t>t</w:t>
      </w:r>
      <w:r w:rsidR="00D60A39" w:rsidRPr="00365D34">
        <w:rPr>
          <w:lang w:val="en-GB"/>
        </w:rPr>
        <w:t>he ESO</w:t>
      </w:r>
      <w:r w:rsidRPr="00365D34">
        <w:rPr>
          <w:lang w:val="en-GB"/>
        </w:rPr>
        <w:t xml:space="preserve"> will be the reserve connecting TSO. </w:t>
      </w:r>
      <w:r w:rsidR="001B3DC8" w:rsidRPr="00365D34">
        <w:rPr>
          <w:lang w:val="en-GB"/>
        </w:rPr>
        <w:t>T</w:t>
      </w:r>
      <w:r w:rsidR="00D60A39" w:rsidRPr="00365D34">
        <w:rPr>
          <w:lang w:val="en-GB"/>
        </w:rPr>
        <w:t>he ESO</w:t>
      </w:r>
      <w:r w:rsidRPr="00365D34">
        <w:rPr>
          <w:lang w:val="en-GB"/>
        </w:rPr>
        <w:t xml:space="preserve"> </w:t>
      </w:r>
      <w:r w:rsidR="000725A3" w:rsidRPr="00365D34">
        <w:rPr>
          <w:lang w:val="en-GB"/>
        </w:rPr>
        <w:t>will</w:t>
      </w:r>
      <w:r w:rsidRPr="00365D34">
        <w:rPr>
          <w:lang w:val="en-GB"/>
        </w:rPr>
        <w:t xml:space="preserve"> be the TSO which instructs the provision of reserves within GB borders and also agrees to their transfer to </w:t>
      </w:r>
      <w:r w:rsidRPr="00365D34">
        <w:rPr>
          <w:lang w:val="en-GB"/>
        </w:rPr>
        <w:lastRenderedPageBreak/>
        <w:t xml:space="preserve">another region via HVDC. Where </w:t>
      </w:r>
      <w:r w:rsidR="00B27FDC" w:rsidRPr="00365D34">
        <w:rPr>
          <w:lang w:val="en-GB"/>
        </w:rPr>
        <w:t>t</w:t>
      </w:r>
      <w:r w:rsidR="00D60A39" w:rsidRPr="00365D34">
        <w:rPr>
          <w:lang w:val="en-GB"/>
        </w:rPr>
        <w:t>he ESO</w:t>
      </w:r>
      <w:r w:rsidRPr="00365D34">
        <w:rPr>
          <w:lang w:val="en-GB"/>
        </w:rPr>
        <w:t xml:space="preserve"> is requesting reserves from another area</w:t>
      </w:r>
      <w:r w:rsidR="00093026">
        <w:rPr>
          <w:lang w:val="en-GB"/>
        </w:rPr>
        <w:t xml:space="preserve"> </w:t>
      </w:r>
      <w:r w:rsidR="00B27FDC" w:rsidRPr="00365D34">
        <w:rPr>
          <w:lang w:val="en-GB"/>
        </w:rPr>
        <w:t>t</w:t>
      </w:r>
      <w:r w:rsidR="00D60A39" w:rsidRPr="00365D34">
        <w:rPr>
          <w:lang w:val="en-GB"/>
        </w:rPr>
        <w:t>he ESO</w:t>
      </w:r>
      <w:r w:rsidRPr="00365D34">
        <w:rPr>
          <w:lang w:val="en-GB"/>
        </w:rPr>
        <w:t xml:space="preserve"> expects the other area to instruct the necessary reserves</w:t>
      </w:r>
      <w:r w:rsidR="00093026" w:rsidRPr="00365D34">
        <w:rPr>
          <w:lang w:val="en-GB"/>
        </w:rPr>
        <w:t xml:space="preserve">, </w:t>
      </w:r>
      <w:r w:rsidR="00093026">
        <w:rPr>
          <w:lang w:val="en-GB"/>
        </w:rPr>
        <w:t>if the other area can accommodate the request given its real time and expected system conditions,</w:t>
      </w:r>
      <w:r w:rsidRPr="00365D34">
        <w:rPr>
          <w:lang w:val="en-GB"/>
        </w:rPr>
        <w:t xml:space="preserve"> to enable provision of that service.</w:t>
      </w:r>
      <w:r w:rsidR="00A05F47" w:rsidRPr="00365D34">
        <w:rPr>
          <w:lang w:val="en-GB"/>
        </w:rPr>
        <w:t xml:space="preserve"> </w:t>
      </w:r>
      <w:r w:rsidRPr="00365D34">
        <w:rPr>
          <w:lang w:val="en-GB"/>
        </w:rPr>
        <w:t xml:space="preserve"> Insomuch, </w:t>
      </w:r>
      <w:r w:rsidR="00B27FDC" w:rsidRPr="00365D34">
        <w:rPr>
          <w:lang w:val="en-GB"/>
        </w:rPr>
        <w:t>t</w:t>
      </w:r>
      <w:r w:rsidR="00D60A39" w:rsidRPr="00365D34">
        <w:rPr>
          <w:lang w:val="en-GB"/>
        </w:rPr>
        <w:t>he ESO</w:t>
      </w:r>
      <w:r w:rsidRPr="00365D34">
        <w:rPr>
          <w:lang w:val="en-GB"/>
        </w:rPr>
        <w:t xml:space="preserve"> will fulfil the roles </w:t>
      </w:r>
      <w:r w:rsidR="00CD103D">
        <w:rPr>
          <w:lang w:val="en-GB"/>
        </w:rPr>
        <w:t xml:space="preserve">specified in the Article title and as </w:t>
      </w:r>
      <w:r w:rsidRPr="00365D34">
        <w:rPr>
          <w:lang w:val="en-GB"/>
        </w:rPr>
        <w:t xml:space="preserve">defined in SOGL </w:t>
      </w:r>
      <w:r w:rsidR="00775349">
        <w:rPr>
          <w:lang w:val="en-GB"/>
        </w:rPr>
        <w:t>Article</w:t>
      </w:r>
      <w:r w:rsidRPr="00365D34">
        <w:rPr>
          <w:lang w:val="en-GB"/>
        </w:rPr>
        <w:t xml:space="preserve"> 3. </w:t>
      </w:r>
    </w:p>
    <w:p w14:paraId="6631ED5B" w14:textId="77777777" w:rsidR="00213845" w:rsidRPr="00323B2A" w:rsidRDefault="00213845" w:rsidP="00B73FC6">
      <w:pPr>
        <w:pStyle w:val="MMTopic5"/>
        <w:spacing w:line="240" w:lineRule="auto"/>
      </w:pPr>
    </w:p>
    <w:p w14:paraId="56868464" w14:textId="77777777" w:rsidR="00761661" w:rsidRPr="00323B2A" w:rsidRDefault="00761661" w:rsidP="00A6017D">
      <w:pPr>
        <w:pStyle w:val="Artnr"/>
      </w:pPr>
    </w:p>
    <w:p w14:paraId="246BABB4" w14:textId="5E4EBF67" w:rsidR="00617902" w:rsidRPr="00323B2A" w:rsidRDefault="00617902">
      <w:pPr>
        <w:pStyle w:val="ArticleTitle"/>
      </w:pPr>
      <w:bookmarkStart w:id="66" w:name="_Toc517426374"/>
      <w:bookmarkStart w:id="67" w:name="_Toc514856591"/>
      <w:bookmarkStart w:id="68" w:name="_Toc516747934"/>
      <w:r w:rsidRPr="00323B2A">
        <w:t>The</w:t>
      </w:r>
      <w:r w:rsidR="00A05F47" w:rsidRPr="00323B2A">
        <w:t xml:space="preserve"> </w:t>
      </w:r>
      <w:r w:rsidRPr="00323B2A">
        <w:t>methodology</w:t>
      </w:r>
      <w:r w:rsidR="00A05F47" w:rsidRPr="00323B2A">
        <w:t xml:space="preserve"> </w:t>
      </w:r>
      <w:r w:rsidRPr="00323B2A">
        <w:t>to</w:t>
      </w:r>
      <w:r w:rsidR="00A05F47" w:rsidRPr="00323B2A">
        <w:t xml:space="preserve"> </w:t>
      </w:r>
      <w:r w:rsidRPr="00323B2A">
        <w:t>determine</w:t>
      </w:r>
      <w:r w:rsidR="00A05F47" w:rsidRPr="00323B2A">
        <w:t xml:space="preserve"> </w:t>
      </w:r>
      <w:r w:rsidRPr="00323B2A">
        <w:t>limits</w:t>
      </w:r>
      <w:r w:rsidR="00A05F47" w:rsidRPr="00323B2A">
        <w:t xml:space="preserve"> </w:t>
      </w:r>
      <w:r w:rsidRPr="00323B2A">
        <w:t>on</w:t>
      </w:r>
      <w:r w:rsidR="00A05F47" w:rsidRPr="00323B2A">
        <w:t xml:space="preserve"> </w:t>
      </w:r>
      <w:r w:rsidRPr="00323B2A">
        <w:t>the</w:t>
      </w:r>
      <w:r w:rsidR="00A05F47" w:rsidRPr="00323B2A">
        <w:t xml:space="preserve"> </w:t>
      </w:r>
      <w:r w:rsidRPr="00323B2A">
        <w:t>amount</w:t>
      </w:r>
      <w:r w:rsidR="00A05F47" w:rsidRPr="00323B2A">
        <w:t xml:space="preserve"> </w:t>
      </w:r>
      <w:r w:rsidRPr="00323B2A">
        <w:t>of</w:t>
      </w:r>
      <w:r w:rsidR="00A05F47" w:rsidRPr="00323B2A">
        <w:t xml:space="preserve"> </w:t>
      </w:r>
      <w:r w:rsidRPr="00323B2A">
        <w:t>sharing of</w:t>
      </w:r>
      <w:r w:rsidR="00A05F47" w:rsidRPr="00323B2A">
        <w:t xml:space="preserve"> </w:t>
      </w:r>
      <w:r w:rsidRPr="00323B2A">
        <w:t>FCR between synchronous areas defined in accordance with SOGL Article 174(2).</w:t>
      </w:r>
      <w:bookmarkEnd w:id="66"/>
    </w:p>
    <w:p w14:paraId="0A9C6AA5" w14:textId="2D674A07" w:rsidR="00617902" w:rsidRPr="00323B2A" w:rsidRDefault="00D60A39" w:rsidP="006A7713">
      <w:pPr>
        <w:pStyle w:val="Paragrapgh-numbered"/>
        <w:numPr>
          <w:ilvl w:val="0"/>
          <w:numId w:val="42"/>
        </w:numPr>
        <w:rPr>
          <w:lang w:val="en-GB"/>
        </w:rPr>
      </w:pPr>
      <w:r w:rsidRPr="00323B2A">
        <w:rPr>
          <w:lang w:val="en-GB"/>
        </w:rPr>
        <w:t>The ESO</w:t>
      </w:r>
      <w:r w:rsidR="00617902" w:rsidRPr="00323B2A">
        <w:rPr>
          <w:lang w:val="en-GB"/>
        </w:rPr>
        <w:t xml:space="preserve"> looks at the overall requirements for FCR as defined by the dimensioning rules and subtracts the maximum amount of FCR sharing that could be accommodated from other synchronous areas, as determined below, to establish the minimum provision of reserve capacity of FCR in the GB synchronous area. </w:t>
      </w:r>
    </w:p>
    <w:p w14:paraId="6C76FFFB" w14:textId="46497F6F" w:rsidR="00840A9E" w:rsidRPr="00B13757" w:rsidRDefault="00840A9E" w:rsidP="006A7713">
      <w:pPr>
        <w:pStyle w:val="Paragrapgh-numbered"/>
        <w:numPr>
          <w:ilvl w:val="0"/>
          <w:numId w:val="42"/>
        </w:numPr>
        <w:rPr>
          <w:lang w:val="en-GB"/>
        </w:rPr>
      </w:pPr>
      <w:r w:rsidRPr="00323B2A">
        <w:rPr>
          <w:lang w:val="en-GB"/>
        </w:rPr>
        <w:t xml:space="preserve">Limits on the </w:t>
      </w:r>
      <w:r w:rsidR="00B13757">
        <w:rPr>
          <w:lang w:val="en-GB"/>
        </w:rPr>
        <w:t>sharing</w:t>
      </w:r>
      <w:r w:rsidRPr="00323B2A">
        <w:rPr>
          <w:lang w:val="en-GB"/>
        </w:rPr>
        <w:t xml:space="preserve"> of FCR between the GB synchronous area and other synchronous areas are determined in the following manner:</w:t>
      </w:r>
    </w:p>
    <w:p w14:paraId="2C473958" w14:textId="4A520405" w:rsidR="00840A9E" w:rsidRPr="00323B2A" w:rsidRDefault="00840A9E" w:rsidP="006A7713">
      <w:pPr>
        <w:pStyle w:val="Paragrapgh-numbered"/>
        <w:numPr>
          <w:ilvl w:val="0"/>
          <w:numId w:val="45"/>
        </w:numPr>
        <w:rPr>
          <w:lang w:val="en-GB"/>
        </w:rPr>
      </w:pPr>
      <w:r w:rsidRPr="00323B2A">
        <w:rPr>
          <w:lang w:val="en-GB"/>
        </w:rPr>
        <w:t xml:space="preserve">Whether </w:t>
      </w:r>
      <w:r w:rsidR="00B13757">
        <w:rPr>
          <w:lang w:val="en-GB"/>
        </w:rPr>
        <w:t xml:space="preserve">sharing </w:t>
      </w:r>
      <w:r w:rsidRPr="00323B2A">
        <w:rPr>
          <w:lang w:val="en-GB"/>
        </w:rPr>
        <w:t>of FCR can be accommodated by the ESO under expected system conditions whilst complying with NETS SQSS</w:t>
      </w:r>
      <w:r>
        <w:rPr>
          <w:lang w:val="en-GB"/>
        </w:rPr>
        <w:t>;</w:t>
      </w:r>
      <w:r w:rsidRPr="00323B2A">
        <w:rPr>
          <w:lang w:val="en-GB"/>
        </w:rPr>
        <w:t xml:space="preserve"> </w:t>
      </w:r>
    </w:p>
    <w:p w14:paraId="436FB3DE" w14:textId="77777777" w:rsidR="00840A9E" w:rsidRPr="00323B2A" w:rsidRDefault="00840A9E" w:rsidP="006A7713">
      <w:pPr>
        <w:pStyle w:val="Paragrapgh-numbered"/>
        <w:numPr>
          <w:ilvl w:val="0"/>
          <w:numId w:val="45"/>
        </w:numPr>
        <w:rPr>
          <w:lang w:val="en-GB"/>
        </w:rPr>
      </w:pPr>
      <w:r w:rsidRPr="00323B2A">
        <w:rPr>
          <w:lang w:val="en-GB"/>
        </w:rPr>
        <w:t>The ability to transfer FCR between synchronous areas;</w:t>
      </w:r>
    </w:p>
    <w:p w14:paraId="2F542FC1" w14:textId="77777777" w:rsidR="00840A9E" w:rsidRPr="00323B2A" w:rsidRDefault="00840A9E" w:rsidP="006A7713">
      <w:pPr>
        <w:pStyle w:val="Paragrapgh-numbered"/>
        <w:numPr>
          <w:ilvl w:val="0"/>
          <w:numId w:val="45"/>
        </w:numPr>
        <w:rPr>
          <w:lang w:val="en-GB"/>
        </w:rPr>
      </w:pPr>
      <w:r w:rsidRPr="00323B2A">
        <w:rPr>
          <w:lang w:val="en-GB"/>
        </w:rPr>
        <w:t xml:space="preserve">To consider any loss of provision of FCR during a reference incident as defined by SOGL Article 153 (2)(b)(ii); </w:t>
      </w:r>
    </w:p>
    <w:p w14:paraId="688C69AA" w14:textId="77777777" w:rsidR="00840A9E" w:rsidRDefault="00840A9E" w:rsidP="006A7713">
      <w:pPr>
        <w:pStyle w:val="Paragrapgh-numbered"/>
        <w:numPr>
          <w:ilvl w:val="0"/>
          <w:numId w:val="45"/>
        </w:numPr>
        <w:rPr>
          <w:lang w:val="en-GB"/>
        </w:rPr>
      </w:pPr>
      <w:r w:rsidRPr="00323B2A">
        <w:rPr>
          <w:lang w:val="en-GB"/>
        </w:rPr>
        <w:t>Seek minimum cost solution of meeting GB FCR and therein the exchange of FCR that could be possible subject to meeting points a-c</w:t>
      </w:r>
      <w:r>
        <w:rPr>
          <w:lang w:val="en-GB"/>
        </w:rPr>
        <w:t>;</w:t>
      </w:r>
    </w:p>
    <w:p w14:paraId="2297AABC" w14:textId="25D3B9FE" w:rsidR="00840A9E" w:rsidRPr="00323B2A" w:rsidRDefault="00840A9E" w:rsidP="006A7713">
      <w:pPr>
        <w:pStyle w:val="Paragrapgh-numbered"/>
        <w:numPr>
          <w:ilvl w:val="0"/>
          <w:numId w:val="45"/>
        </w:numPr>
        <w:rPr>
          <w:lang w:val="en-GB"/>
        </w:rPr>
      </w:pPr>
      <w:r w:rsidRPr="00323B2A">
        <w:rPr>
          <w:lang w:val="en-GB"/>
        </w:rPr>
        <w:t xml:space="preserve">The risk of the probability and impact of FCR short falls that could arise due to </w:t>
      </w:r>
      <w:r w:rsidR="00B13757">
        <w:rPr>
          <w:lang w:val="en-GB"/>
        </w:rPr>
        <w:t>sharing</w:t>
      </w:r>
      <w:r w:rsidRPr="00323B2A">
        <w:rPr>
          <w:lang w:val="en-GB"/>
        </w:rPr>
        <w:t xml:space="preserve">. </w:t>
      </w:r>
    </w:p>
    <w:p w14:paraId="4BB8CC5D" w14:textId="4770FDEC" w:rsidR="00840A9E" w:rsidRPr="00323B2A" w:rsidRDefault="00840A9E" w:rsidP="00840A9E">
      <w:pPr>
        <w:pStyle w:val="Paragrapgh-numbered"/>
        <w:ind w:left="1440"/>
        <w:rPr>
          <w:lang w:val="en-GB"/>
        </w:rPr>
      </w:pPr>
    </w:p>
    <w:p w14:paraId="39995C31" w14:textId="77777777" w:rsidR="004F3C36" w:rsidRPr="00323B2A" w:rsidRDefault="004F3C36" w:rsidP="00A6017D">
      <w:pPr>
        <w:pStyle w:val="Title1"/>
      </w:pPr>
      <w:bookmarkStart w:id="69" w:name="_Toc516747937"/>
      <w:bookmarkEnd w:id="67"/>
      <w:bookmarkEnd w:id="68"/>
      <w:bookmarkEnd w:id="69"/>
    </w:p>
    <w:p w14:paraId="7BAD36A9" w14:textId="160D4E3B" w:rsidR="005C117F" w:rsidRPr="00323B2A" w:rsidRDefault="00311679" w:rsidP="00A6017D">
      <w:pPr>
        <w:pStyle w:val="ArticleTitle"/>
      </w:pPr>
      <w:bookmarkStart w:id="70" w:name="_Toc517426375"/>
      <w:r w:rsidRPr="00323B2A">
        <w:t xml:space="preserve">Final </w:t>
      </w:r>
      <w:r w:rsidRPr="00A6017D">
        <w:t>Provisions</w:t>
      </w:r>
      <w:bookmarkEnd w:id="70"/>
    </w:p>
    <w:p w14:paraId="5A213696" w14:textId="77777777" w:rsidR="00761661" w:rsidRPr="00323B2A" w:rsidRDefault="00761661">
      <w:pPr>
        <w:pStyle w:val="Artnr"/>
      </w:pPr>
      <w:bookmarkStart w:id="71" w:name="_Toc517426376"/>
    </w:p>
    <w:p w14:paraId="3F16FEDC" w14:textId="54DDC025" w:rsidR="009F40BA" w:rsidRPr="00323B2A" w:rsidRDefault="009F40BA">
      <w:pPr>
        <w:pStyle w:val="ArticleTitle"/>
      </w:pPr>
      <w:r w:rsidRPr="00323B2A">
        <w:t>Timescale for implementation</w:t>
      </w:r>
      <w:bookmarkEnd w:id="71"/>
    </w:p>
    <w:p w14:paraId="703C155C" w14:textId="4AB46909" w:rsidR="009F40BA" w:rsidRPr="00323B2A" w:rsidRDefault="009F40BA" w:rsidP="006A7713">
      <w:pPr>
        <w:pStyle w:val="Paragrapgh-numbered"/>
        <w:numPr>
          <w:ilvl w:val="0"/>
          <w:numId w:val="16"/>
        </w:numPr>
        <w:rPr>
          <w:lang w:val="en-GB" w:eastAsia="en-US"/>
        </w:rPr>
      </w:pPr>
      <w:r w:rsidRPr="00323B2A">
        <w:rPr>
          <w:lang w:val="en-GB" w:eastAsia="en-US"/>
        </w:rPr>
        <w:t>Th</w:t>
      </w:r>
      <w:r w:rsidR="0029714E" w:rsidRPr="00323B2A">
        <w:rPr>
          <w:lang w:val="en-GB" w:eastAsia="en-US"/>
        </w:rPr>
        <w:t xml:space="preserve">e </w:t>
      </w:r>
      <w:r w:rsidR="00775349">
        <w:rPr>
          <w:lang w:val="en-GB" w:eastAsia="en-US"/>
        </w:rPr>
        <w:t>Article</w:t>
      </w:r>
      <w:r w:rsidR="0029714E" w:rsidRPr="00323B2A">
        <w:rPr>
          <w:lang w:val="en-GB" w:eastAsia="en-US"/>
        </w:rPr>
        <w:t>s in this</w:t>
      </w:r>
      <w:r w:rsidRPr="00323B2A">
        <w:rPr>
          <w:lang w:val="en-GB" w:eastAsia="en-US"/>
        </w:rPr>
        <w:t xml:space="preserve"> </w:t>
      </w:r>
      <w:r w:rsidR="008E7123">
        <w:rPr>
          <w:lang w:val="en-GB" w:eastAsia="en-US"/>
        </w:rPr>
        <w:t>SAOM</w:t>
      </w:r>
      <w:r w:rsidRPr="00323B2A">
        <w:rPr>
          <w:lang w:val="en-GB" w:eastAsia="en-US"/>
        </w:rPr>
        <w:t xml:space="preserve"> will enter into force 3 months after its approval by </w:t>
      </w:r>
      <w:r w:rsidR="008C4823" w:rsidRPr="00323B2A">
        <w:rPr>
          <w:lang w:val="en-GB" w:eastAsia="en-US"/>
        </w:rPr>
        <w:t xml:space="preserve">the </w:t>
      </w:r>
      <w:r w:rsidR="0029714E" w:rsidRPr="00323B2A">
        <w:rPr>
          <w:lang w:val="en-GB" w:eastAsia="en-US"/>
        </w:rPr>
        <w:t xml:space="preserve">Regulatory Authority </w:t>
      </w:r>
      <w:r w:rsidRPr="00323B2A">
        <w:rPr>
          <w:lang w:val="en-GB" w:eastAsia="en-US"/>
        </w:rPr>
        <w:t xml:space="preserve">(not earlier than 14th June 2019) in line with SOGL </w:t>
      </w:r>
      <w:r w:rsidR="00775349">
        <w:rPr>
          <w:lang w:val="en-GB" w:eastAsia="en-US"/>
        </w:rPr>
        <w:t>Article</w:t>
      </w:r>
      <w:r w:rsidRPr="00323B2A">
        <w:rPr>
          <w:lang w:val="en-GB" w:eastAsia="en-US"/>
        </w:rPr>
        <w:t xml:space="preserve"> 118(2).</w:t>
      </w:r>
    </w:p>
    <w:p w14:paraId="65C8365B" w14:textId="77777777" w:rsidR="00761661" w:rsidRPr="00323B2A" w:rsidRDefault="00761661" w:rsidP="00A6017D">
      <w:pPr>
        <w:pStyle w:val="Artnr"/>
      </w:pPr>
      <w:bookmarkStart w:id="72" w:name="_Toc445298921"/>
      <w:bookmarkStart w:id="73" w:name="_Toc445299183"/>
      <w:bookmarkStart w:id="74" w:name="_Toc445825439"/>
      <w:bookmarkStart w:id="75" w:name="_Toc517426377"/>
    </w:p>
    <w:p w14:paraId="4C0C69A6" w14:textId="40BB2005" w:rsidR="009F40BA" w:rsidRPr="00323B2A" w:rsidRDefault="009F40BA">
      <w:pPr>
        <w:pStyle w:val="ArticleTitle"/>
      </w:pPr>
      <w:r w:rsidRPr="00323B2A">
        <w:t>Language</w:t>
      </w:r>
      <w:bookmarkEnd w:id="72"/>
      <w:bookmarkEnd w:id="73"/>
      <w:bookmarkEnd w:id="74"/>
      <w:bookmarkEnd w:id="75"/>
    </w:p>
    <w:p w14:paraId="3AEDCE38" w14:textId="0F35567F" w:rsidR="00352762" w:rsidRPr="00323B2A" w:rsidRDefault="009F40BA" w:rsidP="00BC732B">
      <w:pPr>
        <w:pStyle w:val="Paragrapgh-numbered"/>
        <w:numPr>
          <w:ilvl w:val="0"/>
          <w:numId w:val="15"/>
        </w:numPr>
      </w:pPr>
      <w:r w:rsidRPr="00323B2A">
        <w:rPr>
          <w:lang w:val="en-GB" w:eastAsia="en-US"/>
        </w:rPr>
        <w:t xml:space="preserve">The reference language for this </w:t>
      </w:r>
      <w:r w:rsidR="008E7123">
        <w:rPr>
          <w:lang w:val="en-GB" w:eastAsia="en-US"/>
        </w:rPr>
        <w:t>SAOM</w:t>
      </w:r>
      <w:r w:rsidRPr="00323B2A">
        <w:rPr>
          <w:lang w:val="en-GB" w:eastAsia="en-US"/>
        </w:rPr>
        <w:t xml:space="preserve"> shall be English. </w:t>
      </w:r>
    </w:p>
    <w:sectPr w:rsidR="00352762" w:rsidRPr="00323B2A" w:rsidSect="00BF670E">
      <w:headerReference w:type="even" r:id="rId15"/>
      <w:headerReference w:type="default" r:id="rId16"/>
      <w:footerReference w:type="default" r:id="rId17"/>
      <w:headerReference w:type="first" r:id="rId18"/>
      <w:pgSz w:w="11906" w:h="16838"/>
      <w:pgMar w:top="113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D29DA" w14:textId="77777777" w:rsidR="00FD55C0" w:rsidRDefault="00FD55C0" w:rsidP="00722BDC">
      <w:pPr>
        <w:spacing w:after="0" w:line="240" w:lineRule="auto"/>
      </w:pPr>
      <w:r>
        <w:separator/>
      </w:r>
    </w:p>
  </w:endnote>
  <w:endnote w:type="continuationSeparator" w:id="0">
    <w:p w14:paraId="624AE5F5" w14:textId="77777777" w:rsidR="00FD55C0" w:rsidRDefault="00FD55C0" w:rsidP="00722BDC">
      <w:pPr>
        <w:spacing w:after="0" w:line="240" w:lineRule="auto"/>
      </w:pPr>
      <w:r>
        <w:continuationSeparator/>
      </w:r>
    </w:p>
  </w:endnote>
  <w:endnote w:type="continuationNotice" w:id="1">
    <w:p w14:paraId="2B8140BA" w14:textId="77777777" w:rsidR="00FD55C0" w:rsidRDefault="00FD55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6E3D" w14:textId="61B219A2" w:rsidR="00840A9E" w:rsidRDefault="00840A9E">
    <w:pPr>
      <w:pStyle w:val="Footer"/>
    </w:pPr>
    <w:r>
      <w:t xml:space="preserve">Page </w:t>
    </w:r>
    <w:r>
      <w:fldChar w:fldCharType="begin"/>
    </w:r>
    <w:r>
      <w:instrText>PAGE   \* MERGEFORMAT</w:instrText>
    </w:r>
    <w:r>
      <w:fldChar w:fldCharType="separate"/>
    </w:r>
    <w:r w:rsidR="00C32825">
      <w:rPr>
        <w:noProof/>
      </w:rPr>
      <w:t>2</w:t>
    </w:r>
    <w:r>
      <w:rPr>
        <w:noProof/>
      </w:rPr>
      <w:fldChar w:fldCharType="end"/>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A3DFF" w14:textId="77777777" w:rsidR="00FD55C0" w:rsidRDefault="00FD55C0" w:rsidP="00722BDC">
      <w:pPr>
        <w:spacing w:after="0" w:line="240" w:lineRule="auto"/>
      </w:pPr>
      <w:r>
        <w:separator/>
      </w:r>
    </w:p>
  </w:footnote>
  <w:footnote w:type="continuationSeparator" w:id="0">
    <w:p w14:paraId="6C12F256" w14:textId="77777777" w:rsidR="00FD55C0" w:rsidRDefault="00FD55C0" w:rsidP="00722BDC">
      <w:pPr>
        <w:spacing w:after="0" w:line="240" w:lineRule="auto"/>
      </w:pPr>
      <w:r>
        <w:continuationSeparator/>
      </w:r>
    </w:p>
  </w:footnote>
  <w:footnote w:type="continuationNotice" w:id="1">
    <w:p w14:paraId="2E7F9A3B" w14:textId="77777777" w:rsidR="00FD55C0" w:rsidRDefault="00FD55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C500" w14:textId="77777777" w:rsidR="00840A9E" w:rsidRDefault="00FD55C0">
    <w:pPr>
      <w:pStyle w:val="Header"/>
    </w:pPr>
    <w:r>
      <w:rPr>
        <w:noProof/>
      </w:rPr>
      <w:pict w14:anchorId="50D7D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704145" o:spid="_x0000_s2050" type="#_x0000_t136" style="position:absolute;left:0;text-align:left;margin-left:0;margin-top:0;width:565.65pt;height:73.75pt;rotation:315;z-index:-251658752;mso-position-horizontal:center;mso-position-horizontal-relative:margin;mso-position-vertical:center;mso-position-vertical-relative:margin" o:allowincell="f" fillcolor="silver" stroked="f">
          <v:fill opacity=".5"/>
          <v:textpath style="font-family:&quot;Arial Black&quot;;font-size:1pt" string="FIRST FIN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B325" w14:textId="7F9DA03C" w:rsidR="00840A9E" w:rsidRPr="00B0113F" w:rsidRDefault="00D61DE5" w:rsidP="00D658DF">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DDC89" w14:textId="3B363900" w:rsidR="00840A9E" w:rsidRDefault="00D61DE5">
    <w:pPr>
      <w:pStyle w:val="Header"/>
    </w:pPr>
    <w:r>
      <w:tab/>
    </w:r>
    <w:r>
      <w:tab/>
    </w:r>
    <w:r>
      <w:rPr>
        <w:noProof/>
        <w:lang w:val="en-US" w:eastAsia="zh-CN"/>
      </w:rPr>
      <w:drawing>
        <wp:inline distT="0" distB="0" distL="0" distR="0" wp14:anchorId="46A4DE76" wp14:editId="3DF72544">
          <wp:extent cx="2209800" cy="518160"/>
          <wp:effectExtent l="0" t="0" r="0" b="0"/>
          <wp:docPr id="1" name="Picture 1" descr="Image result for national gr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grid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08530" cy="5178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4CC"/>
    <w:multiLevelType w:val="hybridMultilevel"/>
    <w:tmpl w:val="8418FD0A"/>
    <w:lvl w:ilvl="0" w:tplc="1E388A42">
      <w:start w:val="1"/>
      <w:numFmt w:val="decimal"/>
      <w:pStyle w:val="Artnr"/>
      <w:lvlText w:val="Article %1"/>
      <w:lvlJc w:val="center"/>
      <w:pPr>
        <w:ind w:left="433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9514E"/>
    <w:multiLevelType w:val="hybridMultilevel"/>
    <w:tmpl w:val="F1BC39F0"/>
    <w:lvl w:ilvl="0" w:tplc="407C20F6">
      <w:start w:val="1"/>
      <w:numFmt w:val="lowerLetter"/>
      <w:lvlText w:val="%1."/>
      <w:lvlJc w:val="left"/>
      <w:pPr>
        <w:ind w:left="1440" w:hanging="360"/>
      </w:pPr>
      <w:rPr>
        <w:rFonts w:hint="default"/>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6134895"/>
    <w:multiLevelType w:val="hybridMultilevel"/>
    <w:tmpl w:val="A00C7D06"/>
    <w:lvl w:ilvl="0" w:tplc="0809000F">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084E5881"/>
    <w:multiLevelType w:val="hybridMultilevel"/>
    <w:tmpl w:val="067E7AE6"/>
    <w:lvl w:ilvl="0" w:tplc="BA1689DC">
      <w:start w:val="1"/>
      <w:numFmt w:val="decimal"/>
      <w:lvlText w:val="%1."/>
      <w:lvlJc w:val="left"/>
      <w:pPr>
        <w:ind w:left="360" w:hanging="360"/>
      </w:pPr>
      <w:rPr>
        <w:rFonts w:hint="default"/>
      </w:rPr>
    </w:lvl>
    <w:lvl w:ilvl="1" w:tplc="407C20F6">
      <w:start w:val="1"/>
      <w:numFmt w:val="lowerLetter"/>
      <w:lvlText w:val="%2."/>
      <w:lvlJc w:val="left"/>
      <w:pPr>
        <w:ind w:left="1083" w:hanging="360"/>
      </w:pPr>
      <w:rPr>
        <w:rFonts w:hint="default"/>
      </w:r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15:restartNumberingAfterBreak="0">
    <w:nsid w:val="09DE3C8A"/>
    <w:multiLevelType w:val="hybridMultilevel"/>
    <w:tmpl w:val="0E3C9716"/>
    <w:lvl w:ilvl="0" w:tplc="B7A27406">
      <w:start w:val="1"/>
      <w:numFmt w:val="decimal"/>
      <w:pStyle w:val="Chaptername"/>
      <w:lvlText w:val="Chapter %1"/>
      <w:lvlJc w:val="center"/>
      <w:pPr>
        <w:ind w:left="744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D67C9"/>
    <w:multiLevelType w:val="hybridMultilevel"/>
    <w:tmpl w:val="CC50D1BE"/>
    <w:lvl w:ilvl="0" w:tplc="C658A028">
      <w:start w:val="1"/>
      <w:numFmt w:val="bullet"/>
      <w:pStyle w:val="Aufzhlung1"/>
      <w:lvlText w:val=""/>
      <w:lvlJc w:val="left"/>
      <w:pPr>
        <w:tabs>
          <w:tab w:val="num" w:pos="284"/>
        </w:tabs>
        <w:ind w:left="284" w:hanging="284"/>
      </w:pPr>
      <w:rPr>
        <w:rFonts w:ascii="Symbol" w:hAnsi="Symbol" w:hint="default"/>
        <w:sz w:val="16"/>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13133"/>
    <w:multiLevelType w:val="hybridMultilevel"/>
    <w:tmpl w:val="E8D019CE"/>
    <w:lvl w:ilvl="0" w:tplc="FEAA6D44">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16B31488"/>
    <w:multiLevelType w:val="hybridMultilevel"/>
    <w:tmpl w:val="A00C7D06"/>
    <w:lvl w:ilvl="0" w:tplc="0809000F">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180D71AD"/>
    <w:multiLevelType w:val="hybridMultilevel"/>
    <w:tmpl w:val="E8D019CE"/>
    <w:lvl w:ilvl="0" w:tplc="FEAA6D44">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9" w15:restartNumberingAfterBreak="0">
    <w:nsid w:val="190458AB"/>
    <w:multiLevelType w:val="hybridMultilevel"/>
    <w:tmpl w:val="A00C7D06"/>
    <w:lvl w:ilvl="0" w:tplc="0809000F">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12" w15:restartNumberingAfterBreak="0">
    <w:nsid w:val="2AA243FC"/>
    <w:multiLevelType w:val="hybridMultilevel"/>
    <w:tmpl w:val="B4103962"/>
    <w:lvl w:ilvl="0" w:tplc="919C92CC">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3" w15:restartNumberingAfterBreak="0">
    <w:nsid w:val="2BB6297F"/>
    <w:multiLevelType w:val="hybridMultilevel"/>
    <w:tmpl w:val="1B0CDA42"/>
    <w:lvl w:ilvl="0" w:tplc="08090019">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4" w15:restartNumberingAfterBreak="0">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322D1BBA"/>
    <w:multiLevelType w:val="hybridMultilevel"/>
    <w:tmpl w:val="E5CA3182"/>
    <w:lvl w:ilvl="0" w:tplc="B8287934">
      <w:start w:val="1"/>
      <w:numFmt w:val="decimal"/>
      <w:pStyle w:val="Title1"/>
      <w:lvlText w:val="Title %1"/>
      <w:lvlJc w:val="center"/>
      <w:pPr>
        <w:ind w:left="525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5976" w:hanging="360"/>
      </w:pPr>
    </w:lvl>
    <w:lvl w:ilvl="2" w:tplc="0809001B" w:tentative="1">
      <w:start w:val="1"/>
      <w:numFmt w:val="lowerRoman"/>
      <w:lvlText w:val="%3."/>
      <w:lvlJc w:val="right"/>
      <w:pPr>
        <w:ind w:left="6696" w:hanging="180"/>
      </w:pPr>
    </w:lvl>
    <w:lvl w:ilvl="3" w:tplc="0809000F" w:tentative="1">
      <w:start w:val="1"/>
      <w:numFmt w:val="decimal"/>
      <w:lvlText w:val="%4."/>
      <w:lvlJc w:val="left"/>
      <w:pPr>
        <w:ind w:left="7416" w:hanging="360"/>
      </w:pPr>
    </w:lvl>
    <w:lvl w:ilvl="4" w:tplc="08090019" w:tentative="1">
      <w:start w:val="1"/>
      <w:numFmt w:val="lowerLetter"/>
      <w:lvlText w:val="%5."/>
      <w:lvlJc w:val="left"/>
      <w:pPr>
        <w:ind w:left="8136" w:hanging="360"/>
      </w:pPr>
    </w:lvl>
    <w:lvl w:ilvl="5" w:tplc="0809001B" w:tentative="1">
      <w:start w:val="1"/>
      <w:numFmt w:val="lowerRoman"/>
      <w:lvlText w:val="%6."/>
      <w:lvlJc w:val="right"/>
      <w:pPr>
        <w:ind w:left="8856" w:hanging="180"/>
      </w:pPr>
    </w:lvl>
    <w:lvl w:ilvl="6" w:tplc="0809000F" w:tentative="1">
      <w:start w:val="1"/>
      <w:numFmt w:val="decimal"/>
      <w:lvlText w:val="%7."/>
      <w:lvlJc w:val="left"/>
      <w:pPr>
        <w:ind w:left="9576" w:hanging="360"/>
      </w:pPr>
    </w:lvl>
    <w:lvl w:ilvl="7" w:tplc="08090019" w:tentative="1">
      <w:start w:val="1"/>
      <w:numFmt w:val="lowerLetter"/>
      <w:lvlText w:val="%8."/>
      <w:lvlJc w:val="left"/>
      <w:pPr>
        <w:ind w:left="10296" w:hanging="360"/>
      </w:pPr>
    </w:lvl>
    <w:lvl w:ilvl="8" w:tplc="0809001B" w:tentative="1">
      <w:start w:val="1"/>
      <w:numFmt w:val="lowerRoman"/>
      <w:lvlText w:val="%9."/>
      <w:lvlJc w:val="right"/>
      <w:pPr>
        <w:ind w:left="11016" w:hanging="180"/>
      </w:pPr>
    </w:lvl>
  </w:abstractNum>
  <w:abstractNum w:abstractNumId="16" w15:restartNumberingAfterBreak="0">
    <w:nsid w:val="35AC3B8A"/>
    <w:multiLevelType w:val="hybridMultilevel"/>
    <w:tmpl w:val="75BC4864"/>
    <w:lvl w:ilvl="0" w:tplc="FEAA6D44">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7" w15:restartNumberingAfterBreak="0">
    <w:nsid w:val="371323C8"/>
    <w:multiLevelType w:val="hybridMultilevel"/>
    <w:tmpl w:val="A00C7D06"/>
    <w:lvl w:ilvl="0" w:tplc="0809000F">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8" w15:restartNumberingAfterBreak="0">
    <w:nsid w:val="3BD944AF"/>
    <w:multiLevelType w:val="hybridMultilevel"/>
    <w:tmpl w:val="4A60D24A"/>
    <w:lvl w:ilvl="0" w:tplc="407C20F6">
      <w:start w:val="1"/>
      <w:numFmt w:val="lowerLetter"/>
      <w:lvlText w:val="%1."/>
      <w:lvlJc w:val="left"/>
      <w:pPr>
        <w:ind w:left="1440" w:hanging="360"/>
      </w:pPr>
      <w:rPr>
        <w:rFonts w:hint="default"/>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3F2E062E"/>
    <w:multiLevelType w:val="multilevel"/>
    <w:tmpl w:val="3926F85E"/>
    <w:lvl w:ilvl="0">
      <w:start w:val="1"/>
      <w:numFmt w:val="upperLetter"/>
      <w:pStyle w:val="Heading1"/>
      <w:lvlText w:val="%1."/>
      <w:lvlJc w:val="left"/>
      <w:pPr>
        <w:ind w:left="360" w:hanging="360"/>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0BF1E46"/>
    <w:multiLevelType w:val="hybridMultilevel"/>
    <w:tmpl w:val="6CB0093C"/>
    <w:lvl w:ilvl="0" w:tplc="7AEE7A04">
      <w:start w:val="1"/>
      <w:numFmt w:val="decimal"/>
      <w:pStyle w:val="Heading1aa"/>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6794E"/>
    <w:multiLevelType w:val="hybridMultilevel"/>
    <w:tmpl w:val="E3DE4576"/>
    <w:lvl w:ilvl="0" w:tplc="1FD2350A">
      <w:start w:val="1"/>
      <w:numFmt w:val="decimal"/>
      <w:pStyle w:val="Titlename"/>
      <w:lvlText w:val="TITLE %1"/>
      <w:lvlJc w:val="center"/>
      <w:pPr>
        <w:ind w:left="8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2" w15:restartNumberingAfterBreak="0">
    <w:nsid w:val="421D1C36"/>
    <w:multiLevelType w:val="hybridMultilevel"/>
    <w:tmpl w:val="E8D019CE"/>
    <w:lvl w:ilvl="0" w:tplc="FEAA6D44">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3" w15:restartNumberingAfterBreak="0">
    <w:nsid w:val="48A1184F"/>
    <w:multiLevelType w:val="hybridMultilevel"/>
    <w:tmpl w:val="7290865E"/>
    <w:lvl w:ilvl="0" w:tplc="2C60AC52">
      <w:start w:val="1"/>
      <w:numFmt w:val="decimal"/>
      <w:lvlText w:val="%1."/>
      <w:lvlJc w:val="left"/>
      <w:pPr>
        <w:ind w:left="360" w:hanging="360"/>
      </w:pPr>
      <w:rPr>
        <w:rFonts w:hint="default"/>
      </w:rPr>
    </w:lvl>
    <w:lvl w:ilvl="1" w:tplc="08090001">
      <w:start w:val="1"/>
      <w:numFmt w:val="bullet"/>
      <w:lvlText w:val=""/>
      <w:lvlJc w:val="left"/>
      <w:pPr>
        <w:ind w:left="1083" w:hanging="360"/>
      </w:pPr>
      <w:rPr>
        <w:rFonts w:ascii="Symbol" w:hAnsi="Symbol" w:hint="default"/>
      </w:r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4" w15:restartNumberingAfterBreak="0">
    <w:nsid w:val="5361772B"/>
    <w:multiLevelType w:val="hybridMultilevel"/>
    <w:tmpl w:val="1B0CDA42"/>
    <w:lvl w:ilvl="0" w:tplc="08090019">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5" w15:restartNumberingAfterBreak="0">
    <w:nsid w:val="56043038"/>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26" w15:restartNumberingAfterBreak="0">
    <w:nsid w:val="574418C5"/>
    <w:multiLevelType w:val="hybridMultilevel"/>
    <w:tmpl w:val="A00C7D06"/>
    <w:lvl w:ilvl="0" w:tplc="0809000F">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7" w15:restartNumberingAfterBreak="0">
    <w:nsid w:val="636F6937"/>
    <w:multiLevelType w:val="hybridMultilevel"/>
    <w:tmpl w:val="896432F4"/>
    <w:lvl w:ilvl="0" w:tplc="3EA2297E">
      <w:start w:val="1"/>
      <w:numFmt w:val="decimal"/>
      <w:pStyle w:val="Heading2aa"/>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4BD6EF3"/>
    <w:multiLevelType w:val="hybridMultilevel"/>
    <w:tmpl w:val="1B0CDA42"/>
    <w:lvl w:ilvl="0" w:tplc="08090019">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9" w15:restartNumberingAfterBreak="0">
    <w:nsid w:val="64E456DB"/>
    <w:multiLevelType w:val="hybridMultilevel"/>
    <w:tmpl w:val="1B0CDA42"/>
    <w:lvl w:ilvl="0" w:tplc="08090019">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0" w15:restartNumberingAfterBreak="0">
    <w:nsid w:val="659429FC"/>
    <w:multiLevelType w:val="hybridMultilevel"/>
    <w:tmpl w:val="E6EA4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6F7946"/>
    <w:multiLevelType w:val="hybridMultilevel"/>
    <w:tmpl w:val="7F0C93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DB2837"/>
    <w:multiLevelType w:val="hybridMultilevel"/>
    <w:tmpl w:val="E8D019CE"/>
    <w:lvl w:ilvl="0" w:tplc="FEAA6D44">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3" w15:restartNumberingAfterBreak="0">
    <w:nsid w:val="6F6E0E7E"/>
    <w:multiLevelType w:val="hybridMultilevel"/>
    <w:tmpl w:val="1B0CDA42"/>
    <w:lvl w:ilvl="0" w:tplc="08090019">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4" w15:restartNumberingAfterBreak="0">
    <w:nsid w:val="739D0E99"/>
    <w:multiLevelType w:val="hybridMultilevel"/>
    <w:tmpl w:val="067E7AE6"/>
    <w:lvl w:ilvl="0" w:tplc="BA1689DC">
      <w:start w:val="1"/>
      <w:numFmt w:val="decimal"/>
      <w:lvlText w:val="%1."/>
      <w:lvlJc w:val="left"/>
      <w:pPr>
        <w:ind w:left="360" w:hanging="360"/>
      </w:pPr>
      <w:rPr>
        <w:rFonts w:hint="default"/>
      </w:rPr>
    </w:lvl>
    <w:lvl w:ilvl="1" w:tplc="407C20F6">
      <w:start w:val="1"/>
      <w:numFmt w:val="lowerLetter"/>
      <w:lvlText w:val="%2."/>
      <w:lvlJc w:val="left"/>
      <w:pPr>
        <w:ind w:left="1083" w:hanging="360"/>
      </w:pPr>
      <w:rPr>
        <w:rFonts w:hint="default"/>
      </w:r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5" w15:restartNumberingAfterBreak="0">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EF4821"/>
    <w:multiLevelType w:val="hybridMultilevel"/>
    <w:tmpl w:val="A8ECF2C4"/>
    <w:lvl w:ilvl="0" w:tplc="08090019">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7" w15:restartNumberingAfterBreak="0">
    <w:nsid w:val="7BBD58FD"/>
    <w:multiLevelType w:val="hybridMultilevel"/>
    <w:tmpl w:val="79C04B64"/>
    <w:lvl w:ilvl="0" w:tplc="FEAA6D44">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8" w15:restartNumberingAfterBreak="0">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num w:numId="1">
    <w:abstractNumId w:val="11"/>
  </w:num>
  <w:num w:numId="2">
    <w:abstractNumId w:val="35"/>
  </w:num>
  <w:num w:numId="3">
    <w:abstractNumId w:val="38"/>
  </w:num>
  <w:num w:numId="4">
    <w:abstractNumId w:val="19"/>
  </w:num>
  <w:num w:numId="5">
    <w:abstractNumId w:val="5"/>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3"/>
  </w:num>
  <w:num w:numId="11">
    <w:abstractNumId w:val="4"/>
  </w:num>
  <w:num w:numId="12">
    <w:abstractNumId w:val="20"/>
  </w:num>
  <w:num w:numId="13">
    <w:abstractNumId w:val="27"/>
  </w:num>
  <w:num w:numId="14">
    <w:abstractNumId w:val="3"/>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num>
  <w:num w:numId="18">
    <w:abstractNumId w:val="2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16"/>
  </w:num>
  <w:num w:numId="32">
    <w:abstractNumId w:val="2"/>
    <w:lvlOverride w:ilvl="0">
      <w:startOverride w:val="1"/>
    </w:lvlOverride>
  </w:num>
  <w:num w:numId="33">
    <w:abstractNumId w:val="23"/>
  </w:num>
  <w:num w:numId="34">
    <w:abstractNumId w:val="2"/>
    <w:lvlOverride w:ilvl="0">
      <w:startOverride w:val="1"/>
    </w:lvlOverride>
  </w:num>
  <w:num w:numId="35">
    <w:abstractNumId w:val="31"/>
  </w:num>
  <w:num w:numId="36">
    <w:abstractNumId w:val="2"/>
  </w:num>
  <w:num w:numId="37">
    <w:abstractNumId w:val="30"/>
  </w:num>
  <w:num w:numId="38">
    <w:abstractNumId w:val="12"/>
  </w:num>
  <w:num w:numId="39">
    <w:abstractNumId w:val="18"/>
  </w:num>
  <w:num w:numId="40">
    <w:abstractNumId w:val="15"/>
  </w:num>
  <w:num w:numId="41">
    <w:abstractNumId w:val="37"/>
  </w:num>
  <w:num w:numId="42">
    <w:abstractNumId w:val="6"/>
  </w:num>
  <w:num w:numId="43">
    <w:abstractNumId w:val="26"/>
  </w:num>
  <w:num w:numId="44">
    <w:abstractNumId w:val="34"/>
  </w:num>
  <w:num w:numId="45">
    <w:abstractNumId w:val="1"/>
  </w:num>
  <w:num w:numId="46">
    <w:abstractNumId w:val="17"/>
  </w:num>
  <w:num w:numId="47">
    <w:abstractNumId w:val="32"/>
  </w:num>
  <w:num w:numId="48">
    <w:abstractNumId w:val="8"/>
  </w:num>
  <w:num w:numId="49">
    <w:abstractNumId w:val="9"/>
  </w:num>
  <w:num w:numId="50">
    <w:abstractNumId w:val="24"/>
  </w:num>
  <w:num w:numId="51">
    <w:abstractNumId w:val="28"/>
  </w:num>
  <w:num w:numId="52">
    <w:abstractNumId w:val="33"/>
  </w:num>
  <w:num w:numId="53">
    <w:abstractNumId w:val="29"/>
  </w:num>
  <w:num w:numId="54">
    <w:abstractNumId w:val="13"/>
  </w:num>
  <w:num w:numId="55">
    <w:abstractNumId w:val="7"/>
  </w:num>
  <w:num w:numId="56">
    <w:abstractNumId w:val="36"/>
  </w:num>
  <w:num w:numId="57">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AC"/>
    <w:rsid w:val="0000082E"/>
    <w:rsid w:val="00000E78"/>
    <w:rsid w:val="00001A24"/>
    <w:rsid w:val="00001A31"/>
    <w:rsid w:val="00002B89"/>
    <w:rsid w:val="00002E4F"/>
    <w:rsid w:val="00003578"/>
    <w:rsid w:val="000036A6"/>
    <w:rsid w:val="00004029"/>
    <w:rsid w:val="00005738"/>
    <w:rsid w:val="0000582F"/>
    <w:rsid w:val="00007142"/>
    <w:rsid w:val="00007B9E"/>
    <w:rsid w:val="00007FCA"/>
    <w:rsid w:val="0001021F"/>
    <w:rsid w:val="0001045D"/>
    <w:rsid w:val="00013A5E"/>
    <w:rsid w:val="0001401F"/>
    <w:rsid w:val="00014316"/>
    <w:rsid w:val="00014A81"/>
    <w:rsid w:val="00014CDB"/>
    <w:rsid w:val="00014EC6"/>
    <w:rsid w:val="00015466"/>
    <w:rsid w:val="0001681E"/>
    <w:rsid w:val="00016CD9"/>
    <w:rsid w:val="000171D7"/>
    <w:rsid w:val="00020386"/>
    <w:rsid w:val="00020B5B"/>
    <w:rsid w:val="00020DDD"/>
    <w:rsid w:val="000219D5"/>
    <w:rsid w:val="0002209D"/>
    <w:rsid w:val="0002214C"/>
    <w:rsid w:val="00022334"/>
    <w:rsid w:val="00023EAA"/>
    <w:rsid w:val="0002443D"/>
    <w:rsid w:val="00024869"/>
    <w:rsid w:val="00024BC8"/>
    <w:rsid w:val="00024BFF"/>
    <w:rsid w:val="00025183"/>
    <w:rsid w:val="000252B2"/>
    <w:rsid w:val="000265D1"/>
    <w:rsid w:val="000267A8"/>
    <w:rsid w:val="00026C2F"/>
    <w:rsid w:val="000277AE"/>
    <w:rsid w:val="000303D9"/>
    <w:rsid w:val="0003099A"/>
    <w:rsid w:val="00030D3C"/>
    <w:rsid w:val="000315C5"/>
    <w:rsid w:val="0003183D"/>
    <w:rsid w:val="00031F42"/>
    <w:rsid w:val="00032646"/>
    <w:rsid w:val="00036B21"/>
    <w:rsid w:val="000371EE"/>
    <w:rsid w:val="000378AA"/>
    <w:rsid w:val="00037FBD"/>
    <w:rsid w:val="000400A4"/>
    <w:rsid w:val="00040D84"/>
    <w:rsid w:val="0004117B"/>
    <w:rsid w:val="000415B7"/>
    <w:rsid w:val="00041906"/>
    <w:rsid w:val="00043227"/>
    <w:rsid w:val="00043530"/>
    <w:rsid w:val="0004488A"/>
    <w:rsid w:val="000455BD"/>
    <w:rsid w:val="000458F2"/>
    <w:rsid w:val="000459A0"/>
    <w:rsid w:val="00045ED5"/>
    <w:rsid w:val="00045F83"/>
    <w:rsid w:val="000463F2"/>
    <w:rsid w:val="00046B4C"/>
    <w:rsid w:val="00050A5F"/>
    <w:rsid w:val="00051DEE"/>
    <w:rsid w:val="00052470"/>
    <w:rsid w:val="00052C39"/>
    <w:rsid w:val="00053303"/>
    <w:rsid w:val="000540F2"/>
    <w:rsid w:val="000544ED"/>
    <w:rsid w:val="000547B4"/>
    <w:rsid w:val="00055053"/>
    <w:rsid w:val="0005512F"/>
    <w:rsid w:val="00057442"/>
    <w:rsid w:val="000579ED"/>
    <w:rsid w:val="00057B8E"/>
    <w:rsid w:val="000602C3"/>
    <w:rsid w:val="000603CF"/>
    <w:rsid w:val="00060F46"/>
    <w:rsid w:val="00061034"/>
    <w:rsid w:val="00061609"/>
    <w:rsid w:val="000629C0"/>
    <w:rsid w:val="00063CE9"/>
    <w:rsid w:val="00063DFE"/>
    <w:rsid w:val="000641BA"/>
    <w:rsid w:val="00064689"/>
    <w:rsid w:val="000661F1"/>
    <w:rsid w:val="00066CD1"/>
    <w:rsid w:val="00067361"/>
    <w:rsid w:val="00067DAD"/>
    <w:rsid w:val="00067DD0"/>
    <w:rsid w:val="00070026"/>
    <w:rsid w:val="000707A4"/>
    <w:rsid w:val="0007110E"/>
    <w:rsid w:val="0007155A"/>
    <w:rsid w:val="00071BAE"/>
    <w:rsid w:val="000725A3"/>
    <w:rsid w:val="00072E3A"/>
    <w:rsid w:val="00073CEF"/>
    <w:rsid w:val="00073F89"/>
    <w:rsid w:val="000741F8"/>
    <w:rsid w:val="000746F7"/>
    <w:rsid w:val="00075462"/>
    <w:rsid w:val="00075966"/>
    <w:rsid w:val="000759AD"/>
    <w:rsid w:val="00075A04"/>
    <w:rsid w:val="000800A3"/>
    <w:rsid w:val="00080E25"/>
    <w:rsid w:val="00081880"/>
    <w:rsid w:val="00081C7B"/>
    <w:rsid w:val="00082383"/>
    <w:rsid w:val="000824FA"/>
    <w:rsid w:val="00082677"/>
    <w:rsid w:val="00083A61"/>
    <w:rsid w:val="00083E55"/>
    <w:rsid w:val="000840CB"/>
    <w:rsid w:val="0008493D"/>
    <w:rsid w:val="0008558D"/>
    <w:rsid w:val="00085940"/>
    <w:rsid w:val="00085D4B"/>
    <w:rsid w:val="000862A5"/>
    <w:rsid w:val="00086970"/>
    <w:rsid w:val="00086A0D"/>
    <w:rsid w:val="00087162"/>
    <w:rsid w:val="00087A55"/>
    <w:rsid w:val="00090221"/>
    <w:rsid w:val="00090EA1"/>
    <w:rsid w:val="000913EE"/>
    <w:rsid w:val="000915CF"/>
    <w:rsid w:val="00091A38"/>
    <w:rsid w:val="00091E97"/>
    <w:rsid w:val="00092F86"/>
    <w:rsid w:val="00093026"/>
    <w:rsid w:val="00093ACB"/>
    <w:rsid w:val="00094819"/>
    <w:rsid w:val="000950D3"/>
    <w:rsid w:val="00095656"/>
    <w:rsid w:val="00095668"/>
    <w:rsid w:val="00096618"/>
    <w:rsid w:val="000968B4"/>
    <w:rsid w:val="000968C7"/>
    <w:rsid w:val="00096A28"/>
    <w:rsid w:val="00096C28"/>
    <w:rsid w:val="00097BA0"/>
    <w:rsid w:val="00097BFB"/>
    <w:rsid w:val="000A0535"/>
    <w:rsid w:val="000A0738"/>
    <w:rsid w:val="000A1191"/>
    <w:rsid w:val="000A122B"/>
    <w:rsid w:val="000A1573"/>
    <w:rsid w:val="000A24C8"/>
    <w:rsid w:val="000A28F7"/>
    <w:rsid w:val="000A2A3B"/>
    <w:rsid w:val="000A36EE"/>
    <w:rsid w:val="000A3BD0"/>
    <w:rsid w:val="000A3CA2"/>
    <w:rsid w:val="000A4F09"/>
    <w:rsid w:val="000A510B"/>
    <w:rsid w:val="000A631F"/>
    <w:rsid w:val="000A678B"/>
    <w:rsid w:val="000A7BD1"/>
    <w:rsid w:val="000B082A"/>
    <w:rsid w:val="000B0C80"/>
    <w:rsid w:val="000B0E2E"/>
    <w:rsid w:val="000B19F5"/>
    <w:rsid w:val="000B1B2F"/>
    <w:rsid w:val="000B1CB9"/>
    <w:rsid w:val="000B25D4"/>
    <w:rsid w:val="000B2C64"/>
    <w:rsid w:val="000B2D3D"/>
    <w:rsid w:val="000B38CF"/>
    <w:rsid w:val="000B4048"/>
    <w:rsid w:val="000B71DF"/>
    <w:rsid w:val="000B7CA1"/>
    <w:rsid w:val="000C002F"/>
    <w:rsid w:val="000C052D"/>
    <w:rsid w:val="000C0611"/>
    <w:rsid w:val="000C0893"/>
    <w:rsid w:val="000C1068"/>
    <w:rsid w:val="000C1ED4"/>
    <w:rsid w:val="000C3170"/>
    <w:rsid w:val="000C320D"/>
    <w:rsid w:val="000C3547"/>
    <w:rsid w:val="000C4364"/>
    <w:rsid w:val="000C488B"/>
    <w:rsid w:val="000C4C73"/>
    <w:rsid w:val="000C4CA7"/>
    <w:rsid w:val="000C5008"/>
    <w:rsid w:val="000C50FC"/>
    <w:rsid w:val="000C5D1D"/>
    <w:rsid w:val="000C5F8B"/>
    <w:rsid w:val="000C6F86"/>
    <w:rsid w:val="000C7B24"/>
    <w:rsid w:val="000D1BF3"/>
    <w:rsid w:val="000D1D4D"/>
    <w:rsid w:val="000D1E55"/>
    <w:rsid w:val="000D206C"/>
    <w:rsid w:val="000D251F"/>
    <w:rsid w:val="000D310C"/>
    <w:rsid w:val="000D32D4"/>
    <w:rsid w:val="000D45A3"/>
    <w:rsid w:val="000D4A4C"/>
    <w:rsid w:val="000D72A6"/>
    <w:rsid w:val="000E06FB"/>
    <w:rsid w:val="000E0A14"/>
    <w:rsid w:val="000E12A3"/>
    <w:rsid w:val="000E222F"/>
    <w:rsid w:val="000E2646"/>
    <w:rsid w:val="000E296F"/>
    <w:rsid w:val="000E2B80"/>
    <w:rsid w:val="000E2D8B"/>
    <w:rsid w:val="000E35E0"/>
    <w:rsid w:val="000E4C31"/>
    <w:rsid w:val="000E51BD"/>
    <w:rsid w:val="000E51FF"/>
    <w:rsid w:val="000E6BB2"/>
    <w:rsid w:val="000E736A"/>
    <w:rsid w:val="000E7A19"/>
    <w:rsid w:val="000E7DD9"/>
    <w:rsid w:val="000E7F5A"/>
    <w:rsid w:val="000F0122"/>
    <w:rsid w:val="000F01C0"/>
    <w:rsid w:val="000F1CFC"/>
    <w:rsid w:val="000F20B7"/>
    <w:rsid w:val="000F2786"/>
    <w:rsid w:val="000F4C7B"/>
    <w:rsid w:val="000F532B"/>
    <w:rsid w:val="000F7019"/>
    <w:rsid w:val="000F73FA"/>
    <w:rsid w:val="001000D0"/>
    <w:rsid w:val="0010023B"/>
    <w:rsid w:val="001009AA"/>
    <w:rsid w:val="00100AB7"/>
    <w:rsid w:val="00100FA3"/>
    <w:rsid w:val="001010B3"/>
    <w:rsid w:val="0010204D"/>
    <w:rsid w:val="001023E8"/>
    <w:rsid w:val="0010384B"/>
    <w:rsid w:val="00104037"/>
    <w:rsid w:val="00104199"/>
    <w:rsid w:val="00105044"/>
    <w:rsid w:val="001055C9"/>
    <w:rsid w:val="00105873"/>
    <w:rsid w:val="00106816"/>
    <w:rsid w:val="001072E4"/>
    <w:rsid w:val="001100EE"/>
    <w:rsid w:val="00111998"/>
    <w:rsid w:val="00111AA3"/>
    <w:rsid w:val="001139B6"/>
    <w:rsid w:val="00113DBA"/>
    <w:rsid w:val="00114202"/>
    <w:rsid w:val="0011450A"/>
    <w:rsid w:val="00114AD4"/>
    <w:rsid w:val="00115C7C"/>
    <w:rsid w:val="00115FDB"/>
    <w:rsid w:val="001165D9"/>
    <w:rsid w:val="001167BB"/>
    <w:rsid w:val="0011681D"/>
    <w:rsid w:val="00116AF2"/>
    <w:rsid w:val="00117465"/>
    <w:rsid w:val="001174A4"/>
    <w:rsid w:val="00120B4E"/>
    <w:rsid w:val="00120DDF"/>
    <w:rsid w:val="00122474"/>
    <w:rsid w:val="0012247E"/>
    <w:rsid w:val="001226D1"/>
    <w:rsid w:val="001229D8"/>
    <w:rsid w:val="00122F75"/>
    <w:rsid w:val="001231C0"/>
    <w:rsid w:val="0012415A"/>
    <w:rsid w:val="001247C3"/>
    <w:rsid w:val="00125244"/>
    <w:rsid w:val="00126D88"/>
    <w:rsid w:val="00126D94"/>
    <w:rsid w:val="00127B1C"/>
    <w:rsid w:val="00127E83"/>
    <w:rsid w:val="00130CEE"/>
    <w:rsid w:val="00131525"/>
    <w:rsid w:val="00131DC5"/>
    <w:rsid w:val="001321B5"/>
    <w:rsid w:val="001326B6"/>
    <w:rsid w:val="00132908"/>
    <w:rsid w:val="00132E11"/>
    <w:rsid w:val="001339A1"/>
    <w:rsid w:val="00133D19"/>
    <w:rsid w:val="00134071"/>
    <w:rsid w:val="00135F5D"/>
    <w:rsid w:val="00136005"/>
    <w:rsid w:val="00136330"/>
    <w:rsid w:val="001369C5"/>
    <w:rsid w:val="00136DF0"/>
    <w:rsid w:val="00136EA2"/>
    <w:rsid w:val="001400A5"/>
    <w:rsid w:val="0014060B"/>
    <w:rsid w:val="0014154A"/>
    <w:rsid w:val="0014166C"/>
    <w:rsid w:val="0014209C"/>
    <w:rsid w:val="00142536"/>
    <w:rsid w:val="00143E0C"/>
    <w:rsid w:val="001448EB"/>
    <w:rsid w:val="00145AE2"/>
    <w:rsid w:val="001464DB"/>
    <w:rsid w:val="001464E9"/>
    <w:rsid w:val="0014650D"/>
    <w:rsid w:val="00146512"/>
    <w:rsid w:val="00147261"/>
    <w:rsid w:val="00150970"/>
    <w:rsid w:val="00150F0F"/>
    <w:rsid w:val="00151099"/>
    <w:rsid w:val="001511BB"/>
    <w:rsid w:val="0015226F"/>
    <w:rsid w:val="0015360B"/>
    <w:rsid w:val="00153BDB"/>
    <w:rsid w:val="00155236"/>
    <w:rsid w:val="001564D2"/>
    <w:rsid w:val="00156F48"/>
    <w:rsid w:val="001575BB"/>
    <w:rsid w:val="001617AA"/>
    <w:rsid w:val="00161867"/>
    <w:rsid w:val="001623F8"/>
    <w:rsid w:val="001624F6"/>
    <w:rsid w:val="001629A0"/>
    <w:rsid w:val="001631FC"/>
    <w:rsid w:val="00163DF6"/>
    <w:rsid w:val="001640B2"/>
    <w:rsid w:val="0016439A"/>
    <w:rsid w:val="001658E7"/>
    <w:rsid w:val="00165AB9"/>
    <w:rsid w:val="00165C1D"/>
    <w:rsid w:val="00165F0E"/>
    <w:rsid w:val="001660F1"/>
    <w:rsid w:val="00166927"/>
    <w:rsid w:val="00166E11"/>
    <w:rsid w:val="0016716E"/>
    <w:rsid w:val="0016784C"/>
    <w:rsid w:val="001706C7"/>
    <w:rsid w:val="00170F90"/>
    <w:rsid w:val="00171103"/>
    <w:rsid w:val="0017181D"/>
    <w:rsid w:val="00171AF5"/>
    <w:rsid w:val="00172D45"/>
    <w:rsid w:val="001730B4"/>
    <w:rsid w:val="00173B2C"/>
    <w:rsid w:val="0017525A"/>
    <w:rsid w:val="0017602B"/>
    <w:rsid w:val="0017653A"/>
    <w:rsid w:val="001776CA"/>
    <w:rsid w:val="00177B85"/>
    <w:rsid w:val="00180552"/>
    <w:rsid w:val="0018175F"/>
    <w:rsid w:val="001820F6"/>
    <w:rsid w:val="001826FE"/>
    <w:rsid w:val="00182A15"/>
    <w:rsid w:val="00183693"/>
    <w:rsid w:val="00183D00"/>
    <w:rsid w:val="00184274"/>
    <w:rsid w:val="001855C0"/>
    <w:rsid w:val="001856B9"/>
    <w:rsid w:val="00185DE0"/>
    <w:rsid w:val="001866A6"/>
    <w:rsid w:val="0018729C"/>
    <w:rsid w:val="0018730B"/>
    <w:rsid w:val="0018783B"/>
    <w:rsid w:val="00190518"/>
    <w:rsid w:val="00191931"/>
    <w:rsid w:val="00191C98"/>
    <w:rsid w:val="001921A0"/>
    <w:rsid w:val="00192676"/>
    <w:rsid w:val="00192767"/>
    <w:rsid w:val="001929D8"/>
    <w:rsid w:val="0019468E"/>
    <w:rsid w:val="00195A41"/>
    <w:rsid w:val="00195A70"/>
    <w:rsid w:val="00195DDB"/>
    <w:rsid w:val="0019632C"/>
    <w:rsid w:val="00196494"/>
    <w:rsid w:val="001971E1"/>
    <w:rsid w:val="00197942"/>
    <w:rsid w:val="001A0698"/>
    <w:rsid w:val="001A0BCD"/>
    <w:rsid w:val="001A18F6"/>
    <w:rsid w:val="001A2A6C"/>
    <w:rsid w:val="001A2DE0"/>
    <w:rsid w:val="001A4047"/>
    <w:rsid w:val="001A43F3"/>
    <w:rsid w:val="001A5412"/>
    <w:rsid w:val="001A5BDB"/>
    <w:rsid w:val="001A6012"/>
    <w:rsid w:val="001A6465"/>
    <w:rsid w:val="001A6AAE"/>
    <w:rsid w:val="001A787F"/>
    <w:rsid w:val="001A7B82"/>
    <w:rsid w:val="001B00A5"/>
    <w:rsid w:val="001B0135"/>
    <w:rsid w:val="001B0CF1"/>
    <w:rsid w:val="001B10D7"/>
    <w:rsid w:val="001B116A"/>
    <w:rsid w:val="001B1C01"/>
    <w:rsid w:val="001B1FFD"/>
    <w:rsid w:val="001B2ED4"/>
    <w:rsid w:val="001B308D"/>
    <w:rsid w:val="001B3CC5"/>
    <w:rsid w:val="001B3DC8"/>
    <w:rsid w:val="001B4A27"/>
    <w:rsid w:val="001B4B5C"/>
    <w:rsid w:val="001B536E"/>
    <w:rsid w:val="001B5501"/>
    <w:rsid w:val="001B5B58"/>
    <w:rsid w:val="001B5CD2"/>
    <w:rsid w:val="001B6721"/>
    <w:rsid w:val="001B6923"/>
    <w:rsid w:val="001B735B"/>
    <w:rsid w:val="001B75C2"/>
    <w:rsid w:val="001B77F3"/>
    <w:rsid w:val="001B7D05"/>
    <w:rsid w:val="001B7E2F"/>
    <w:rsid w:val="001C07C5"/>
    <w:rsid w:val="001C0BBF"/>
    <w:rsid w:val="001C2A8B"/>
    <w:rsid w:val="001C2D1D"/>
    <w:rsid w:val="001C304C"/>
    <w:rsid w:val="001C3BEA"/>
    <w:rsid w:val="001C490B"/>
    <w:rsid w:val="001C4C0D"/>
    <w:rsid w:val="001C5B54"/>
    <w:rsid w:val="001C6A3D"/>
    <w:rsid w:val="001C7528"/>
    <w:rsid w:val="001C7A50"/>
    <w:rsid w:val="001D0BFF"/>
    <w:rsid w:val="001D14BD"/>
    <w:rsid w:val="001D15F5"/>
    <w:rsid w:val="001D1949"/>
    <w:rsid w:val="001D1FD3"/>
    <w:rsid w:val="001D2601"/>
    <w:rsid w:val="001D3219"/>
    <w:rsid w:val="001D3384"/>
    <w:rsid w:val="001D3F91"/>
    <w:rsid w:val="001D420B"/>
    <w:rsid w:val="001D425C"/>
    <w:rsid w:val="001D47E9"/>
    <w:rsid w:val="001D4C85"/>
    <w:rsid w:val="001D5151"/>
    <w:rsid w:val="001D52A4"/>
    <w:rsid w:val="001D6EB0"/>
    <w:rsid w:val="001D74D2"/>
    <w:rsid w:val="001E169C"/>
    <w:rsid w:val="001E1A9E"/>
    <w:rsid w:val="001E20F4"/>
    <w:rsid w:val="001E2309"/>
    <w:rsid w:val="001E2D56"/>
    <w:rsid w:val="001E2DC5"/>
    <w:rsid w:val="001E31FE"/>
    <w:rsid w:val="001E32D1"/>
    <w:rsid w:val="001E3712"/>
    <w:rsid w:val="001E3C25"/>
    <w:rsid w:val="001E4894"/>
    <w:rsid w:val="001E6401"/>
    <w:rsid w:val="001E658A"/>
    <w:rsid w:val="001E66B2"/>
    <w:rsid w:val="001E6EA9"/>
    <w:rsid w:val="001E6F73"/>
    <w:rsid w:val="001E71B8"/>
    <w:rsid w:val="001E7E46"/>
    <w:rsid w:val="001F00D4"/>
    <w:rsid w:val="001F0AAC"/>
    <w:rsid w:val="001F0B14"/>
    <w:rsid w:val="001F1032"/>
    <w:rsid w:val="001F181C"/>
    <w:rsid w:val="001F18C2"/>
    <w:rsid w:val="001F1CCA"/>
    <w:rsid w:val="001F2D73"/>
    <w:rsid w:val="001F4DA7"/>
    <w:rsid w:val="001F4F1E"/>
    <w:rsid w:val="001F5DE3"/>
    <w:rsid w:val="001F6EEB"/>
    <w:rsid w:val="00200AF3"/>
    <w:rsid w:val="00200FB0"/>
    <w:rsid w:val="00201858"/>
    <w:rsid w:val="00201D7D"/>
    <w:rsid w:val="00202260"/>
    <w:rsid w:val="00202827"/>
    <w:rsid w:val="00202E8B"/>
    <w:rsid w:val="0020309B"/>
    <w:rsid w:val="002036F3"/>
    <w:rsid w:val="002040BF"/>
    <w:rsid w:val="00204F3F"/>
    <w:rsid w:val="00205829"/>
    <w:rsid w:val="00205876"/>
    <w:rsid w:val="00205D75"/>
    <w:rsid w:val="002065BF"/>
    <w:rsid w:val="002065C8"/>
    <w:rsid w:val="00206B32"/>
    <w:rsid w:val="00206D13"/>
    <w:rsid w:val="002105E3"/>
    <w:rsid w:val="00210A5D"/>
    <w:rsid w:val="002110C8"/>
    <w:rsid w:val="00211594"/>
    <w:rsid w:val="00211929"/>
    <w:rsid w:val="00212047"/>
    <w:rsid w:val="0021219D"/>
    <w:rsid w:val="00212906"/>
    <w:rsid w:val="00212975"/>
    <w:rsid w:val="00212A4A"/>
    <w:rsid w:val="002137D5"/>
    <w:rsid w:val="00213845"/>
    <w:rsid w:val="00213E4E"/>
    <w:rsid w:val="00215143"/>
    <w:rsid w:val="0021670E"/>
    <w:rsid w:val="002215D8"/>
    <w:rsid w:val="0022269E"/>
    <w:rsid w:val="0022297A"/>
    <w:rsid w:val="00222F6C"/>
    <w:rsid w:val="0022335D"/>
    <w:rsid w:val="00223F66"/>
    <w:rsid w:val="00224938"/>
    <w:rsid w:val="0022495F"/>
    <w:rsid w:val="00226B7E"/>
    <w:rsid w:val="00226C66"/>
    <w:rsid w:val="00227899"/>
    <w:rsid w:val="00227BA2"/>
    <w:rsid w:val="00227D9B"/>
    <w:rsid w:val="00230B8E"/>
    <w:rsid w:val="00231706"/>
    <w:rsid w:val="00231EB4"/>
    <w:rsid w:val="002336F4"/>
    <w:rsid w:val="00233D17"/>
    <w:rsid w:val="00234192"/>
    <w:rsid w:val="0023453E"/>
    <w:rsid w:val="00235196"/>
    <w:rsid w:val="002353E9"/>
    <w:rsid w:val="00236057"/>
    <w:rsid w:val="00236B46"/>
    <w:rsid w:val="002370EE"/>
    <w:rsid w:val="002377CA"/>
    <w:rsid w:val="00241380"/>
    <w:rsid w:val="0024286F"/>
    <w:rsid w:val="00243892"/>
    <w:rsid w:val="00243D10"/>
    <w:rsid w:val="00244D8C"/>
    <w:rsid w:val="00244F26"/>
    <w:rsid w:val="0024587F"/>
    <w:rsid w:val="002464B6"/>
    <w:rsid w:val="00246A5D"/>
    <w:rsid w:val="00247440"/>
    <w:rsid w:val="00247945"/>
    <w:rsid w:val="00250170"/>
    <w:rsid w:val="00251E2D"/>
    <w:rsid w:val="0025303C"/>
    <w:rsid w:val="00253066"/>
    <w:rsid w:val="002530FD"/>
    <w:rsid w:val="002531B7"/>
    <w:rsid w:val="002548B7"/>
    <w:rsid w:val="00254AF4"/>
    <w:rsid w:val="00254FE7"/>
    <w:rsid w:val="0025657C"/>
    <w:rsid w:val="002565EB"/>
    <w:rsid w:val="00257230"/>
    <w:rsid w:val="00257574"/>
    <w:rsid w:val="00257A06"/>
    <w:rsid w:val="00257ACF"/>
    <w:rsid w:val="00262D6B"/>
    <w:rsid w:val="00264376"/>
    <w:rsid w:val="002643C4"/>
    <w:rsid w:val="00264B8F"/>
    <w:rsid w:val="00265587"/>
    <w:rsid w:val="00265FC1"/>
    <w:rsid w:val="00266397"/>
    <w:rsid w:val="00266921"/>
    <w:rsid w:val="002671E4"/>
    <w:rsid w:val="00267E17"/>
    <w:rsid w:val="0027021A"/>
    <w:rsid w:val="00270740"/>
    <w:rsid w:val="002712DC"/>
    <w:rsid w:val="00271632"/>
    <w:rsid w:val="00271724"/>
    <w:rsid w:val="00272DB5"/>
    <w:rsid w:val="002733E8"/>
    <w:rsid w:val="00273870"/>
    <w:rsid w:val="00273A0D"/>
    <w:rsid w:val="00273FC3"/>
    <w:rsid w:val="002748F8"/>
    <w:rsid w:val="002754AE"/>
    <w:rsid w:val="00275840"/>
    <w:rsid w:val="002758C6"/>
    <w:rsid w:val="002762AB"/>
    <w:rsid w:val="0027660D"/>
    <w:rsid w:val="00276C6E"/>
    <w:rsid w:val="00276EC4"/>
    <w:rsid w:val="00277261"/>
    <w:rsid w:val="00277420"/>
    <w:rsid w:val="002775AD"/>
    <w:rsid w:val="00277C15"/>
    <w:rsid w:val="00277DF9"/>
    <w:rsid w:val="00281B50"/>
    <w:rsid w:val="00281F5B"/>
    <w:rsid w:val="0028241D"/>
    <w:rsid w:val="002828EA"/>
    <w:rsid w:val="0028310C"/>
    <w:rsid w:val="0028384E"/>
    <w:rsid w:val="002838DD"/>
    <w:rsid w:val="0028429D"/>
    <w:rsid w:val="002847B3"/>
    <w:rsid w:val="0028543C"/>
    <w:rsid w:val="00285998"/>
    <w:rsid w:val="00285EAE"/>
    <w:rsid w:val="00285F07"/>
    <w:rsid w:val="00286635"/>
    <w:rsid w:val="002870DC"/>
    <w:rsid w:val="00290FF6"/>
    <w:rsid w:val="0029133B"/>
    <w:rsid w:val="00291376"/>
    <w:rsid w:val="002914A7"/>
    <w:rsid w:val="00291913"/>
    <w:rsid w:val="00291A36"/>
    <w:rsid w:val="00292247"/>
    <w:rsid w:val="00292346"/>
    <w:rsid w:val="00292B72"/>
    <w:rsid w:val="00293590"/>
    <w:rsid w:val="002935F8"/>
    <w:rsid w:val="00293C53"/>
    <w:rsid w:val="0029406D"/>
    <w:rsid w:val="00294325"/>
    <w:rsid w:val="0029436C"/>
    <w:rsid w:val="0029500A"/>
    <w:rsid w:val="00295D5B"/>
    <w:rsid w:val="00295F9C"/>
    <w:rsid w:val="00295FA5"/>
    <w:rsid w:val="00296056"/>
    <w:rsid w:val="00297036"/>
    <w:rsid w:val="0029714E"/>
    <w:rsid w:val="00297207"/>
    <w:rsid w:val="00297577"/>
    <w:rsid w:val="002A0A81"/>
    <w:rsid w:val="002A1CE0"/>
    <w:rsid w:val="002A246A"/>
    <w:rsid w:val="002A25D8"/>
    <w:rsid w:val="002A3A02"/>
    <w:rsid w:val="002A4AD2"/>
    <w:rsid w:val="002A4D0B"/>
    <w:rsid w:val="002A5636"/>
    <w:rsid w:val="002A7335"/>
    <w:rsid w:val="002A7DED"/>
    <w:rsid w:val="002B0820"/>
    <w:rsid w:val="002B0E29"/>
    <w:rsid w:val="002B226C"/>
    <w:rsid w:val="002B2552"/>
    <w:rsid w:val="002B2A7A"/>
    <w:rsid w:val="002B2BA1"/>
    <w:rsid w:val="002B2F15"/>
    <w:rsid w:val="002B31D7"/>
    <w:rsid w:val="002B4448"/>
    <w:rsid w:val="002B4819"/>
    <w:rsid w:val="002B4998"/>
    <w:rsid w:val="002B5277"/>
    <w:rsid w:val="002B5876"/>
    <w:rsid w:val="002B5BD6"/>
    <w:rsid w:val="002B5D7B"/>
    <w:rsid w:val="002B611C"/>
    <w:rsid w:val="002B6651"/>
    <w:rsid w:val="002B686F"/>
    <w:rsid w:val="002B694B"/>
    <w:rsid w:val="002B6EC0"/>
    <w:rsid w:val="002B7284"/>
    <w:rsid w:val="002C0098"/>
    <w:rsid w:val="002C0591"/>
    <w:rsid w:val="002C06CD"/>
    <w:rsid w:val="002C0B70"/>
    <w:rsid w:val="002C1743"/>
    <w:rsid w:val="002C1F86"/>
    <w:rsid w:val="002C2085"/>
    <w:rsid w:val="002C2502"/>
    <w:rsid w:val="002C2967"/>
    <w:rsid w:val="002C33F0"/>
    <w:rsid w:val="002C3A67"/>
    <w:rsid w:val="002C6690"/>
    <w:rsid w:val="002C6A73"/>
    <w:rsid w:val="002C6DE9"/>
    <w:rsid w:val="002C742E"/>
    <w:rsid w:val="002C76BE"/>
    <w:rsid w:val="002C7C3C"/>
    <w:rsid w:val="002D02D2"/>
    <w:rsid w:val="002D117C"/>
    <w:rsid w:val="002D2651"/>
    <w:rsid w:val="002D28F3"/>
    <w:rsid w:val="002D36B4"/>
    <w:rsid w:val="002D3A20"/>
    <w:rsid w:val="002D4A28"/>
    <w:rsid w:val="002D4A65"/>
    <w:rsid w:val="002D50C4"/>
    <w:rsid w:val="002D5664"/>
    <w:rsid w:val="002D5EA7"/>
    <w:rsid w:val="002D61BA"/>
    <w:rsid w:val="002D622C"/>
    <w:rsid w:val="002D649F"/>
    <w:rsid w:val="002D64FD"/>
    <w:rsid w:val="002D68D4"/>
    <w:rsid w:val="002D694D"/>
    <w:rsid w:val="002D69F7"/>
    <w:rsid w:val="002D6B00"/>
    <w:rsid w:val="002D6BB2"/>
    <w:rsid w:val="002D79B0"/>
    <w:rsid w:val="002D7B62"/>
    <w:rsid w:val="002E0F79"/>
    <w:rsid w:val="002E1249"/>
    <w:rsid w:val="002E142F"/>
    <w:rsid w:val="002E1B52"/>
    <w:rsid w:val="002E20E9"/>
    <w:rsid w:val="002E2204"/>
    <w:rsid w:val="002E26C7"/>
    <w:rsid w:val="002E2CA0"/>
    <w:rsid w:val="002E2E92"/>
    <w:rsid w:val="002E4092"/>
    <w:rsid w:val="002E5363"/>
    <w:rsid w:val="002E5564"/>
    <w:rsid w:val="002E5E11"/>
    <w:rsid w:val="002E5FDD"/>
    <w:rsid w:val="002E7065"/>
    <w:rsid w:val="002E79B0"/>
    <w:rsid w:val="002F05A6"/>
    <w:rsid w:val="002F0820"/>
    <w:rsid w:val="002F1492"/>
    <w:rsid w:val="002F19E1"/>
    <w:rsid w:val="002F2CFA"/>
    <w:rsid w:val="002F2E99"/>
    <w:rsid w:val="002F33F5"/>
    <w:rsid w:val="002F34EA"/>
    <w:rsid w:val="002F428C"/>
    <w:rsid w:val="002F4ADF"/>
    <w:rsid w:val="002F4BB0"/>
    <w:rsid w:val="002F55DA"/>
    <w:rsid w:val="002F5CD1"/>
    <w:rsid w:val="002F65C9"/>
    <w:rsid w:val="00300F11"/>
    <w:rsid w:val="00301614"/>
    <w:rsid w:val="00301ACA"/>
    <w:rsid w:val="00301AE4"/>
    <w:rsid w:val="003023DF"/>
    <w:rsid w:val="00302679"/>
    <w:rsid w:val="0030296D"/>
    <w:rsid w:val="00302F6A"/>
    <w:rsid w:val="00303DD7"/>
    <w:rsid w:val="0030432D"/>
    <w:rsid w:val="003046DA"/>
    <w:rsid w:val="00305050"/>
    <w:rsid w:val="00306618"/>
    <w:rsid w:val="003072D6"/>
    <w:rsid w:val="00307B73"/>
    <w:rsid w:val="0031028B"/>
    <w:rsid w:val="00310B7E"/>
    <w:rsid w:val="00310F1B"/>
    <w:rsid w:val="0031133E"/>
    <w:rsid w:val="00311679"/>
    <w:rsid w:val="0031211C"/>
    <w:rsid w:val="003126B2"/>
    <w:rsid w:val="00312751"/>
    <w:rsid w:val="00313627"/>
    <w:rsid w:val="00315880"/>
    <w:rsid w:val="00316401"/>
    <w:rsid w:val="00316CC4"/>
    <w:rsid w:val="00317397"/>
    <w:rsid w:val="0031748B"/>
    <w:rsid w:val="0031791B"/>
    <w:rsid w:val="003202C0"/>
    <w:rsid w:val="00320BB1"/>
    <w:rsid w:val="003218D7"/>
    <w:rsid w:val="00322303"/>
    <w:rsid w:val="00322DB2"/>
    <w:rsid w:val="00322E08"/>
    <w:rsid w:val="00323287"/>
    <w:rsid w:val="003237B1"/>
    <w:rsid w:val="00323B2A"/>
    <w:rsid w:val="00323FA9"/>
    <w:rsid w:val="00324186"/>
    <w:rsid w:val="003243B8"/>
    <w:rsid w:val="00325B10"/>
    <w:rsid w:val="00325CA6"/>
    <w:rsid w:val="00325EA5"/>
    <w:rsid w:val="00325FFD"/>
    <w:rsid w:val="003266B5"/>
    <w:rsid w:val="00326F28"/>
    <w:rsid w:val="00326FC3"/>
    <w:rsid w:val="0032741F"/>
    <w:rsid w:val="00327848"/>
    <w:rsid w:val="00327C98"/>
    <w:rsid w:val="00327CA9"/>
    <w:rsid w:val="00327CD4"/>
    <w:rsid w:val="003309C0"/>
    <w:rsid w:val="003315AB"/>
    <w:rsid w:val="003330BD"/>
    <w:rsid w:val="0033354A"/>
    <w:rsid w:val="00333E5A"/>
    <w:rsid w:val="00334013"/>
    <w:rsid w:val="00334B6D"/>
    <w:rsid w:val="003357AF"/>
    <w:rsid w:val="003358AF"/>
    <w:rsid w:val="00335933"/>
    <w:rsid w:val="003359B0"/>
    <w:rsid w:val="00335A0E"/>
    <w:rsid w:val="0033622F"/>
    <w:rsid w:val="003366F9"/>
    <w:rsid w:val="00336CDD"/>
    <w:rsid w:val="00336DD6"/>
    <w:rsid w:val="003370CC"/>
    <w:rsid w:val="003372A5"/>
    <w:rsid w:val="00340A1B"/>
    <w:rsid w:val="00340E4D"/>
    <w:rsid w:val="0034180F"/>
    <w:rsid w:val="00341A71"/>
    <w:rsid w:val="0034231A"/>
    <w:rsid w:val="003427A8"/>
    <w:rsid w:val="00343177"/>
    <w:rsid w:val="0034372C"/>
    <w:rsid w:val="003441FB"/>
    <w:rsid w:val="0034445A"/>
    <w:rsid w:val="00345A0E"/>
    <w:rsid w:val="00346A5F"/>
    <w:rsid w:val="003471EC"/>
    <w:rsid w:val="00347FDC"/>
    <w:rsid w:val="00350022"/>
    <w:rsid w:val="00352545"/>
    <w:rsid w:val="00352762"/>
    <w:rsid w:val="00352F09"/>
    <w:rsid w:val="00353594"/>
    <w:rsid w:val="00354AE7"/>
    <w:rsid w:val="00356206"/>
    <w:rsid w:val="00356A8D"/>
    <w:rsid w:val="003577C6"/>
    <w:rsid w:val="00357B91"/>
    <w:rsid w:val="00360CED"/>
    <w:rsid w:val="00360FB8"/>
    <w:rsid w:val="0036121C"/>
    <w:rsid w:val="00361D52"/>
    <w:rsid w:val="00363137"/>
    <w:rsid w:val="0036354A"/>
    <w:rsid w:val="00363EE5"/>
    <w:rsid w:val="00363F93"/>
    <w:rsid w:val="00364209"/>
    <w:rsid w:val="00364B3C"/>
    <w:rsid w:val="00364CD6"/>
    <w:rsid w:val="0036508A"/>
    <w:rsid w:val="00365682"/>
    <w:rsid w:val="00365916"/>
    <w:rsid w:val="00365D34"/>
    <w:rsid w:val="00366C00"/>
    <w:rsid w:val="00366FBB"/>
    <w:rsid w:val="00367536"/>
    <w:rsid w:val="0036790A"/>
    <w:rsid w:val="00367A53"/>
    <w:rsid w:val="00367D5E"/>
    <w:rsid w:val="00367FD3"/>
    <w:rsid w:val="003714BE"/>
    <w:rsid w:val="00371C16"/>
    <w:rsid w:val="00372057"/>
    <w:rsid w:val="00372E83"/>
    <w:rsid w:val="00373710"/>
    <w:rsid w:val="003738B9"/>
    <w:rsid w:val="00373E80"/>
    <w:rsid w:val="003741DD"/>
    <w:rsid w:val="00375807"/>
    <w:rsid w:val="00375B8E"/>
    <w:rsid w:val="00375B9D"/>
    <w:rsid w:val="00375C95"/>
    <w:rsid w:val="00376562"/>
    <w:rsid w:val="0037703E"/>
    <w:rsid w:val="00380015"/>
    <w:rsid w:val="0038027B"/>
    <w:rsid w:val="00380330"/>
    <w:rsid w:val="00381478"/>
    <w:rsid w:val="00382422"/>
    <w:rsid w:val="00382E87"/>
    <w:rsid w:val="0038309A"/>
    <w:rsid w:val="003837A6"/>
    <w:rsid w:val="0038426E"/>
    <w:rsid w:val="00384428"/>
    <w:rsid w:val="00385562"/>
    <w:rsid w:val="00385896"/>
    <w:rsid w:val="003858AB"/>
    <w:rsid w:val="003859B5"/>
    <w:rsid w:val="003867D8"/>
    <w:rsid w:val="00387576"/>
    <w:rsid w:val="00387980"/>
    <w:rsid w:val="003901C2"/>
    <w:rsid w:val="0039091E"/>
    <w:rsid w:val="00390B0B"/>
    <w:rsid w:val="00390E73"/>
    <w:rsid w:val="0039171A"/>
    <w:rsid w:val="00392878"/>
    <w:rsid w:val="00393242"/>
    <w:rsid w:val="003940BD"/>
    <w:rsid w:val="003941E7"/>
    <w:rsid w:val="003943F5"/>
    <w:rsid w:val="003946CA"/>
    <w:rsid w:val="00395079"/>
    <w:rsid w:val="00395152"/>
    <w:rsid w:val="003951B7"/>
    <w:rsid w:val="00395712"/>
    <w:rsid w:val="003960F9"/>
    <w:rsid w:val="0039651D"/>
    <w:rsid w:val="003966C3"/>
    <w:rsid w:val="003969C2"/>
    <w:rsid w:val="00396C5C"/>
    <w:rsid w:val="0039759A"/>
    <w:rsid w:val="003A03D3"/>
    <w:rsid w:val="003A0768"/>
    <w:rsid w:val="003A1616"/>
    <w:rsid w:val="003A2A1D"/>
    <w:rsid w:val="003A2C51"/>
    <w:rsid w:val="003A2C88"/>
    <w:rsid w:val="003A2E2B"/>
    <w:rsid w:val="003A2FB8"/>
    <w:rsid w:val="003A3B63"/>
    <w:rsid w:val="003A4029"/>
    <w:rsid w:val="003A41EB"/>
    <w:rsid w:val="003A487C"/>
    <w:rsid w:val="003A4D68"/>
    <w:rsid w:val="003A5553"/>
    <w:rsid w:val="003A6564"/>
    <w:rsid w:val="003A7D46"/>
    <w:rsid w:val="003B0146"/>
    <w:rsid w:val="003B0197"/>
    <w:rsid w:val="003B20D7"/>
    <w:rsid w:val="003B2E76"/>
    <w:rsid w:val="003B3862"/>
    <w:rsid w:val="003B3CED"/>
    <w:rsid w:val="003B4B1F"/>
    <w:rsid w:val="003B505C"/>
    <w:rsid w:val="003B67CB"/>
    <w:rsid w:val="003B6B0A"/>
    <w:rsid w:val="003B7B16"/>
    <w:rsid w:val="003B7C82"/>
    <w:rsid w:val="003C089D"/>
    <w:rsid w:val="003C0E92"/>
    <w:rsid w:val="003C10D3"/>
    <w:rsid w:val="003C15EF"/>
    <w:rsid w:val="003C20DB"/>
    <w:rsid w:val="003C2572"/>
    <w:rsid w:val="003C25E4"/>
    <w:rsid w:val="003C2B40"/>
    <w:rsid w:val="003C3159"/>
    <w:rsid w:val="003C336C"/>
    <w:rsid w:val="003C33FF"/>
    <w:rsid w:val="003C3964"/>
    <w:rsid w:val="003C4885"/>
    <w:rsid w:val="003C4E12"/>
    <w:rsid w:val="003C5873"/>
    <w:rsid w:val="003C5FDF"/>
    <w:rsid w:val="003C65D1"/>
    <w:rsid w:val="003C6A62"/>
    <w:rsid w:val="003C6E2F"/>
    <w:rsid w:val="003D06AE"/>
    <w:rsid w:val="003D20AA"/>
    <w:rsid w:val="003D220E"/>
    <w:rsid w:val="003D2583"/>
    <w:rsid w:val="003D36F4"/>
    <w:rsid w:val="003D3FF6"/>
    <w:rsid w:val="003D408A"/>
    <w:rsid w:val="003D5886"/>
    <w:rsid w:val="003D5F7A"/>
    <w:rsid w:val="003D60F9"/>
    <w:rsid w:val="003D692A"/>
    <w:rsid w:val="003D6B29"/>
    <w:rsid w:val="003D6D77"/>
    <w:rsid w:val="003E05A0"/>
    <w:rsid w:val="003E1FB4"/>
    <w:rsid w:val="003E2989"/>
    <w:rsid w:val="003E34BE"/>
    <w:rsid w:val="003E3BCE"/>
    <w:rsid w:val="003E472D"/>
    <w:rsid w:val="003E4A52"/>
    <w:rsid w:val="003E4D7F"/>
    <w:rsid w:val="003E55A0"/>
    <w:rsid w:val="003E5E6B"/>
    <w:rsid w:val="003E6E0B"/>
    <w:rsid w:val="003E7D08"/>
    <w:rsid w:val="003F00D7"/>
    <w:rsid w:val="003F122D"/>
    <w:rsid w:val="003F1500"/>
    <w:rsid w:val="003F15F7"/>
    <w:rsid w:val="003F1FE9"/>
    <w:rsid w:val="003F259F"/>
    <w:rsid w:val="003F26EC"/>
    <w:rsid w:val="003F2800"/>
    <w:rsid w:val="003F283C"/>
    <w:rsid w:val="003F31F1"/>
    <w:rsid w:val="003F4440"/>
    <w:rsid w:val="003F448D"/>
    <w:rsid w:val="003F4C90"/>
    <w:rsid w:val="003F6E60"/>
    <w:rsid w:val="003F71A9"/>
    <w:rsid w:val="003F7281"/>
    <w:rsid w:val="003F7558"/>
    <w:rsid w:val="003F77F1"/>
    <w:rsid w:val="003F7FEB"/>
    <w:rsid w:val="00400A84"/>
    <w:rsid w:val="00400D1F"/>
    <w:rsid w:val="00400EDD"/>
    <w:rsid w:val="00401464"/>
    <w:rsid w:val="00401550"/>
    <w:rsid w:val="00401963"/>
    <w:rsid w:val="004019FC"/>
    <w:rsid w:val="00401C8A"/>
    <w:rsid w:val="00401CB0"/>
    <w:rsid w:val="00401D6B"/>
    <w:rsid w:val="00402B8A"/>
    <w:rsid w:val="00402F41"/>
    <w:rsid w:val="00402F7F"/>
    <w:rsid w:val="00403179"/>
    <w:rsid w:val="00403CF8"/>
    <w:rsid w:val="004041A5"/>
    <w:rsid w:val="0040426D"/>
    <w:rsid w:val="00405EE2"/>
    <w:rsid w:val="0040617C"/>
    <w:rsid w:val="00407DCA"/>
    <w:rsid w:val="00410309"/>
    <w:rsid w:val="004106A4"/>
    <w:rsid w:val="00411F5F"/>
    <w:rsid w:val="004120E0"/>
    <w:rsid w:val="00412DA4"/>
    <w:rsid w:val="00413F34"/>
    <w:rsid w:val="004140A0"/>
    <w:rsid w:val="004140CE"/>
    <w:rsid w:val="00415F95"/>
    <w:rsid w:val="00415FEF"/>
    <w:rsid w:val="004167C9"/>
    <w:rsid w:val="004174AF"/>
    <w:rsid w:val="00417A81"/>
    <w:rsid w:val="00417CDF"/>
    <w:rsid w:val="00417DB2"/>
    <w:rsid w:val="00417E72"/>
    <w:rsid w:val="00420187"/>
    <w:rsid w:val="00420716"/>
    <w:rsid w:val="00421962"/>
    <w:rsid w:val="004227D5"/>
    <w:rsid w:val="00423797"/>
    <w:rsid w:val="00423951"/>
    <w:rsid w:val="00423E58"/>
    <w:rsid w:val="004247E7"/>
    <w:rsid w:val="00424B8B"/>
    <w:rsid w:val="004267B9"/>
    <w:rsid w:val="00427F02"/>
    <w:rsid w:val="004315DA"/>
    <w:rsid w:val="00431D76"/>
    <w:rsid w:val="00431FB7"/>
    <w:rsid w:val="00432246"/>
    <w:rsid w:val="00432974"/>
    <w:rsid w:val="004336DA"/>
    <w:rsid w:val="0043397F"/>
    <w:rsid w:val="004339C6"/>
    <w:rsid w:val="004339CA"/>
    <w:rsid w:val="00433D18"/>
    <w:rsid w:val="00434686"/>
    <w:rsid w:val="00434885"/>
    <w:rsid w:val="00435B1E"/>
    <w:rsid w:val="00435CEC"/>
    <w:rsid w:val="00436F35"/>
    <w:rsid w:val="0043783A"/>
    <w:rsid w:val="00437B34"/>
    <w:rsid w:val="00437E9B"/>
    <w:rsid w:val="00440199"/>
    <w:rsid w:val="0044079F"/>
    <w:rsid w:val="00440813"/>
    <w:rsid w:val="00440E58"/>
    <w:rsid w:val="004416D4"/>
    <w:rsid w:val="00442E71"/>
    <w:rsid w:val="00443125"/>
    <w:rsid w:val="0044397B"/>
    <w:rsid w:val="00444D33"/>
    <w:rsid w:val="00445141"/>
    <w:rsid w:val="00445707"/>
    <w:rsid w:val="00445AFF"/>
    <w:rsid w:val="00445F17"/>
    <w:rsid w:val="00445F63"/>
    <w:rsid w:val="00450F49"/>
    <w:rsid w:val="00451235"/>
    <w:rsid w:val="0045132D"/>
    <w:rsid w:val="00451B6F"/>
    <w:rsid w:val="00451E64"/>
    <w:rsid w:val="0045220F"/>
    <w:rsid w:val="00453631"/>
    <w:rsid w:val="00453BB1"/>
    <w:rsid w:val="00453CD2"/>
    <w:rsid w:val="00454129"/>
    <w:rsid w:val="00454AC2"/>
    <w:rsid w:val="00456B66"/>
    <w:rsid w:val="00456B71"/>
    <w:rsid w:val="00457825"/>
    <w:rsid w:val="004578B3"/>
    <w:rsid w:val="00460633"/>
    <w:rsid w:val="00460836"/>
    <w:rsid w:val="004610F7"/>
    <w:rsid w:val="00461212"/>
    <w:rsid w:val="00461DF4"/>
    <w:rsid w:val="0046394F"/>
    <w:rsid w:val="004647A3"/>
    <w:rsid w:val="00464FDB"/>
    <w:rsid w:val="00464FFD"/>
    <w:rsid w:val="00465950"/>
    <w:rsid w:val="00466A67"/>
    <w:rsid w:val="00466DE1"/>
    <w:rsid w:val="004677FC"/>
    <w:rsid w:val="004678C3"/>
    <w:rsid w:val="004700A8"/>
    <w:rsid w:val="004705AB"/>
    <w:rsid w:val="00470EE6"/>
    <w:rsid w:val="0047124D"/>
    <w:rsid w:val="004712DA"/>
    <w:rsid w:val="004716B7"/>
    <w:rsid w:val="004718F6"/>
    <w:rsid w:val="00471AAC"/>
    <w:rsid w:val="00471DE2"/>
    <w:rsid w:val="0047211A"/>
    <w:rsid w:val="00472AE7"/>
    <w:rsid w:val="004736EA"/>
    <w:rsid w:val="00474927"/>
    <w:rsid w:val="00474B46"/>
    <w:rsid w:val="00474B70"/>
    <w:rsid w:val="00474BE9"/>
    <w:rsid w:val="0047526D"/>
    <w:rsid w:val="004763FE"/>
    <w:rsid w:val="00476A00"/>
    <w:rsid w:val="0047775E"/>
    <w:rsid w:val="0047781B"/>
    <w:rsid w:val="00480804"/>
    <w:rsid w:val="00480E2A"/>
    <w:rsid w:val="00480EB7"/>
    <w:rsid w:val="0048118F"/>
    <w:rsid w:val="0048195C"/>
    <w:rsid w:val="00483ED1"/>
    <w:rsid w:val="00484869"/>
    <w:rsid w:val="00485F51"/>
    <w:rsid w:val="00487858"/>
    <w:rsid w:val="00490BE4"/>
    <w:rsid w:val="00492B03"/>
    <w:rsid w:val="004930C3"/>
    <w:rsid w:val="004931A3"/>
    <w:rsid w:val="004936B3"/>
    <w:rsid w:val="00493D0E"/>
    <w:rsid w:val="0049450B"/>
    <w:rsid w:val="00494749"/>
    <w:rsid w:val="00495119"/>
    <w:rsid w:val="00495452"/>
    <w:rsid w:val="00495DFC"/>
    <w:rsid w:val="004960A0"/>
    <w:rsid w:val="00496481"/>
    <w:rsid w:val="004967A0"/>
    <w:rsid w:val="004967C4"/>
    <w:rsid w:val="00497777"/>
    <w:rsid w:val="00497B27"/>
    <w:rsid w:val="00497F1E"/>
    <w:rsid w:val="004A2D9A"/>
    <w:rsid w:val="004A2F60"/>
    <w:rsid w:val="004A345E"/>
    <w:rsid w:val="004A446B"/>
    <w:rsid w:val="004A495F"/>
    <w:rsid w:val="004A4ACB"/>
    <w:rsid w:val="004A4BBE"/>
    <w:rsid w:val="004A52F7"/>
    <w:rsid w:val="004A6180"/>
    <w:rsid w:val="004A71B9"/>
    <w:rsid w:val="004A72EE"/>
    <w:rsid w:val="004A7B7F"/>
    <w:rsid w:val="004A7F91"/>
    <w:rsid w:val="004B0160"/>
    <w:rsid w:val="004B0517"/>
    <w:rsid w:val="004B06F3"/>
    <w:rsid w:val="004B20C4"/>
    <w:rsid w:val="004B2527"/>
    <w:rsid w:val="004B42BA"/>
    <w:rsid w:val="004B42E8"/>
    <w:rsid w:val="004B4499"/>
    <w:rsid w:val="004B45B4"/>
    <w:rsid w:val="004B4965"/>
    <w:rsid w:val="004B552F"/>
    <w:rsid w:val="004B5C63"/>
    <w:rsid w:val="004B60F9"/>
    <w:rsid w:val="004B6BD1"/>
    <w:rsid w:val="004B6C49"/>
    <w:rsid w:val="004B7515"/>
    <w:rsid w:val="004B7838"/>
    <w:rsid w:val="004B7AF8"/>
    <w:rsid w:val="004B7C6D"/>
    <w:rsid w:val="004C0217"/>
    <w:rsid w:val="004C03B0"/>
    <w:rsid w:val="004C1D27"/>
    <w:rsid w:val="004C25A4"/>
    <w:rsid w:val="004C28A3"/>
    <w:rsid w:val="004C2B17"/>
    <w:rsid w:val="004C2E74"/>
    <w:rsid w:val="004C355F"/>
    <w:rsid w:val="004C392F"/>
    <w:rsid w:val="004C3C33"/>
    <w:rsid w:val="004C43B0"/>
    <w:rsid w:val="004C44FF"/>
    <w:rsid w:val="004C45E0"/>
    <w:rsid w:val="004C4F8C"/>
    <w:rsid w:val="004C5967"/>
    <w:rsid w:val="004C5F5C"/>
    <w:rsid w:val="004C6093"/>
    <w:rsid w:val="004C6CB2"/>
    <w:rsid w:val="004C7BAE"/>
    <w:rsid w:val="004C7E62"/>
    <w:rsid w:val="004C7ED9"/>
    <w:rsid w:val="004D0E66"/>
    <w:rsid w:val="004D17B0"/>
    <w:rsid w:val="004D2082"/>
    <w:rsid w:val="004D22AC"/>
    <w:rsid w:val="004D2B08"/>
    <w:rsid w:val="004D2B81"/>
    <w:rsid w:val="004D31E4"/>
    <w:rsid w:val="004D347E"/>
    <w:rsid w:val="004D3761"/>
    <w:rsid w:val="004D37D1"/>
    <w:rsid w:val="004D3AA2"/>
    <w:rsid w:val="004D3DEC"/>
    <w:rsid w:val="004D44A6"/>
    <w:rsid w:val="004D45AD"/>
    <w:rsid w:val="004D5905"/>
    <w:rsid w:val="004D5A46"/>
    <w:rsid w:val="004D61A9"/>
    <w:rsid w:val="004D6674"/>
    <w:rsid w:val="004D670D"/>
    <w:rsid w:val="004D6DB9"/>
    <w:rsid w:val="004D75D7"/>
    <w:rsid w:val="004E0572"/>
    <w:rsid w:val="004E1191"/>
    <w:rsid w:val="004E1629"/>
    <w:rsid w:val="004E1BFA"/>
    <w:rsid w:val="004E26D8"/>
    <w:rsid w:val="004E34EB"/>
    <w:rsid w:val="004E383E"/>
    <w:rsid w:val="004E39BE"/>
    <w:rsid w:val="004E3E5A"/>
    <w:rsid w:val="004E43BC"/>
    <w:rsid w:val="004E4BE0"/>
    <w:rsid w:val="004E4D20"/>
    <w:rsid w:val="004E57B5"/>
    <w:rsid w:val="004E5CD7"/>
    <w:rsid w:val="004E6170"/>
    <w:rsid w:val="004E6F78"/>
    <w:rsid w:val="004E7FAF"/>
    <w:rsid w:val="004F08D5"/>
    <w:rsid w:val="004F0D96"/>
    <w:rsid w:val="004F1247"/>
    <w:rsid w:val="004F1633"/>
    <w:rsid w:val="004F2BE1"/>
    <w:rsid w:val="004F3C36"/>
    <w:rsid w:val="004F4D2B"/>
    <w:rsid w:val="004F5587"/>
    <w:rsid w:val="004F570E"/>
    <w:rsid w:val="004F5800"/>
    <w:rsid w:val="004F5A9A"/>
    <w:rsid w:val="004F5FDE"/>
    <w:rsid w:val="004F6E0E"/>
    <w:rsid w:val="004F73F7"/>
    <w:rsid w:val="004F775F"/>
    <w:rsid w:val="004F7E80"/>
    <w:rsid w:val="0050091D"/>
    <w:rsid w:val="00500C9A"/>
    <w:rsid w:val="005013A9"/>
    <w:rsid w:val="00503E88"/>
    <w:rsid w:val="00504D18"/>
    <w:rsid w:val="00504D96"/>
    <w:rsid w:val="00504FBC"/>
    <w:rsid w:val="0050538D"/>
    <w:rsid w:val="0050543D"/>
    <w:rsid w:val="00505684"/>
    <w:rsid w:val="0050640F"/>
    <w:rsid w:val="005069CF"/>
    <w:rsid w:val="00506C83"/>
    <w:rsid w:val="00510BA7"/>
    <w:rsid w:val="00511505"/>
    <w:rsid w:val="0051279C"/>
    <w:rsid w:val="00512ABF"/>
    <w:rsid w:val="0051415C"/>
    <w:rsid w:val="0051415D"/>
    <w:rsid w:val="0051488E"/>
    <w:rsid w:val="00515430"/>
    <w:rsid w:val="00515691"/>
    <w:rsid w:val="00516542"/>
    <w:rsid w:val="00516592"/>
    <w:rsid w:val="00516832"/>
    <w:rsid w:val="005170B4"/>
    <w:rsid w:val="00517EC3"/>
    <w:rsid w:val="00517F88"/>
    <w:rsid w:val="0052010C"/>
    <w:rsid w:val="005210FF"/>
    <w:rsid w:val="005211CD"/>
    <w:rsid w:val="00521E7E"/>
    <w:rsid w:val="00523664"/>
    <w:rsid w:val="00523676"/>
    <w:rsid w:val="005236DB"/>
    <w:rsid w:val="00523970"/>
    <w:rsid w:val="00524D7F"/>
    <w:rsid w:val="00525B4F"/>
    <w:rsid w:val="005261C1"/>
    <w:rsid w:val="0052696F"/>
    <w:rsid w:val="00526989"/>
    <w:rsid w:val="0052702F"/>
    <w:rsid w:val="0052756C"/>
    <w:rsid w:val="00527FFB"/>
    <w:rsid w:val="00530738"/>
    <w:rsid w:val="005312B3"/>
    <w:rsid w:val="00531819"/>
    <w:rsid w:val="00531E29"/>
    <w:rsid w:val="0053245F"/>
    <w:rsid w:val="00532846"/>
    <w:rsid w:val="00532F55"/>
    <w:rsid w:val="00532FBD"/>
    <w:rsid w:val="00535107"/>
    <w:rsid w:val="00535E80"/>
    <w:rsid w:val="005368B7"/>
    <w:rsid w:val="00537192"/>
    <w:rsid w:val="00537413"/>
    <w:rsid w:val="005375B7"/>
    <w:rsid w:val="00537D04"/>
    <w:rsid w:val="00542852"/>
    <w:rsid w:val="00542BA2"/>
    <w:rsid w:val="00543326"/>
    <w:rsid w:val="0054351B"/>
    <w:rsid w:val="00543606"/>
    <w:rsid w:val="00543681"/>
    <w:rsid w:val="0054457C"/>
    <w:rsid w:val="0054460F"/>
    <w:rsid w:val="00544E99"/>
    <w:rsid w:val="00545CEC"/>
    <w:rsid w:val="00546EE1"/>
    <w:rsid w:val="00547417"/>
    <w:rsid w:val="00547752"/>
    <w:rsid w:val="00547A1D"/>
    <w:rsid w:val="0055074B"/>
    <w:rsid w:val="005514A7"/>
    <w:rsid w:val="00552B72"/>
    <w:rsid w:val="005531ED"/>
    <w:rsid w:val="00553811"/>
    <w:rsid w:val="005539FB"/>
    <w:rsid w:val="00553A23"/>
    <w:rsid w:val="005541AD"/>
    <w:rsid w:val="00555DB9"/>
    <w:rsid w:val="00556335"/>
    <w:rsid w:val="0055646D"/>
    <w:rsid w:val="00556BD1"/>
    <w:rsid w:val="00557384"/>
    <w:rsid w:val="00557CBC"/>
    <w:rsid w:val="00557E56"/>
    <w:rsid w:val="00560151"/>
    <w:rsid w:val="005607B9"/>
    <w:rsid w:val="005609B7"/>
    <w:rsid w:val="00561A78"/>
    <w:rsid w:val="00561B4A"/>
    <w:rsid w:val="005621DD"/>
    <w:rsid w:val="00562452"/>
    <w:rsid w:val="0056298E"/>
    <w:rsid w:val="00562C73"/>
    <w:rsid w:val="005650D4"/>
    <w:rsid w:val="0056548C"/>
    <w:rsid w:val="00565D27"/>
    <w:rsid w:val="00566064"/>
    <w:rsid w:val="0056662C"/>
    <w:rsid w:val="00566BFA"/>
    <w:rsid w:val="00566D47"/>
    <w:rsid w:val="005672CF"/>
    <w:rsid w:val="00567564"/>
    <w:rsid w:val="00570487"/>
    <w:rsid w:val="00570828"/>
    <w:rsid w:val="00571659"/>
    <w:rsid w:val="00571BC1"/>
    <w:rsid w:val="00571CD2"/>
    <w:rsid w:val="0057250E"/>
    <w:rsid w:val="0057252D"/>
    <w:rsid w:val="00572613"/>
    <w:rsid w:val="00572B0C"/>
    <w:rsid w:val="0057398D"/>
    <w:rsid w:val="00573B2A"/>
    <w:rsid w:val="005740EB"/>
    <w:rsid w:val="00574139"/>
    <w:rsid w:val="005747CE"/>
    <w:rsid w:val="00575B75"/>
    <w:rsid w:val="00575BA6"/>
    <w:rsid w:val="00575F5A"/>
    <w:rsid w:val="00575FA2"/>
    <w:rsid w:val="00576931"/>
    <w:rsid w:val="00576A75"/>
    <w:rsid w:val="00576B26"/>
    <w:rsid w:val="0057753E"/>
    <w:rsid w:val="00580350"/>
    <w:rsid w:val="00580697"/>
    <w:rsid w:val="0058138E"/>
    <w:rsid w:val="00581805"/>
    <w:rsid w:val="00581CA8"/>
    <w:rsid w:val="0058243D"/>
    <w:rsid w:val="00583728"/>
    <w:rsid w:val="00584FA6"/>
    <w:rsid w:val="00585032"/>
    <w:rsid w:val="00585660"/>
    <w:rsid w:val="00585BDE"/>
    <w:rsid w:val="00585EE4"/>
    <w:rsid w:val="0058623C"/>
    <w:rsid w:val="005863DA"/>
    <w:rsid w:val="0058691D"/>
    <w:rsid w:val="005870B8"/>
    <w:rsid w:val="00587152"/>
    <w:rsid w:val="00587FC0"/>
    <w:rsid w:val="0059043D"/>
    <w:rsid w:val="005906A4"/>
    <w:rsid w:val="00590B34"/>
    <w:rsid w:val="00590F9E"/>
    <w:rsid w:val="005911E2"/>
    <w:rsid w:val="005912DF"/>
    <w:rsid w:val="005912EA"/>
    <w:rsid w:val="00591778"/>
    <w:rsid w:val="00592043"/>
    <w:rsid w:val="005934B6"/>
    <w:rsid w:val="00593586"/>
    <w:rsid w:val="005937AA"/>
    <w:rsid w:val="005954BF"/>
    <w:rsid w:val="00595E8E"/>
    <w:rsid w:val="00595FAA"/>
    <w:rsid w:val="00596D9E"/>
    <w:rsid w:val="00596FC2"/>
    <w:rsid w:val="005975F2"/>
    <w:rsid w:val="00597813"/>
    <w:rsid w:val="00597836"/>
    <w:rsid w:val="005A010B"/>
    <w:rsid w:val="005A02CF"/>
    <w:rsid w:val="005A071B"/>
    <w:rsid w:val="005A0783"/>
    <w:rsid w:val="005A0F28"/>
    <w:rsid w:val="005A11A1"/>
    <w:rsid w:val="005A1EF0"/>
    <w:rsid w:val="005A2E39"/>
    <w:rsid w:val="005A325A"/>
    <w:rsid w:val="005A33DD"/>
    <w:rsid w:val="005A42AF"/>
    <w:rsid w:val="005A470B"/>
    <w:rsid w:val="005A6235"/>
    <w:rsid w:val="005A6561"/>
    <w:rsid w:val="005A741A"/>
    <w:rsid w:val="005B0C37"/>
    <w:rsid w:val="005B1221"/>
    <w:rsid w:val="005B13D2"/>
    <w:rsid w:val="005B1D64"/>
    <w:rsid w:val="005B1EF9"/>
    <w:rsid w:val="005B2B83"/>
    <w:rsid w:val="005B310A"/>
    <w:rsid w:val="005B4426"/>
    <w:rsid w:val="005B475C"/>
    <w:rsid w:val="005B4D4C"/>
    <w:rsid w:val="005B690A"/>
    <w:rsid w:val="005C0507"/>
    <w:rsid w:val="005C117F"/>
    <w:rsid w:val="005C1D32"/>
    <w:rsid w:val="005C22FF"/>
    <w:rsid w:val="005C2FC8"/>
    <w:rsid w:val="005C2FDC"/>
    <w:rsid w:val="005C4D32"/>
    <w:rsid w:val="005C504D"/>
    <w:rsid w:val="005C5520"/>
    <w:rsid w:val="005C5767"/>
    <w:rsid w:val="005C5789"/>
    <w:rsid w:val="005C69E2"/>
    <w:rsid w:val="005C7125"/>
    <w:rsid w:val="005C7C40"/>
    <w:rsid w:val="005D00C7"/>
    <w:rsid w:val="005D0756"/>
    <w:rsid w:val="005D0AD8"/>
    <w:rsid w:val="005D0D58"/>
    <w:rsid w:val="005D1C95"/>
    <w:rsid w:val="005D2E7B"/>
    <w:rsid w:val="005D2FEB"/>
    <w:rsid w:val="005D32A8"/>
    <w:rsid w:val="005D33BC"/>
    <w:rsid w:val="005D34EC"/>
    <w:rsid w:val="005D35F3"/>
    <w:rsid w:val="005D44B1"/>
    <w:rsid w:val="005D479D"/>
    <w:rsid w:val="005D47F2"/>
    <w:rsid w:val="005D55BF"/>
    <w:rsid w:val="005D5DF9"/>
    <w:rsid w:val="005D5E52"/>
    <w:rsid w:val="005D61E8"/>
    <w:rsid w:val="005D68B6"/>
    <w:rsid w:val="005D6E06"/>
    <w:rsid w:val="005D7151"/>
    <w:rsid w:val="005E113F"/>
    <w:rsid w:val="005E13C8"/>
    <w:rsid w:val="005E17BD"/>
    <w:rsid w:val="005E277A"/>
    <w:rsid w:val="005E35EF"/>
    <w:rsid w:val="005E3A1D"/>
    <w:rsid w:val="005E41E1"/>
    <w:rsid w:val="005E4A68"/>
    <w:rsid w:val="005E4B15"/>
    <w:rsid w:val="005E5552"/>
    <w:rsid w:val="005E5923"/>
    <w:rsid w:val="005E5DE2"/>
    <w:rsid w:val="005E6509"/>
    <w:rsid w:val="005E6EF7"/>
    <w:rsid w:val="005E706C"/>
    <w:rsid w:val="005E7A69"/>
    <w:rsid w:val="005E7B82"/>
    <w:rsid w:val="005F0644"/>
    <w:rsid w:val="005F1422"/>
    <w:rsid w:val="005F18B6"/>
    <w:rsid w:val="005F1EAC"/>
    <w:rsid w:val="005F27A5"/>
    <w:rsid w:val="005F32AF"/>
    <w:rsid w:val="005F366C"/>
    <w:rsid w:val="005F43AD"/>
    <w:rsid w:val="005F45AD"/>
    <w:rsid w:val="005F47BE"/>
    <w:rsid w:val="005F48DC"/>
    <w:rsid w:val="005F4FF0"/>
    <w:rsid w:val="005F5001"/>
    <w:rsid w:val="005F5965"/>
    <w:rsid w:val="005F5C92"/>
    <w:rsid w:val="005F6E7F"/>
    <w:rsid w:val="005F7000"/>
    <w:rsid w:val="005F72D8"/>
    <w:rsid w:val="006008EE"/>
    <w:rsid w:val="00600C85"/>
    <w:rsid w:val="00602B3D"/>
    <w:rsid w:val="006046C2"/>
    <w:rsid w:val="00604834"/>
    <w:rsid w:val="00604C8D"/>
    <w:rsid w:val="0060547E"/>
    <w:rsid w:val="006069ED"/>
    <w:rsid w:val="00606A9B"/>
    <w:rsid w:val="00606ACC"/>
    <w:rsid w:val="006071CF"/>
    <w:rsid w:val="00607409"/>
    <w:rsid w:val="006078E8"/>
    <w:rsid w:val="00607B0A"/>
    <w:rsid w:val="00607D14"/>
    <w:rsid w:val="006101EE"/>
    <w:rsid w:val="00610352"/>
    <w:rsid w:val="006125F1"/>
    <w:rsid w:val="00613FAF"/>
    <w:rsid w:val="006145B7"/>
    <w:rsid w:val="00615090"/>
    <w:rsid w:val="00615A66"/>
    <w:rsid w:val="00615E2F"/>
    <w:rsid w:val="0061663F"/>
    <w:rsid w:val="00616904"/>
    <w:rsid w:val="00616DD0"/>
    <w:rsid w:val="00616DFB"/>
    <w:rsid w:val="006170F3"/>
    <w:rsid w:val="00617902"/>
    <w:rsid w:val="00617D3E"/>
    <w:rsid w:val="00617F57"/>
    <w:rsid w:val="0062024B"/>
    <w:rsid w:val="006202F3"/>
    <w:rsid w:val="0062045A"/>
    <w:rsid w:val="006212B2"/>
    <w:rsid w:val="00621E0C"/>
    <w:rsid w:val="00621F73"/>
    <w:rsid w:val="00622AAC"/>
    <w:rsid w:val="006232CB"/>
    <w:rsid w:val="00624EB4"/>
    <w:rsid w:val="006254C7"/>
    <w:rsid w:val="006267EC"/>
    <w:rsid w:val="00626F8C"/>
    <w:rsid w:val="0062779A"/>
    <w:rsid w:val="00627FB3"/>
    <w:rsid w:val="006306B2"/>
    <w:rsid w:val="00631CAF"/>
    <w:rsid w:val="00631EE0"/>
    <w:rsid w:val="00632E24"/>
    <w:rsid w:val="00633197"/>
    <w:rsid w:val="00633256"/>
    <w:rsid w:val="0063385B"/>
    <w:rsid w:val="00634EF7"/>
    <w:rsid w:val="00635DC2"/>
    <w:rsid w:val="006364BA"/>
    <w:rsid w:val="00636BE9"/>
    <w:rsid w:val="006376E6"/>
    <w:rsid w:val="00637A85"/>
    <w:rsid w:val="00637CFA"/>
    <w:rsid w:val="006404AB"/>
    <w:rsid w:val="006406BB"/>
    <w:rsid w:val="00640870"/>
    <w:rsid w:val="006408AD"/>
    <w:rsid w:val="00640CE2"/>
    <w:rsid w:val="00641066"/>
    <w:rsid w:val="00641156"/>
    <w:rsid w:val="006416F6"/>
    <w:rsid w:val="006417A5"/>
    <w:rsid w:val="00641FFD"/>
    <w:rsid w:val="00642041"/>
    <w:rsid w:val="006425E8"/>
    <w:rsid w:val="00642BF4"/>
    <w:rsid w:val="0064305D"/>
    <w:rsid w:val="00643D18"/>
    <w:rsid w:val="00645075"/>
    <w:rsid w:val="006450E2"/>
    <w:rsid w:val="00646287"/>
    <w:rsid w:val="00646727"/>
    <w:rsid w:val="00647420"/>
    <w:rsid w:val="0064784D"/>
    <w:rsid w:val="00650883"/>
    <w:rsid w:val="00650E3E"/>
    <w:rsid w:val="00651147"/>
    <w:rsid w:val="00652022"/>
    <w:rsid w:val="00652346"/>
    <w:rsid w:val="006529BA"/>
    <w:rsid w:val="00652D1E"/>
    <w:rsid w:val="00654180"/>
    <w:rsid w:val="00654649"/>
    <w:rsid w:val="00656231"/>
    <w:rsid w:val="0065663D"/>
    <w:rsid w:val="00656802"/>
    <w:rsid w:val="0065693B"/>
    <w:rsid w:val="00656B34"/>
    <w:rsid w:val="006601A0"/>
    <w:rsid w:val="006603A2"/>
    <w:rsid w:val="00660C06"/>
    <w:rsid w:val="00660F76"/>
    <w:rsid w:val="0066152F"/>
    <w:rsid w:val="00661DD0"/>
    <w:rsid w:val="00662052"/>
    <w:rsid w:val="006621BA"/>
    <w:rsid w:val="006623F7"/>
    <w:rsid w:val="00662F77"/>
    <w:rsid w:val="00663105"/>
    <w:rsid w:val="006634FF"/>
    <w:rsid w:val="00663B0B"/>
    <w:rsid w:val="0066401D"/>
    <w:rsid w:val="00664185"/>
    <w:rsid w:val="00664392"/>
    <w:rsid w:val="006648AF"/>
    <w:rsid w:val="00664ACF"/>
    <w:rsid w:val="00664AE6"/>
    <w:rsid w:val="00665899"/>
    <w:rsid w:val="00665970"/>
    <w:rsid w:val="006660A0"/>
    <w:rsid w:val="0067030D"/>
    <w:rsid w:val="006707AB"/>
    <w:rsid w:val="006709D9"/>
    <w:rsid w:val="00670D25"/>
    <w:rsid w:val="00670E39"/>
    <w:rsid w:val="006711BE"/>
    <w:rsid w:val="00671399"/>
    <w:rsid w:val="0067152B"/>
    <w:rsid w:val="00671866"/>
    <w:rsid w:val="006724A0"/>
    <w:rsid w:val="00672902"/>
    <w:rsid w:val="006730DA"/>
    <w:rsid w:val="00674366"/>
    <w:rsid w:val="00674AD4"/>
    <w:rsid w:val="00674D75"/>
    <w:rsid w:val="006753A4"/>
    <w:rsid w:val="006753DD"/>
    <w:rsid w:val="00675B23"/>
    <w:rsid w:val="00675EC6"/>
    <w:rsid w:val="006777E6"/>
    <w:rsid w:val="00680A4B"/>
    <w:rsid w:val="00680FFD"/>
    <w:rsid w:val="006819AF"/>
    <w:rsid w:val="00681C3F"/>
    <w:rsid w:val="00681E07"/>
    <w:rsid w:val="00681FBC"/>
    <w:rsid w:val="006825AB"/>
    <w:rsid w:val="0068398F"/>
    <w:rsid w:val="00683DD9"/>
    <w:rsid w:val="00684AA4"/>
    <w:rsid w:val="00684F03"/>
    <w:rsid w:val="00684FA6"/>
    <w:rsid w:val="00684FE9"/>
    <w:rsid w:val="00685921"/>
    <w:rsid w:val="00687800"/>
    <w:rsid w:val="00687AC6"/>
    <w:rsid w:val="00687D75"/>
    <w:rsid w:val="00687E09"/>
    <w:rsid w:val="00690EB2"/>
    <w:rsid w:val="006916A0"/>
    <w:rsid w:val="006917E7"/>
    <w:rsid w:val="00692BBB"/>
    <w:rsid w:val="00692D72"/>
    <w:rsid w:val="00692E2C"/>
    <w:rsid w:val="00692E51"/>
    <w:rsid w:val="006939A2"/>
    <w:rsid w:val="00693E57"/>
    <w:rsid w:val="0069514C"/>
    <w:rsid w:val="0069524C"/>
    <w:rsid w:val="00696A91"/>
    <w:rsid w:val="00696AC1"/>
    <w:rsid w:val="00696EA2"/>
    <w:rsid w:val="0069718B"/>
    <w:rsid w:val="00697D2D"/>
    <w:rsid w:val="006A0069"/>
    <w:rsid w:val="006A0674"/>
    <w:rsid w:val="006A099C"/>
    <w:rsid w:val="006A0B52"/>
    <w:rsid w:val="006A0EA6"/>
    <w:rsid w:val="006A1211"/>
    <w:rsid w:val="006A26F1"/>
    <w:rsid w:val="006A3968"/>
    <w:rsid w:val="006A4101"/>
    <w:rsid w:val="006A4139"/>
    <w:rsid w:val="006A440F"/>
    <w:rsid w:val="006A456C"/>
    <w:rsid w:val="006A45E0"/>
    <w:rsid w:val="006A4B47"/>
    <w:rsid w:val="006A525F"/>
    <w:rsid w:val="006A5BBF"/>
    <w:rsid w:val="006A5CB3"/>
    <w:rsid w:val="006A5F5A"/>
    <w:rsid w:val="006A7713"/>
    <w:rsid w:val="006A7B06"/>
    <w:rsid w:val="006B0B61"/>
    <w:rsid w:val="006B1AC9"/>
    <w:rsid w:val="006B247C"/>
    <w:rsid w:val="006B35B3"/>
    <w:rsid w:val="006B4D54"/>
    <w:rsid w:val="006B4E65"/>
    <w:rsid w:val="006B5D70"/>
    <w:rsid w:val="006B6C42"/>
    <w:rsid w:val="006C024F"/>
    <w:rsid w:val="006C0357"/>
    <w:rsid w:val="006C12A2"/>
    <w:rsid w:val="006C171D"/>
    <w:rsid w:val="006C1BAC"/>
    <w:rsid w:val="006C1E60"/>
    <w:rsid w:val="006C2430"/>
    <w:rsid w:val="006C24E6"/>
    <w:rsid w:val="006C3328"/>
    <w:rsid w:val="006C346F"/>
    <w:rsid w:val="006C3BD9"/>
    <w:rsid w:val="006C3F53"/>
    <w:rsid w:val="006C4D2B"/>
    <w:rsid w:val="006C585A"/>
    <w:rsid w:val="006C686B"/>
    <w:rsid w:val="006C7081"/>
    <w:rsid w:val="006D194A"/>
    <w:rsid w:val="006D250D"/>
    <w:rsid w:val="006D2A2A"/>
    <w:rsid w:val="006D2FE4"/>
    <w:rsid w:val="006D3FB3"/>
    <w:rsid w:val="006D4CBC"/>
    <w:rsid w:val="006D4FA9"/>
    <w:rsid w:val="006D5220"/>
    <w:rsid w:val="006D593A"/>
    <w:rsid w:val="006D5FEA"/>
    <w:rsid w:val="006D64CC"/>
    <w:rsid w:val="006D66CF"/>
    <w:rsid w:val="006D6B53"/>
    <w:rsid w:val="006D6E56"/>
    <w:rsid w:val="006D7583"/>
    <w:rsid w:val="006E0411"/>
    <w:rsid w:val="006E07C4"/>
    <w:rsid w:val="006E086C"/>
    <w:rsid w:val="006E0D63"/>
    <w:rsid w:val="006E112C"/>
    <w:rsid w:val="006E2430"/>
    <w:rsid w:val="006E31CD"/>
    <w:rsid w:val="006E323B"/>
    <w:rsid w:val="006E33FC"/>
    <w:rsid w:val="006E345D"/>
    <w:rsid w:val="006E3953"/>
    <w:rsid w:val="006E3FB1"/>
    <w:rsid w:val="006E44BA"/>
    <w:rsid w:val="006E4A40"/>
    <w:rsid w:val="006E4D73"/>
    <w:rsid w:val="006E5178"/>
    <w:rsid w:val="006E5AA8"/>
    <w:rsid w:val="006E5F1B"/>
    <w:rsid w:val="006E6888"/>
    <w:rsid w:val="006E6BBE"/>
    <w:rsid w:val="006E7E6E"/>
    <w:rsid w:val="006F0868"/>
    <w:rsid w:val="006F1CEF"/>
    <w:rsid w:val="006F1F77"/>
    <w:rsid w:val="006F2408"/>
    <w:rsid w:val="006F2B5C"/>
    <w:rsid w:val="006F2D3F"/>
    <w:rsid w:val="006F30F8"/>
    <w:rsid w:val="006F37A3"/>
    <w:rsid w:val="006F3D90"/>
    <w:rsid w:val="006F3FE7"/>
    <w:rsid w:val="006F4127"/>
    <w:rsid w:val="006F52DA"/>
    <w:rsid w:val="006F5305"/>
    <w:rsid w:val="006F60C3"/>
    <w:rsid w:val="006F617A"/>
    <w:rsid w:val="006F7200"/>
    <w:rsid w:val="006F72D0"/>
    <w:rsid w:val="006F7D86"/>
    <w:rsid w:val="00700259"/>
    <w:rsid w:val="00700974"/>
    <w:rsid w:val="007016F2"/>
    <w:rsid w:val="0070182D"/>
    <w:rsid w:val="007019B2"/>
    <w:rsid w:val="0070202A"/>
    <w:rsid w:val="0070290E"/>
    <w:rsid w:val="00703937"/>
    <w:rsid w:val="007042A2"/>
    <w:rsid w:val="00705286"/>
    <w:rsid w:val="00705A5B"/>
    <w:rsid w:val="00706EBD"/>
    <w:rsid w:val="00707002"/>
    <w:rsid w:val="00707618"/>
    <w:rsid w:val="0070769C"/>
    <w:rsid w:val="007102AA"/>
    <w:rsid w:val="00710B73"/>
    <w:rsid w:val="0071120E"/>
    <w:rsid w:val="00711E19"/>
    <w:rsid w:val="007120CC"/>
    <w:rsid w:val="0071295C"/>
    <w:rsid w:val="00713231"/>
    <w:rsid w:val="0071342D"/>
    <w:rsid w:val="007135CE"/>
    <w:rsid w:val="00713A93"/>
    <w:rsid w:val="00714190"/>
    <w:rsid w:val="00714ADA"/>
    <w:rsid w:val="007163EB"/>
    <w:rsid w:val="007165F0"/>
    <w:rsid w:val="0071682C"/>
    <w:rsid w:val="00717C4E"/>
    <w:rsid w:val="00720666"/>
    <w:rsid w:val="007209D7"/>
    <w:rsid w:val="00721973"/>
    <w:rsid w:val="00722BDC"/>
    <w:rsid w:val="00723345"/>
    <w:rsid w:val="00723FDD"/>
    <w:rsid w:val="0072413A"/>
    <w:rsid w:val="00724220"/>
    <w:rsid w:val="0072450D"/>
    <w:rsid w:val="0072513E"/>
    <w:rsid w:val="00725281"/>
    <w:rsid w:val="007253CA"/>
    <w:rsid w:val="007255D4"/>
    <w:rsid w:val="00725767"/>
    <w:rsid w:val="00726421"/>
    <w:rsid w:val="007271CB"/>
    <w:rsid w:val="0072778E"/>
    <w:rsid w:val="00727EF1"/>
    <w:rsid w:val="00730839"/>
    <w:rsid w:val="00730D16"/>
    <w:rsid w:val="007310F3"/>
    <w:rsid w:val="00731591"/>
    <w:rsid w:val="00733073"/>
    <w:rsid w:val="007332B9"/>
    <w:rsid w:val="00733973"/>
    <w:rsid w:val="00734D19"/>
    <w:rsid w:val="00735335"/>
    <w:rsid w:val="0073547A"/>
    <w:rsid w:val="007356CA"/>
    <w:rsid w:val="007357B7"/>
    <w:rsid w:val="00735942"/>
    <w:rsid w:val="0073660F"/>
    <w:rsid w:val="007367C7"/>
    <w:rsid w:val="00736F05"/>
    <w:rsid w:val="00736FA6"/>
    <w:rsid w:val="00737DFE"/>
    <w:rsid w:val="007408A4"/>
    <w:rsid w:val="00743684"/>
    <w:rsid w:val="00743A42"/>
    <w:rsid w:val="00743E9C"/>
    <w:rsid w:val="00744486"/>
    <w:rsid w:val="00744DF8"/>
    <w:rsid w:val="00744EB3"/>
    <w:rsid w:val="007460E4"/>
    <w:rsid w:val="007464E6"/>
    <w:rsid w:val="00747278"/>
    <w:rsid w:val="00747327"/>
    <w:rsid w:val="0074762B"/>
    <w:rsid w:val="00750766"/>
    <w:rsid w:val="00751A05"/>
    <w:rsid w:val="00752C13"/>
    <w:rsid w:val="00753E29"/>
    <w:rsid w:val="00753F4C"/>
    <w:rsid w:val="0075435C"/>
    <w:rsid w:val="00754477"/>
    <w:rsid w:val="00754502"/>
    <w:rsid w:val="007569A7"/>
    <w:rsid w:val="00756E18"/>
    <w:rsid w:val="0075714E"/>
    <w:rsid w:val="00757968"/>
    <w:rsid w:val="00757AC8"/>
    <w:rsid w:val="00761360"/>
    <w:rsid w:val="00761661"/>
    <w:rsid w:val="007618D0"/>
    <w:rsid w:val="0076249B"/>
    <w:rsid w:val="00762942"/>
    <w:rsid w:val="00762A56"/>
    <w:rsid w:val="00762A6A"/>
    <w:rsid w:val="00762E38"/>
    <w:rsid w:val="00763B60"/>
    <w:rsid w:val="0076410A"/>
    <w:rsid w:val="0076469D"/>
    <w:rsid w:val="007648D8"/>
    <w:rsid w:val="00764F25"/>
    <w:rsid w:val="007650E3"/>
    <w:rsid w:val="0076541D"/>
    <w:rsid w:val="00765B7F"/>
    <w:rsid w:val="00765D12"/>
    <w:rsid w:val="00766204"/>
    <w:rsid w:val="007663B5"/>
    <w:rsid w:val="00766A93"/>
    <w:rsid w:val="00766B42"/>
    <w:rsid w:val="00767802"/>
    <w:rsid w:val="00767A65"/>
    <w:rsid w:val="00767F4D"/>
    <w:rsid w:val="007712BB"/>
    <w:rsid w:val="00771866"/>
    <w:rsid w:val="0077268C"/>
    <w:rsid w:val="00772D63"/>
    <w:rsid w:val="0077370C"/>
    <w:rsid w:val="007746E2"/>
    <w:rsid w:val="007751BA"/>
    <w:rsid w:val="00775349"/>
    <w:rsid w:val="0077565C"/>
    <w:rsid w:val="007758B6"/>
    <w:rsid w:val="00776F59"/>
    <w:rsid w:val="00777E1A"/>
    <w:rsid w:val="00777EE7"/>
    <w:rsid w:val="00780E5B"/>
    <w:rsid w:val="00780F1F"/>
    <w:rsid w:val="00781C94"/>
    <w:rsid w:val="00782506"/>
    <w:rsid w:val="00782DEC"/>
    <w:rsid w:val="00783254"/>
    <w:rsid w:val="00783CB7"/>
    <w:rsid w:val="00784240"/>
    <w:rsid w:val="007843D4"/>
    <w:rsid w:val="00785343"/>
    <w:rsid w:val="007866A7"/>
    <w:rsid w:val="007867E5"/>
    <w:rsid w:val="0078773F"/>
    <w:rsid w:val="00787874"/>
    <w:rsid w:val="0079009E"/>
    <w:rsid w:val="00790CF4"/>
    <w:rsid w:val="00791144"/>
    <w:rsid w:val="0079210B"/>
    <w:rsid w:val="00793450"/>
    <w:rsid w:val="00793991"/>
    <w:rsid w:val="00793CAC"/>
    <w:rsid w:val="00794006"/>
    <w:rsid w:val="00794643"/>
    <w:rsid w:val="007949E1"/>
    <w:rsid w:val="00795990"/>
    <w:rsid w:val="007962D3"/>
    <w:rsid w:val="00797137"/>
    <w:rsid w:val="00797C9E"/>
    <w:rsid w:val="007A123E"/>
    <w:rsid w:val="007A1A54"/>
    <w:rsid w:val="007A1F3E"/>
    <w:rsid w:val="007A221B"/>
    <w:rsid w:val="007A3B1B"/>
    <w:rsid w:val="007A451C"/>
    <w:rsid w:val="007A48D1"/>
    <w:rsid w:val="007A5367"/>
    <w:rsid w:val="007A6177"/>
    <w:rsid w:val="007A6415"/>
    <w:rsid w:val="007A6779"/>
    <w:rsid w:val="007A6C3A"/>
    <w:rsid w:val="007A7B7A"/>
    <w:rsid w:val="007A7D07"/>
    <w:rsid w:val="007B028D"/>
    <w:rsid w:val="007B12BF"/>
    <w:rsid w:val="007B1C6C"/>
    <w:rsid w:val="007B20C4"/>
    <w:rsid w:val="007B3536"/>
    <w:rsid w:val="007B37A3"/>
    <w:rsid w:val="007B4079"/>
    <w:rsid w:val="007B429A"/>
    <w:rsid w:val="007B46B1"/>
    <w:rsid w:val="007B4A53"/>
    <w:rsid w:val="007B4CE0"/>
    <w:rsid w:val="007B5A1F"/>
    <w:rsid w:val="007B5E1A"/>
    <w:rsid w:val="007B6388"/>
    <w:rsid w:val="007B6F23"/>
    <w:rsid w:val="007B7F93"/>
    <w:rsid w:val="007C0E35"/>
    <w:rsid w:val="007C0E53"/>
    <w:rsid w:val="007C15F3"/>
    <w:rsid w:val="007C1C58"/>
    <w:rsid w:val="007C2415"/>
    <w:rsid w:val="007C2B7D"/>
    <w:rsid w:val="007C3078"/>
    <w:rsid w:val="007C3DD0"/>
    <w:rsid w:val="007C4977"/>
    <w:rsid w:val="007C4B41"/>
    <w:rsid w:val="007C555F"/>
    <w:rsid w:val="007C5953"/>
    <w:rsid w:val="007C5EFC"/>
    <w:rsid w:val="007C602F"/>
    <w:rsid w:val="007C6128"/>
    <w:rsid w:val="007C6ADF"/>
    <w:rsid w:val="007C71A9"/>
    <w:rsid w:val="007C751E"/>
    <w:rsid w:val="007C7A59"/>
    <w:rsid w:val="007D01A7"/>
    <w:rsid w:val="007D03B2"/>
    <w:rsid w:val="007D058C"/>
    <w:rsid w:val="007D0AB7"/>
    <w:rsid w:val="007D143A"/>
    <w:rsid w:val="007D2419"/>
    <w:rsid w:val="007D2A39"/>
    <w:rsid w:val="007D2C74"/>
    <w:rsid w:val="007D32EA"/>
    <w:rsid w:val="007D466C"/>
    <w:rsid w:val="007D48DE"/>
    <w:rsid w:val="007D5244"/>
    <w:rsid w:val="007D53D0"/>
    <w:rsid w:val="007D5924"/>
    <w:rsid w:val="007D6A5E"/>
    <w:rsid w:val="007D6D4B"/>
    <w:rsid w:val="007D7882"/>
    <w:rsid w:val="007E078B"/>
    <w:rsid w:val="007E0AD3"/>
    <w:rsid w:val="007E0AD6"/>
    <w:rsid w:val="007E0E4D"/>
    <w:rsid w:val="007E112B"/>
    <w:rsid w:val="007E2225"/>
    <w:rsid w:val="007E3CF2"/>
    <w:rsid w:val="007E4216"/>
    <w:rsid w:val="007E42B3"/>
    <w:rsid w:val="007E51E8"/>
    <w:rsid w:val="007E5990"/>
    <w:rsid w:val="007E649F"/>
    <w:rsid w:val="007E6B50"/>
    <w:rsid w:val="007F018B"/>
    <w:rsid w:val="007F052D"/>
    <w:rsid w:val="007F1254"/>
    <w:rsid w:val="007F1422"/>
    <w:rsid w:val="007F1898"/>
    <w:rsid w:val="007F1A63"/>
    <w:rsid w:val="007F288C"/>
    <w:rsid w:val="007F2AB6"/>
    <w:rsid w:val="007F3B2F"/>
    <w:rsid w:val="007F3CEF"/>
    <w:rsid w:val="007F3D5D"/>
    <w:rsid w:val="007F4C20"/>
    <w:rsid w:val="007F4CEC"/>
    <w:rsid w:val="007F54F1"/>
    <w:rsid w:val="007F61D2"/>
    <w:rsid w:val="007F68B6"/>
    <w:rsid w:val="007F7E70"/>
    <w:rsid w:val="0080009D"/>
    <w:rsid w:val="00800293"/>
    <w:rsid w:val="00800E49"/>
    <w:rsid w:val="00802CFC"/>
    <w:rsid w:val="00802DA3"/>
    <w:rsid w:val="00804361"/>
    <w:rsid w:val="0080440E"/>
    <w:rsid w:val="0080442F"/>
    <w:rsid w:val="00804648"/>
    <w:rsid w:val="00804F87"/>
    <w:rsid w:val="00805227"/>
    <w:rsid w:val="008054C2"/>
    <w:rsid w:val="008058FC"/>
    <w:rsid w:val="00805B14"/>
    <w:rsid w:val="00806D18"/>
    <w:rsid w:val="0080794E"/>
    <w:rsid w:val="00810150"/>
    <w:rsid w:val="00810EAB"/>
    <w:rsid w:val="008113F3"/>
    <w:rsid w:val="00812297"/>
    <w:rsid w:val="0081239A"/>
    <w:rsid w:val="00812DC8"/>
    <w:rsid w:val="00813055"/>
    <w:rsid w:val="008131DD"/>
    <w:rsid w:val="0081378B"/>
    <w:rsid w:val="0081401B"/>
    <w:rsid w:val="00814707"/>
    <w:rsid w:val="00814D88"/>
    <w:rsid w:val="008150F4"/>
    <w:rsid w:val="0081512F"/>
    <w:rsid w:val="008157C5"/>
    <w:rsid w:val="0081613C"/>
    <w:rsid w:val="008169E8"/>
    <w:rsid w:val="008171ED"/>
    <w:rsid w:val="008179DF"/>
    <w:rsid w:val="008205E7"/>
    <w:rsid w:val="008207DD"/>
    <w:rsid w:val="00820B3D"/>
    <w:rsid w:val="008226EA"/>
    <w:rsid w:val="00822BFE"/>
    <w:rsid w:val="00822E24"/>
    <w:rsid w:val="00822FEA"/>
    <w:rsid w:val="00823192"/>
    <w:rsid w:val="00823B73"/>
    <w:rsid w:val="008243C8"/>
    <w:rsid w:val="00824DA7"/>
    <w:rsid w:val="00825BBA"/>
    <w:rsid w:val="0082617A"/>
    <w:rsid w:val="00826227"/>
    <w:rsid w:val="00826841"/>
    <w:rsid w:val="00827081"/>
    <w:rsid w:val="00830F12"/>
    <w:rsid w:val="0083224E"/>
    <w:rsid w:val="008335E2"/>
    <w:rsid w:val="00833660"/>
    <w:rsid w:val="008341C8"/>
    <w:rsid w:val="00834DAB"/>
    <w:rsid w:val="00835084"/>
    <w:rsid w:val="00835616"/>
    <w:rsid w:val="00835CBC"/>
    <w:rsid w:val="00836DFA"/>
    <w:rsid w:val="00836F53"/>
    <w:rsid w:val="00837192"/>
    <w:rsid w:val="008375B8"/>
    <w:rsid w:val="00837A03"/>
    <w:rsid w:val="00840079"/>
    <w:rsid w:val="008407EE"/>
    <w:rsid w:val="00840A9E"/>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62B9"/>
    <w:rsid w:val="0084678E"/>
    <w:rsid w:val="008469A6"/>
    <w:rsid w:val="00846AA5"/>
    <w:rsid w:val="0084707E"/>
    <w:rsid w:val="00847FF9"/>
    <w:rsid w:val="00850716"/>
    <w:rsid w:val="00850EE4"/>
    <w:rsid w:val="00851237"/>
    <w:rsid w:val="00851EC2"/>
    <w:rsid w:val="00851FE4"/>
    <w:rsid w:val="008523F2"/>
    <w:rsid w:val="0085471B"/>
    <w:rsid w:val="00854B22"/>
    <w:rsid w:val="00854CF9"/>
    <w:rsid w:val="00855323"/>
    <w:rsid w:val="00855454"/>
    <w:rsid w:val="008567BB"/>
    <w:rsid w:val="00857FFD"/>
    <w:rsid w:val="00863D71"/>
    <w:rsid w:val="0086518F"/>
    <w:rsid w:val="0086553C"/>
    <w:rsid w:val="00865542"/>
    <w:rsid w:val="0086565A"/>
    <w:rsid w:val="00865CE3"/>
    <w:rsid w:val="008664B3"/>
    <w:rsid w:val="00867580"/>
    <w:rsid w:val="00867DD8"/>
    <w:rsid w:val="00867EAF"/>
    <w:rsid w:val="00870B01"/>
    <w:rsid w:val="00870EFD"/>
    <w:rsid w:val="008712C9"/>
    <w:rsid w:val="008714B9"/>
    <w:rsid w:val="008721A4"/>
    <w:rsid w:val="00872408"/>
    <w:rsid w:val="00872DFF"/>
    <w:rsid w:val="00872E4C"/>
    <w:rsid w:val="00873D5E"/>
    <w:rsid w:val="008745FE"/>
    <w:rsid w:val="00874982"/>
    <w:rsid w:val="00874CC8"/>
    <w:rsid w:val="0087542B"/>
    <w:rsid w:val="00875CCF"/>
    <w:rsid w:val="008762CF"/>
    <w:rsid w:val="00876316"/>
    <w:rsid w:val="008764BD"/>
    <w:rsid w:val="00876A23"/>
    <w:rsid w:val="00876D29"/>
    <w:rsid w:val="00877412"/>
    <w:rsid w:val="008774FB"/>
    <w:rsid w:val="0087765B"/>
    <w:rsid w:val="008778C3"/>
    <w:rsid w:val="00877BE2"/>
    <w:rsid w:val="008800B3"/>
    <w:rsid w:val="00880443"/>
    <w:rsid w:val="008810BF"/>
    <w:rsid w:val="00881C4B"/>
    <w:rsid w:val="00881C96"/>
    <w:rsid w:val="008820F5"/>
    <w:rsid w:val="00882843"/>
    <w:rsid w:val="00882B8B"/>
    <w:rsid w:val="00883311"/>
    <w:rsid w:val="008833BE"/>
    <w:rsid w:val="0088345A"/>
    <w:rsid w:val="0088466F"/>
    <w:rsid w:val="00886526"/>
    <w:rsid w:val="00886A9E"/>
    <w:rsid w:val="00886E4C"/>
    <w:rsid w:val="008906F6"/>
    <w:rsid w:val="00890844"/>
    <w:rsid w:val="008908FE"/>
    <w:rsid w:val="008910C4"/>
    <w:rsid w:val="00891C1F"/>
    <w:rsid w:val="008922C2"/>
    <w:rsid w:val="00892968"/>
    <w:rsid w:val="0089376F"/>
    <w:rsid w:val="00893E51"/>
    <w:rsid w:val="00894CE4"/>
    <w:rsid w:val="008960BE"/>
    <w:rsid w:val="00896B93"/>
    <w:rsid w:val="008A01A3"/>
    <w:rsid w:val="008A06BC"/>
    <w:rsid w:val="008A0849"/>
    <w:rsid w:val="008A195F"/>
    <w:rsid w:val="008A29A2"/>
    <w:rsid w:val="008A2EFF"/>
    <w:rsid w:val="008A3135"/>
    <w:rsid w:val="008A37C8"/>
    <w:rsid w:val="008A42B3"/>
    <w:rsid w:val="008A4931"/>
    <w:rsid w:val="008A49D4"/>
    <w:rsid w:val="008A5DD3"/>
    <w:rsid w:val="008A6B21"/>
    <w:rsid w:val="008A6DC3"/>
    <w:rsid w:val="008A7364"/>
    <w:rsid w:val="008A73B9"/>
    <w:rsid w:val="008A76DC"/>
    <w:rsid w:val="008A7B67"/>
    <w:rsid w:val="008A7D37"/>
    <w:rsid w:val="008A7EBE"/>
    <w:rsid w:val="008B0AB5"/>
    <w:rsid w:val="008B103D"/>
    <w:rsid w:val="008B1BDA"/>
    <w:rsid w:val="008B20C9"/>
    <w:rsid w:val="008B2C47"/>
    <w:rsid w:val="008B3931"/>
    <w:rsid w:val="008B417F"/>
    <w:rsid w:val="008B45F5"/>
    <w:rsid w:val="008B485C"/>
    <w:rsid w:val="008B765C"/>
    <w:rsid w:val="008B78B6"/>
    <w:rsid w:val="008C0B5A"/>
    <w:rsid w:val="008C0EF5"/>
    <w:rsid w:val="008C0F47"/>
    <w:rsid w:val="008C1355"/>
    <w:rsid w:val="008C176C"/>
    <w:rsid w:val="008C1BB2"/>
    <w:rsid w:val="008C1CEC"/>
    <w:rsid w:val="008C2079"/>
    <w:rsid w:val="008C2492"/>
    <w:rsid w:val="008C2581"/>
    <w:rsid w:val="008C2A89"/>
    <w:rsid w:val="008C2B09"/>
    <w:rsid w:val="008C2DAA"/>
    <w:rsid w:val="008C38B9"/>
    <w:rsid w:val="008C3F5B"/>
    <w:rsid w:val="008C41BF"/>
    <w:rsid w:val="008C4823"/>
    <w:rsid w:val="008C4DEE"/>
    <w:rsid w:val="008C58A9"/>
    <w:rsid w:val="008C5A70"/>
    <w:rsid w:val="008C5AF5"/>
    <w:rsid w:val="008C5C48"/>
    <w:rsid w:val="008C5C86"/>
    <w:rsid w:val="008C6D81"/>
    <w:rsid w:val="008C766E"/>
    <w:rsid w:val="008D05B5"/>
    <w:rsid w:val="008D0AFE"/>
    <w:rsid w:val="008D0CAC"/>
    <w:rsid w:val="008D0D2C"/>
    <w:rsid w:val="008D0F26"/>
    <w:rsid w:val="008D0F4D"/>
    <w:rsid w:val="008D0F57"/>
    <w:rsid w:val="008D16D2"/>
    <w:rsid w:val="008D28A9"/>
    <w:rsid w:val="008D2B67"/>
    <w:rsid w:val="008D3050"/>
    <w:rsid w:val="008D3BFE"/>
    <w:rsid w:val="008D41A2"/>
    <w:rsid w:val="008D46BF"/>
    <w:rsid w:val="008D491E"/>
    <w:rsid w:val="008D4C98"/>
    <w:rsid w:val="008D4ED2"/>
    <w:rsid w:val="008D550C"/>
    <w:rsid w:val="008D5874"/>
    <w:rsid w:val="008D6E11"/>
    <w:rsid w:val="008D74D5"/>
    <w:rsid w:val="008E14B0"/>
    <w:rsid w:val="008E1888"/>
    <w:rsid w:val="008E1A5F"/>
    <w:rsid w:val="008E22D0"/>
    <w:rsid w:val="008E373A"/>
    <w:rsid w:val="008E3D95"/>
    <w:rsid w:val="008E4CF3"/>
    <w:rsid w:val="008E50B0"/>
    <w:rsid w:val="008E54D2"/>
    <w:rsid w:val="008E5A9C"/>
    <w:rsid w:val="008E5C87"/>
    <w:rsid w:val="008E6671"/>
    <w:rsid w:val="008E6BD5"/>
    <w:rsid w:val="008E6D91"/>
    <w:rsid w:val="008E6F31"/>
    <w:rsid w:val="008E703F"/>
    <w:rsid w:val="008E7123"/>
    <w:rsid w:val="008E7AF9"/>
    <w:rsid w:val="008F0398"/>
    <w:rsid w:val="008F07A1"/>
    <w:rsid w:val="008F0ED4"/>
    <w:rsid w:val="008F130E"/>
    <w:rsid w:val="008F15A7"/>
    <w:rsid w:val="008F169A"/>
    <w:rsid w:val="008F1892"/>
    <w:rsid w:val="008F19D6"/>
    <w:rsid w:val="008F1FB4"/>
    <w:rsid w:val="008F2618"/>
    <w:rsid w:val="008F2E27"/>
    <w:rsid w:val="008F4636"/>
    <w:rsid w:val="008F4AAE"/>
    <w:rsid w:val="008F4B81"/>
    <w:rsid w:val="008F5D02"/>
    <w:rsid w:val="008F63CB"/>
    <w:rsid w:val="008F6FEC"/>
    <w:rsid w:val="008F703F"/>
    <w:rsid w:val="008F7A00"/>
    <w:rsid w:val="008F7DAE"/>
    <w:rsid w:val="009001A5"/>
    <w:rsid w:val="009006FF"/>
    <w:rsid w:val="00901087"/>
    <w:rsid w:val="00901D11"/>
    <w:rsid w:val="00901E49"/>
    <w:rsid w:val="00902112"/>
    <w:rsid w:val="00902198"/>
    <w:rsid w:val="00902CB7"/>
    <w:rsid w:val="00903B50"/>
    <w:rsid w:val="009043FD"/>
    <w:rsid w:val="009048D1"/>
    <w:rsid w:val="00904C3D"/>
    <w:rsid w:val="00905343"/>
    <w:rsid w:val="00905E3C"/>
    <w:rsid w:val="009060CB"/>
    <w:rsid w:val="009063B8"/>
    <w:rsid w:val="00906EE9"/>
    <w:rsid w:val="00907389"/>
    <w:rsid w:val="009074C8"/>
    <w:rsid w:val="00911299"/>
    <w:rsid w:val="009112D1"/>
    <w:rsid w:val="0091196E"/>
    <w:rsid w:val="00911E0F"/>
    <w:rsid w:val="00912CA3"/>
    <w:rsid w:val="00913786"/>
    <w:rsid w:val="00913A24"/>
    <w:rsid w:val="00913B51"/>
    <w:rsid w:val="00914241"/>
    <w:rsid w:val="009145B5"/>
    <w:rsid w:val="00914EE7"/>
    <w:rsid w:val="00914FE6"/>
    <w:rsid w:val="009164BB"/>
    <w:rsid w:val="0091685E"/>
    <w:rsid w:val="00916994"/>
    <w:rsid w:val="00916AF5"/>
    <w:rsid w:val="00917760"/>
    <w:rsid w:val="00917A50"/>
    <w:rsid w:val="0092044B"/>
    <w:rsid w:val="00920835"/>
    <w:rsid w:val="00920D48"/>
    <w:rsid w:val="00921076"/>
    <w:rsid w:val="0092123C"/>
    <w:rsid w:val="009218DC"/>
    <w:rsid w:val="00921943"/>
    <w:rsid w:val="0092292D"/>
    <w:rsid w:val="00923002"/>
    <w:rsid w:val="009231BD"/>
    <w:rsid w:val="009233F6"/>
    <w:rsid w:val="00924498"/>
    <w:rsid w:val="0092470E"/>
    <w:rsid w:val="00925708"/>
    <w:rsid w:val="00925C60"/>
    <w:rsid w:val="00925E68"/>
    <w:rsid w:val="00925F1B"/>
    <w:rsid w:val="009266B5"/>
    <w:rsid w:val="009267B7"/>
    <w:rsid w:val="00926BF2"/>
    <w:rsid w:val="00927478"/>
    <w:rsid w:val="00927AEF"/>
    <w:rsid w:val="009308D8"/>
    <w:rsid w:val="0093136A"/>
    <w:rsid w:val="009313B5"/>
    <w:rsid w:val="00932811"/>
    <w:rsid w:val="00933244"/>
    <w:rsid w:val="009333C2"/>
    <w:rsid w:val="00933B71"/>
    <w:rsid w:val="00933E23"/>
    <w:rsid w:val="00934042"/>
    <w:rsid w:val="00934A24"/>
    <w:rsid w:val="00934DFD"/>
    <w:rsid w:val="00935639"/>
    <w:rsid w:val="0093741D"/>
    <w:rsid w:val="009400BA"/>
    <w:rsid w:val="00940436"/>
    <w:rsid w:val="00940482"/>
    <w:rsid w:val="009410A6"/>
    <w:rsid w:val="00941EFB"/>
    <w:rsid w:val="0094350D"/>
    <w:rsid w:val="0094419A"/>
    <w:rsid w:val="0094450F"/>
    <w:rsid w:val="009459E9"/>
    <w:rsid w:val="00945A69"/>
    <w:rsid w:val="0094712A"/>
    <w:rsid w:val="009477AE"/>
    <w:rsid w:val="00947A42"/>
    <w:rsid w:val="00947C33"/>
    <w:rsid w:val="00950719"/>
    <w:rsid w:val="00950D11"/>
    <w:rsid w:val="00950D5A"/>
    <w:rsid w:val="00951E50"/>
    <w:rsid w:val="009520D1"/>
    <w:rsid w:val="00952E97"/>
    <w:rsid w:val="0095398D"/>
    <w:rsid w:val="00953C92"/>
    <w:rsid w:val="00954802"/>
    <w:rsid w:val="00954A3C"/>
    <w:rsid w:val="00954B51"/>
    <w:rsid w:val="00955203"/>
    <w:rsid w:val="0095611C"/>
    <w:rsid w:val="0095652A"/>
    <w:rsid w:val="009566FC"/>
    <w:rsid w:val="00956CC9"/>
    <w:rsid w:val="00957300"/>
    <w:rsid w:val="00957D0A"/>
    <w:rsid w:val="00960018"/>
    <w:rsid w:val="00960060"/>
    <w:rsid w:val="00960306"/>
    <w:rsid w:val="009608DB"/>
    <w:rsid w:val="00960E53"/>
    <w:rsid w:val="00960E93"/>
    <w:rsid w:val="009619A6"/>
    <w:rsid w:val="00962901"/>
    <w:rsid w:val="00962F42"/>
    <w:rsid w:val="00963C00"/>
    <w:rsid w:val="00964A59"/>
    <w:rsid w:val="0096534D"/>
    <w:rsid w:val="00965715"/>
    <w:rsid w:val="00965AE6"/>
    <w:rsid w:val="00966048"/>
    <w:rsid w:val="0096686C"/>
    <w:rsid w:val="00967B6F"/>
    <w:rsid w:val="00970134"/>
    <w:rsid w:val="0097212B"/>
    <w:rsid w:val="00972860"/>
    <w:rsid w:val="009730C0"/>
    <w:rsid w:val="0097360B"/>
    <w:rsid w:val="00973FBC"/>
    <w:rsid w:val="0097483E"/>
    <w:rsid w:val="00974995"/>
    <w:rsid w:val="00974A70"/>
    <w:rsid w:val="00975393"/>
    <w:rsid w:val="0097731F"/>
    <w:rsid w:val="00980228"/>
    <w:rsid w:val="009818CE"/>
    <w:rsid w:val="00981C22"/>
    <w:rsid w:val="00982ED3"/>
    <w:rsid w:val="00982F10"/>
    <w:rsid w:val="00983024"/>
    <w:rsid w:val="00983CDC"/>
    <w:rsid w:val="00984D30"/>
    <w:rsid w:val="00985025"/>
    <w:rsid w:val="0098553B"/>
    <w:rsid w:val="00985B46"/>
    <w:rsid w:val="00986600"/>
    <w:rsid w:val="009866E4"/>
    <w:rsid w:val="009867A5"/>
    <w:rsid w:val="009869B6"/>
    <w:rsid w:val="00986B75"/>
    <w:rsid w:val="00986D3E"/>
    <w:rsid w:val="009878A4"/>
    <w:rsid w:val="00987A21"/>
    <w:rsid w:val="00987D78"/>
    <w:rsid w:val="00990DE8"/>
    <w:rsid w:val="00990F44"/>
    <w:rsid w:val="0099389B"/>
    <w:rsid w:val="00993945"/>
    <w:rsid w:val="00993D80"/>
    <w:rsid w:val="00994EA0"/>
    <w:rsid w:val="0099517F"/>
    <w:rsid w:val="009951BE"/>
    <w:rsid w:val="009961A6"/>
    <w:rsid w:val="0099660C"/>
    <w:rsid w:val="009968AC"/>
    <w:rsid w:val="0099711E"/>
    <w:rsid w:val="00997F1C"/>
    <w:rsid w:val="009A0187"/>
    <w:rsid w:val="009A1049"/>
    <w:rsid w:val="009A278F"/>
    <w:rsid w:val="009A30A1"/>
    <w:rsid w:val="009A4445"/>
    <w:rsid w:val="009A4B55"/>
    <w:rsid w:val="009A5002"/>
    <w:rsid w:val="009A5765"/>
    <w:rsid w:val="009A594E"/>
    <w:rsid w:val="009A5981"/>
    <w:rsid w:val="009A59BF"/>
    <w:rsid w:val="009A5E09"/>
    <w:rsid w:val="009A60BD"/>
    <w:rsid w:val="009A6174"/>
    <w:rsid w:val="009A6573"/>
    <w:rsid w:val="009A66AB"/>
    <w:rsid w:val="009A68FD"/>
    <w:rsid w:val="009A7B03"/>
    <w:rsid w:val="009B1A33"/>
    <w:rsid w:val="009B1B37"/>
    <w:rsid w:val="009B1F1E"/>
    <w:rsid w:val="009B45A4"/>
    <w:rsid w:val="009B45DB"/>
    <w:rsid w:val="009B4A26"/>
    <w:rsid w:val="009B53D5"/>
    <w:rsid w:val="009B6144"/>
    <w:rsid w:val="009B78D4"/>
    <w:rsid w:val="009B7B59"/>
    <w:rsid w:val="009B7BC0"/>
    <w:rsid w:val="009C0036"/>
    <w:rsid w:val="009C0158"/>
    <w:rsid w:val="009C015F"/>
    <w:rsid w:val="009C02FB"/>
    <w:rsid w:val="009C1A77"/>
    <w:rsid w:val="009C2311"/>
    <w:rsid w:val="009C2660"/>
    <w:rsid w:val="009C2E1C"/>
    <w:rsid w:val="009C3174"/>
    <w:rsid w:val="009C3E04"/>
    <w:rsid w:val="009C4284"/>
    <w:rsid w:val="009C440F"/>
    <w:rsid w:val="009C4E5A"/>
    <w:rsid w:val="009C5A4E"/>
    <w:rsid w:val="009C67E7"/>
    <w:rsid w:val="009C6EA7"/>
    <w:rsid w:val="009C6F84"/>
    <w:rsid w:val="009C77CB"/>
    <w:rsid w:val="009D0034"/>
    <w:rsid w:val="009D03DA"/>
    <w:rsid w:val="009D04AC"/>
    <w:rsid w:val="009D099B"/>
    <w:rsid w:val="009D0BC9"/>
    <w:rsid w:val="009D0C0C"/>
    <w:rsid w:val="009D14DD"/>
    <w:rsid w:val="009D1711"/>
    <w:rsid w:val="009D36BF"/>
    <w:rsid w:val="009D4240"/>
    <w:rsid w:val="009D44C5"/>
    <w:rsid w:val="009D472F"/>
    <w:rsid w:val="009D4B2E"/>
    <w:rsid w:val="009D4C79"/>
    <w:rsid w:val="009D4FD6"/>
    <w:rsid w:val="009D5107"/>
    <w:rsid w:val="009D5806"/>
    <w:rsid w:val="009D5DFE"/>
    <w:rsid w:val="009D5F7D"/>
    <w:rsid w:val="009D6217"/>
    <w:rsid w:val="009D6952"/>
    <w:rsid w:val="009D74EB"/>
    <w:rsid w:val="009D777E"/>
    <w:rsid w:val="009D7BF7"/>
    <w:rsid w:val="009E13C6"/>
    <w:rsid w:val="009E16BF"/>
    <w:rsid w:val="009E191B"/>
    <w:rsid w:val="009E2C32"/>
    <w:rsid w:val="009E2E6F"/>
    <w:rsid w:val="009E3125"/>
    <w:rsid w:val="009E3DAF"/>
    <w:rsid w:val="009E524A"/>
    <w:rsid w:val="009E6121"/>
    <w:rsid w:val="009E6399"/>
    <w:rsid w:val="009E65E3"/>
    <w:rsid w:val="009E69D3"/>
    <w:rsid w:val="009E6D5D"/>
    <w:rsid w:val="009E75A1"/>
    <w:rsid w:val="009E7A0E"/>
    <w:rsid w:val="009F00E5"/>
    <w:rsid w:val="009F199A"/>
    <w:rsid w:val="009F1AC6"/>
    <w:rsid w:val="009F28B5"/>
    <w:rsid w:val="009F35D1"/>
    <w:rsid w:val="009F3CED"/>
    <w:rsid w:val="009F40BA"/>
    <w:rsid w:val="009F4459"/>
    <w:rsid w:val="009F4EBD"/>
    <w:rsid w:val="009F4F18"/>
    <w:rsid w:val="009F5512"/>
    <w:rsid w:val="009F55EF"/>
    <w:rsid w:val="009F57B8"/>
    <w:rsid w:val="009F5A17"/>
    <w:rsid w:val="009F661B"/>
    <w:rsid w:val="009F667C"/>
    <w:rsid w:val="009F698B"/>
    <w:rsid w:val="009F6DC4"/>
    <w:rsid w:val="009F7A25"/>
    <w:rsid w:val="00A00495"/>
    <w:rsid w:val="00A00AA0"/>
    <w:rsid w:val="00A01A06"/>
    <w:rsid w:val="00A01B13"/>
    <w:rsid w:val="00A01E8A"/>
    <w:rsid w:val="00A03030"/>
    <w:rsid w:val="00A03A53"/>
    <w:rsid w:val="00A03CE0"/>
    <w:rsid w:val="00A05F06"/>
    <w:rsid w:val="00A05F47"/>
    <w:rsid w:val="00A0700D"/>
    <w:rsid w:val="00A07FE0"/>
    <w:rsid w:val="00A119C3"/>
    <w:rsid w:val="00A11F15"/>
    <w:rsid w:val="00A11FD5"/>
    <w:rsid w:val="00A11FDD"/>
    <w:rsid w:val="00A12525"/>
    <w:rsid w:val="00A126E8"/>
    <w:rsid w:val="00A12709"/>
    <w:rsid w:val="00A12792"/>
    <w:rsid w:val="00A12CFB"/>
    <w:rsid w:val="00A14050"/>
    <w:rsid w:val="00A14C72"/>
    <w:rsid w:val="00A14E37"/>
    <w:rsid w:val="00A14F06"/>
    <w:rsid w:val="00A14FCE"/>
    <w:rsid w:val="00A15E14"/>
    <w:rsid w:val="00A162CB"/>
    <w:rsid w:val="00A16D0C"/>
    <w:rsid w:val="00A16FFA"/>
    <w:rsid w:val="00A1782E"/>
    <w:rsid w:val="00A179EF"/>
    <w:rsid w:val="00A2167B"/>
    <w:rsid w:val="00A21A62"/>
    <w:rsid w:val="00A21B34"/>
    <w:rsid w:val="00A23509"/>
    <w:rsid w:val="00A2393D"/>
    <w:rsid w:val="00A251D9"/>
    <w:rsid w:val="00A2607F"/>
    <w:rsid w:val="00A268B1"/>
    <w:rsid w:val="00A271AE"/>
    <w:rsid w:val="00A271D8"/>
    <w:rsid w:val="00A272C3"/>
    <w:rsid w:val="00A3053C"/>
    <w:rsid w:val="00A30B38"/>
    <w:rsid w:val="00A31DE7"/>
    <w:rsid w:val="00A321C6"/>
    <w:rsid w:val="00A3350D"/>
    <w:rsid w:val="00A34172"/>
    <w:rsid w:val="00A34F43"/>
    <w:rsid w:val="00A36277"/>
    <w:rsid w:val="00A36DE7"/>
    <w:rsid w:val="00A40929"/>
    <w:rsid w:val="00A40969"/>
    <w:rsid w:val="00A409D8"/>
    <w:rsid w:val="00A40B50"/>
    <w:rsid w:val="00A40D1C"/>
    <w:rsid w:val="00A41B08"/>
    <w:rsid w:val="00A429F8"/>
    <w:rsid w:val="00A42F21"/>
    <w:rsid w:val="00A4394F"/>
    <w:rsid w:val="00A43A74"/>
    <w:rsid w:val="00A45073"/>
    <w:rsid w:val="00A46357"/>
    <w:rsid w:val="00A46C9C"/>
    <w:rsid w:val="00A50A44"/>
    <w:rsid w:val="00A5103D"/>
    <w:rsid w:val="00A51B22"/>
    <w:rsid w:val="00A51E46"/>
    <w:rsid w:val="00A52F2F"/>
    <w:rsid w:val="00A53DC1"/>
    <w:rsid w:val="00A5436F"/>
    <w:rsid w:val="00A54646"/>
    <w:rsid w:val="00A54808"/>
    <w:rsid w:val="00A54945"/>
    <w:rsid w:val="00A54AF4"/>
    <w:rsid w:val="00A55326"/>
    <w:rsid w:val="00A5671B"/>
    <w:rsid w:val="00A57777"/>
    <w:rsid w:val="00A6017D"/>
    <w:rsid w:val="00A6126E"/>
    <w:rsid w:val="00A61791"/>
    <w:rsid w:val="00A61A68"/>
    <w:rsid w:val="00A61E57"/>
    <w:rsid w:val="00A6215C"/>
    <w:rsid w:val="00A6251F"/>
    <w:rsid w:val="00A63682"/>
    <w:rsid w:val="00A63A91"/>
    <w:rsid w:val="00A63C2B"/>
    <w:rsid w:val="00A640B5"/>
    <w:rsid w:val="00A6410B"/>
    <w:rsid w:val="00A6528B"/>
    <w:rsid w:val="00A654BB"/>
    <w:rsid w:val="00A65BEE"/>
    <w:rsid w:val="00A65C2F"/>
    <w:rsid w:val="00A66220"/>
    <w:rsid w:val="00A66E39"/>
    <w:rsid w:val="00A672EA"/>
    <w:rsid w:val="00A705FD"/>
    <w:rsid w:val="00A7151B"/>
    <w:rsid w:val="00A71708"/>
    <w:rsid w:val="00A71E7E"/>
    <w:rsid w:val="00A71F26"/>
    <w:rsid w:val="00A72D2B"/>
    <w:rsid w:val="00A72EA6"/>
    <w:rsid w:val="00A73B09"/>
    <w:rsid w:val="00A73F6B"/>
    <w:rsid w:val="00A7470A"/>
    <w:rsid w:val="00A749D8"/>
    <w:rsid w:val="00A74C3E"/>
    <w:rsid w:val="00A74FD8"/>
    <w:rsid w:val="00A7517A"/>
    <w:rsid w:val="00A75EA5"/>
    <w:rsid w:val="00A776CD"/>
    <w:rsid w:val="00A77A26"/>
    <w:rsid w:val="00A8034C"/>
    <w:rsid w:val="00A8046F"/>
    <w:rsid w:val="00A808E8"/>
    <w:rsid w:val="00A816D5"/>
    <w:rsid w:val="00A81918"/>
    <w:rsid w:val="00A82225"/>
    <w:rsid w:val="00A82964"/>
    <w:rsid w:val="00A83284"/>
    <w:rsid w:val="00A84184"/>
    <w:rsid w:val="00A849F5"/>
    <w:rsid w:val="00A84DBA"/>
    <w:rsid w:val="00A8530E"/>
    <w:rsid w:val="00A8560C"/>
    <w:rsid w:val="00A85CB0"/>
    <w:rsid w:val="00A85CDA"/>
    <w:rsid w:val="00A8659C"/>
    <w:rsid w:val="00A8662F"/>
    <w:rsid w:val="00A87B98"/>
    <w:rsid w:val="00A902CD"/>
    <w:rsid w:val="00A90640"/>
    <w:rsid w:val="00A90ABE"/>
    <w:rsid w:val="00A91276"/>
    <w:rsid w:val="00A9176C"/>
    <w:rsid w:val="00A91BD8"/>
    <w:rsid w:val="00A91F30"/>
    <w:rsid w:val="00A92194"/>
    <w:rsid w:val="00A92EDC"/>
    <w:rsid w:val="00A92FEE"/>
    <w:rsid w:val="00A93CA4"/>
    <w:rsid w:val="00A9439B"/>
    <w:rsid w:val="00A94570"/>
    <w:rsid w:val="00A9460F"/>
    <w:rsid w:val="00A95A34"/>
    <w:rsid w:val="00A9709A"/>
    <w:rsid w:val="00A9794C"/>
    <w:rsid w:val="00AA056D"/>
    <w:rsid w:val="00AA0C65"/>
    <w:rsid w:val="00AA1857"/>
    <w:rsid w:val="00AA18D7"/>
    <w:rsid w:val="00AA1A72"/>
    <w:rsid w:val="00AA1E2B"/>
    <w:rsid w:val="00AA2104"/>
    <w:rsid w:val="00AA30D3"/>
    <w:rsid w:val="00AA3F83"/>
    <w:rsid w:val="00AA4736"/>
    <w:rsid w:val="00AA4788"/>
    <w:rsid w:val="00AA5193"/>
    <w:rsid w:val="00AA555E"/>
    <w:rsid w:val="00AA72EF"/>
    <w:rsid w:val="00AA7A44"/>
    <w:rsid w:val="00AB1B6D"/>
    <w:rsid w:val="00AB3FCF"/>
    <w:rsid w:val="00AB4395"/>
    <w:rsid w:val="00AB46BB"/>
    <w:rsid w:val="00AB4810"/>
    <w:rsid w:val="00AB4F21"/>
    <w:rsid w:val="00AB52FA"/>
    <w:rsid w:val="00AB5590"/>
    <w:rsid w:val="00AB64E9"/>
    <w:rsid w:val="00AB6F66"/>
    <w:rsid w:val="00AB71BA"/>
    <w:rsid w:val="00AB7202"/>
    <w:rsid w:val="00AB76DC"/>
    <w:rsid w:val="00AB781E"/>
    <w:rsid w:val="00AB797E"/>
    <w:rsid w:val="00AC020A"/>
    <w:rsid w:val="00AC0231"/>
    <w:rsid w:val="00AC0291"/>
    <w:rsid w:val="00AC03E2"/>
    <w:rsid w:val="00AC141B"/>
    <w:rsid w:val="00AC1B26"/>
    <w:rsid w:val="00AC1B41"/>
    <w:rsid w:val="00AC1B6E"/>
    <w:rsid w:val="00AC29F2"/>
    <w:rsid w:val="00AC2EE0"/>
    <w:rsid w:val="00AC3C5D"/>
    <w:rsid w:val="00AC4541"/>
    <w:rsid w:val="00AC4B03"/>
    <w:rsid w:val="00AC5E98"/>
    <w:rsid w:val="00AC6A45"/>
    <w:rsid w:val="00AC6B1A"/>
    <w:rsid w:val="00AC783C"/>
    <w:rsid w:val="00AC7C81"/>
    <w:rsid w:val="00AC7EAE"/>
    <w:rsid w:val="00AD06DF"/>
    <w:rsid w:val="00AD07CA"/>
    <w:rsid w:val="00AD097A"/>
    <w:rsid w:val="00AD0A19"/>
    <w:rsid w:val="00AD15FA"/>
    <w:rsid w:val="00AD2044"/>
    <w:rsid w:val="00AD2A1A"/>
    <w:rsid w:val="00AD2FD1"/>
    <w:rsid w:val="00AD3766"/>
    <w:rsid w:val="00AD4ED4"/>
    <w:rsid w:val="00AD59CB"/>
    <w:rsid w:val="00AD6A79"/>
    <w:rsid w:val="00AD6F73"/>
    <w:rsid w:val="00AD717F"/>
    <w:rsid w:val="00AD7208"/>
    <w:rsid w:val="00AD737D"/>
    <w:rsid w:val="00AD74EE"/>
    <w:rsid w:val="00AD7F60"/>
    <w:rsid w:val="00AE04B4"/>
    <w:rsid w:val="00AE1F0D"/>
    <w:rsid w:val="00AE225B"/>
    <w:rsid w:val="00AE2709"/>
    <w:rsid w:val="00AE27F3"/>
    <w:rsid w:val="00AE2AD2"/>
    <w:rsid w:val="00AE36AC"/>
    <w:rsid w:val="00AE3B43"/>
    <w:rsid w:val="00AE3D7F"/>
    <w:rsid w:val="00AE4B59"/>
    <w:rsid w:val="00AE5C74"/>
    <w:rsid w:val="00AE609A"/>
    <w:rsid w:val="00AE6710"/>
    <w:rsid w:val="00AE684F"/>
    <w:rsid w:val="00AE68B2"/>
    <w:rsid w:val="00AE7674"/>
    <w:rsid w:val="00AE7A82"/>
    <w:rsid w:val="00AF10B2"/>
    <w:rsid w:val="00AF12C0"/>
    <w:rsid w:val="00AF1B23"/>
    <w:rsid w:val="00AF228A"/>
    <w:rsid w:val="00AF2524"/>
    <w:rsid w:val="00AF28A5"/>
    <w:rsid w:val="00AF345B"/>
    <w:rsid w:val="00AF34B9"/>
    <w:rsid w:val="00AF3987"/>
    <w:rsid w:val="00AF4421"/>
    <w:rsid w:val="00AF47DF"/>
    <w:rsid w:val="00AF4957"/>
    <w:rsid w:val="00AF5C2E"/>
    <w:rsid w:val="00AF700F"/>
    <w:rsid w:val="00AF716F"/>
    <w:rsid w:val="00AF759C"/>
    <w:rsid w:val="00AF7C8B"/>
    <w:rsid w:val="00AF7D2E"/>
    <w:rsid w:val="00AF7D8A"/>
    <w:rsid w:val="00B00491"/>
    <w:rsid w:val="00B008D4"/>
    <w:rsid w:val="00B00F0C"/>
    <w:rsid w:val="00B00FB5"/>
    <w:rsid w:val="00B0113F"/>
    <w:rsid w:val="00B01A77"/>
    <w:rsid w:val="00B01FBC"/>
    <w:rsid w:val="00B03C64"/>
    <w:rsid w:val="00B03D63"/>
    <w:rsid w:val="00B03EF6"/>
    <w:rsid w:val="00B0406F"/>
    <w:rsid w:val="00B04140"/>
    <w:rsid w:val="00B04357"/>
    <w:rsid w:val="00B04BB4"/>
    <w:rsid w:val="00B04BB6"/>
    <w:rsid w:val="00B05320"/>
    <w:rsid w:val="00B057BF"/>
    <w:rsid w:val="00B112D0"/>
    <w:rsid w:val="00B1163E"/>
    <w:rsid w:val="00B117B2"/>
    <w:rsid w:val="00B11AEB"/>
    <w:rsid w:val="00B11DBF"/>
    <w:rsid w:val="00B1282A"/>
    <w:rsid w:val="00B12F23"/>
    <w:rsid w:val="00B13757"/>
    <w:rsid w:val="00B13ABB"/>
    <w:rsid w:val="00B13C05"/>
    <w:rsid w:val="00B13DD3"/>
    <w:rsid w:val="00B1410D"/>
    <w:rsid w:val="00B14971"/>
    <w:rsid w:val="00B14D3C"/>
    <w:rsid w:val="00B154C5"/>
    <w:rsid w:val="00B15610"/>
    <w:rsid w:val="00B15FA6"/>
    <w:rsid w:val="00B16522"/>
    <w:rsid w:val="00B20C65"/>
    <w:rsid w:val="00B21567"/>
    <w:rsid w:val="00B2183F"/>
    <w:rsid w:val="00B220D2"/>
    <w:rsid w:val="00B2214A"/>
    <w:rsid w:val="00B22708"/>
    <w:rsid w:val="00B22801"/>
    <w:rsid w:val="00B229A3"/>
    <w:rsid w:val="00B2374C"/>
    <w:rsid w:val="00B23A7F"/>
    <w:rsid w:val="00B242BE"/>
    <w:rsid w:val="00B24305"/>
    <w:rsid w:val="00B24525"/>
    <w:rsid w:val="00B248EB"/>
    <w:rsid w:val="00B2580A"/>
    <w:rsid w:val="00B25A3D"/>
    <w:rsid w:val="00B25CE9"/>
    <w:rsid w:val="00B2677A"/>
    <w:rsid w:val="00B27487"/>
    <w:rsid w:val="00B27935"/>
    <w:rsid w:val="00B27B38"/>
    <w:rsid w:val="00B27F54"/>
    <w:rsid w:val="00B27FDC"/>
    <w:rsid w:val="00B3029C"/>
    <w:rsid w:val="00B30D24"/>
    <w:rsid w:val="00B31815"/>
    <w:rsid w:val="00B31834"/>
    <w:rsid w:val="00B319D2"/>
    <w:rsid w:val="00B32450"/>
    <w:rsid w:val="00B326AD"/>
    <w:rsid w:val="00B337E4"/>
    <w:rsid w:val="00B33D5D"/>
    <w:rsid w:val="00B34973"/>
    <w:rsid w:val="00B34F6F"/>
    <w:rsid w:val="00B35827"/>
    <w:rsid w:val="00B3697B"/>
    <w:rsid w:val="00B36BF5"/>
    <w:rsid w:val="00B37702"/>
    <w:rsid w:val="00B3781B"/>
    <w:rsid w:val="00B37867"/>
    <w:rsid w:val="00B405FA"/>
    <w:rsid w:val="00B4118C"/>
    <w:rsid w:val="00B4119E"/>
    <w:rsid w:val="00B41814"/>
    <w:rsid w:val="00B4246C"/>
    <w:rsid w:val="00B42C5C"/>
    <w:rsid w:val="00B42CEB"/>
    <w:rsid w:val="00B4336A"/>
    <w:rsid w:val="00B43A10"/>
    <w:rsid w:val="00B44692"/>
    <w:rsid w:val="00B44DD2"/>
    <w:rsid w:val="00B459C6"/>
    <w:rsid w:val="00B46C5E"/>
    <w:rsid w:val="00B5030F"/>
    <w:rsid w:val="00B506E0"/>
    <w:rsid w:val="00B5123D"/>
    <w:rsid w:val="00B513CC"/>
    <w:rsid w:val="00B515FD"/>
    <w:rsid w:val="00B524D9"/>
    <w:rsid w:val="00B527B4"/>
    <w:rsid w:val="00B53278"/>
    <w:rsid w:val="00B54618"/>
    <w:rsid w:val="00B5486A"/>
    <w:rsid w:val="00B54AE5"/>
    <w:rsid w:val="00B54F55"/>
    <w:rsid w:val="00B55882"/>
    <w:rsid w:val="00B55AB2"/>
    <w:rsid w:val="00B55FD7"/>
    <w:rsid w:val="00B563B4"/>
    <w:rsid w:val="00B5654B"/>
    <w:rsid w:val="00B57177"/>
    <w:rsid w:val="00B60499"/>
    <w:rsid w:val="00B614AF"/>
    <w:rsid w:val="00B617D0"/>
    <w:rsid w:val="00B626ED"/>
    <w:rsid w:val="00B63B79"/>
    <w:rsid w:val="00B640D1"/>
    <w:rsid w:val="00B64716"/>
    <w:rsid w:val="00B648D1"/>
    <w:rsid w:val="00B665E8"/>
    <w:rsid w:val="00B66992"/>
    <w:rsid w:val="00B66F28"/>
    <w:rsid w:val="00B678B6"/>
    <w:rsid w:val="00B67E16"/>
    <w:rsid w:val="00B7000D"/>
    <w:rsid w:val="00B7004F"/>
    <w:rsid w:val="00B701DB"/>
    <w:rsid w:val="00B702CF"/>
    <w:rsid w:val="00B7064A"/>
    <w:rsid w:val="00B70A72"/>
    <w:rsid w:val="00B7184D"/>
    <w:rsid w:val="00B72A9B"/>
    <w:rsid w:val="00B72F78"/>
    <w:rsid w:val="00B7333A"/>
    <w:rsid w:val="00B7356D"/>
    <w:rsid w:val="00B7367A"/>
    <w:rsid w:val="00B73E60"/>
    <w:rsid w:val="00B73FC6"/>
    <w:rsid w:val="00B7430E"/>
    <w:rsid w:val="00B749F7"/>
    <w:rsid w:val="00B75EBF"/>
    <w:rsid w:val="00B760A9"/>
    <w:rsid w:val="00B7663A"/>
    <w:rsid w:val="00B7683D"/>
    <w:rsid w:val="00B76C89"/>
    <w:rsid w:val="00B805C6"/>
    <w:rsid w:val="00B80C3E"/>
    <w:rsid w:val="00B8126D"/>
    <w:rsid w:val="00B816AA"/>
    <w:rsid w:val="00B81E6B"/>
    <w:rsid w:val="00B82420"/>
    <w:rsid w:val="00B82768"/>
    <w:rsid w:val="00B83172"/>
    <w:rsid w:val="00B84101"/>
    <w:rsid w:val="00B85E77"/>
    <w:rsid w:val="00B86541"/>
    <w:rsid w:val="00B8756C"/>
    <w:rsid w:val="00B878F2"/>
    <w:rsid w:val="00B87D3F"/>
    <w:rsid w:val="00B90D80"/>
    <w:rsid w:val="00B91A27"/>
    <w:rsid w:val="00B91FEB"/>
    <w:rsid w:val="00B92224"/>
    <w:rsid w:val="00B92CB6"/>
    <w:rsid w:val="00B931D3"/>
    <w:rsid w:val="00B93506"/>
    <w:rsid w:val="00B940F3"/>
    <w:rsid w:val="00B94ADC"/>
    <w:rsid w:val="00B94CE4"/>
    <w:rsid w:val="00B9516C"/>
    <w:rsid w:val="00B952BB"/>
    <w:rsid w:val="00B95C20"/>
    <w:rsid w:val="00B95C6C"/>
    <w:rsid w:val="00B96744"/>
    <w:rsid w:val="00B970D5"/>
    <w:rsid w:val="00B9731D"/>
    <w:rsid w:val="00B9760C"/>
    <w:rsid w:val="00B97DDB"/>
    <w:rsid w:val="00BA0294"/>
    <w:rsid w:val="00BA1BF1"/>
    <w:rsid w:val="00BA260A"/>
    <w:rsid w:val="00BA2DEA"/>
    <w:rsid w:val="00BA31A1"/>
    <w:rsid w:val="00BA31B9"/>
    <w:rsid w:val="00BA4F57"/>
    <w:rsid w:val="00BA590F"/>
    <w:rsid w:val="00BA5BA9"/>
    <w:rsid w:val="00BA5DED"/>
    <w:rsid w:val="00BA6048"/>
    <w:rsid w:val="00BA6055"/>
    <w:rsid w:val="00BA63E4"/>
    <w:rsid w:val="00BA6B83"/>
    <w:rsid w:val="00BA6BC8"/>
    <w:rsid w:val="00BA753C"/>
    <w:rsid w:val="00BA7845"/>
    <w:rsid w:val="00BA7BB5"/>
    <w:rsid w:val="00BB1623"/>
    <w:rsid w:val="00BB1D4E"/>
    <w:rsid w:val="00BB30FA"/>
    <w:rsid w:val="00BB39F4"/>
    <w:rsid w:val="00BB3ED7"/>
    <w:rsid w:val="00BB3F44"/>
    <w:rsid w:val="00BB4BB0"/>
    <w:rsid w:val="00BB50FB"/>
    <w:rsid w:val="00BB5252"/>
    <w:rsid w:val="00BB5868"/>
    <w:rsid w:val="00BB5A8F"/>
    <w:rsid w:val="00BB6686"/>
    <w:rsid w:val="00BB68C9"/>
    <w:rsid w:val="00BB7235"/>
    <w:rsid w:val="00BB725D"/>
    <w:rsid w:val="00BB73F2"/>
    <w:rsid w:val="00BB779B"/>
    <w:rsid w:val="00BC05C5"/>
    <w:rsid w:val="00BC114E"/>
    <w:rsid w:val="00BC1341"/>
    <w:rsid w:val="00BC155E"/>
    <w:rsid w:val="00BC17BA"/>
    <w:rsid w:val="00BC1808"/>
    <w:rsid w:val="00BC1D47"/>
    <w:rsid w:val="00BC23E2"/>
    <w:rsid w:val="00BC2E0A"/>
    <w:rsid w:val="00BC2EBD"/>
    <w:rsid w:val="00BC2EDB"/>
    <w:rsid w:val="00BC363B"/>
    <w:rsid w:val="00BC395F"/>
    <w:rsid w:val="00BC47D3"/>
    <w:rsid w:val="00BC4F60"/>
    <w:rsid w:val="00BC50BA"/>
    <w:rsid w:val="00BC5E45"/>
    <w:rsid w:val="00BC604F"/>
    <w:rsid w:val="00BC67D4"/>
    <w:rsid w:val="00BC69DF"/>
    <w:rsid w:val="00BD03CE"/>
    <w:rsid w:val="00BD03D8"/>
    <w:rsid w:val="00BD042B"/>
    <w:rsid w:val="00BD06BD"/>
    <w:rsid w:val="00BD1E1E"/>
    <w:rsid w:val="00BD237E"/>
    <w:rsid w:val="00BD2458"/>
    <w:rsid w:val="00BD2ADE"/>
    <w:rsid w:val="00BD2B0F"/>
    <w:rsid w:val="00BD2C21"/>
    <w:rsid w:val="00BD3183"/>
    <w:rsid w:val="00BD32FE"/>
    <w:rsid w:val="00BD4F10"/>
    <w:rsid w:val="00BD5277"/>
    <w:rsid w:val="00BD5333"/>
    <w:rsid w:val="00BD6E75"/>
    <w:rsid w:val="00BD71BA"/>
    <w:rsid w:val="00BE013F"/>
    <w:rsid w:val="00BE17B1"/>
    <w:rsid w:val="00BE1CB7"/>
    <w:rsid w:val="00BE1D44"/>
    <w:rsid w:val="00BE27A1"/>
    <w:rsid w:val="00BE52CD"/>
    <w:rsid w:val="00BE531D"/>
    <w:rsid w:val="00BE54A5"/>
    <w:rsid w:val="00BE6C16"/>
    <w:rsid w:val="00BE6CA1"/>
    <w:rsid w:val="00BE74FA"/>
    <w:rsid w:val="00BE7795"/>
    <w:rsid w:val="00BF076C"/>
    <w:rsid w:val="00BF13DD"/>
    <w:rsid w:val="00BF13E2"/>
    <w:rsid w:val="00BF1576"/>
    <w:rsid w:val="00BF1801"/>
    <w:rsid w:val="00BF1FE5"/>
    <w:rsid w:val="00BF2447"/>
    <w:rsid w:val="00BF26CB"/>
    <w:rsid w:val="00BF29B1"/>
    <w:rsid w:val="00BF2A1A"/>
    <w:rsid w:val="00BF2EB8"/>
    <w:rsid w:val="00BF35A7"/>
    <w:rsid w:val="00BF3830"/>
    <w:rsid w:val="00BF3B19"/>
    <w:rsid w:val="00BF3C76"/>
    <w:rsid w:val="00BF3F0B"/>
    <w:rsid w:val="00BF5ED8"/>
    <w:rsid w:val="00BF670E"/>
    <w:rsid w:val="00BF6B63"/>
    <w:rsid w:val="00BF6D1C"/>
    <w:rsid w:val="00BF7A8E"/>
    <w:rsid w:val="00C01436"/>
    <w:rsid w:val="00C01BED"/>
    <w:rsid w:val="00C01FB4"/>
    <w:rsid w:val="00C03226"/>
    <w:rsid w:val="00C03A86"/>
    <w:rsid w:val="00C041AF"/>
    <w:rsid w:val="00C0422A"/>
    <w:rsid w:val="00C048AD"/>
    <w:rsid w:val="00C04CDF"/>
    <w:rsid w:val="00C04DC3"/>
    <w:rsid w:val="00C05754"/>
    <w:rsid w:val="00C059D5"/>
    <w:rsid w:val="00C05F12"/>
    <w:rsid w:val="00C066FC"/>
    <w:rsid w:val="00C06715"/>
    <w:rsid w:val="00C07CEE"/>
    <w:rsid w:val="00C10613"/>
    <w:rsid w:val="00C11A63"/>
    <w:rsid w:val="00C11AA2"/>
    <w:rsid w:val="00C1258D"/>
    <w:rsid w:val="00C12A85"/>
    <w:rsid w:val="00C12DD9"/>
    <w:rsid w:val="00C13D1D"/>
    <w:rsid w:val="00C143C5"/>
    <w:rsid w:val="00C15373"/>
    <w:rsid w:val="00C15A3C"/>
    <w:rsid w:val="00C15CA2"/>
    <w:rsid w:val="00C15CDC"/>
    <w:rsid w:val="00C15FAF"/>
    <w:rsid w:val="00C16542"/>
    <w:rsid w:val="00C166FB"/>
    <w:rsid w:val="00C16910"/>
    <w:rsid w:val="00C17651"/>
    <w:rsid w:val="00C17FEF"/>
    <w:rsid w:val="00C210A3"/>
    <w:rsid w:val="00C21E18"/>
    <w:rsid w:val="00C22756"/>
    <w:rsid w:val="00C227B1"/>
    <w:rsid w:val="00C22825"/>
    <w:rsid w:val="00C22872"/>
    <w:rsid w:val="00C22A0E"/>
    <w:rsid w:val="00C22C35"/>
    <w:rsid w:val="00C23623"/>
    <w:rsid w:val="00C2374C"/>
    <w:rsid w:val="00C24029"/>
    <w:rsid w:val="00C243AE"/>
    <w:rsid w:val="00C25943"/>
    <w:rsid w:val="00C25E0C"/>
    <w:rsid w:val="00C269C9"/>
    <w:rsid w:val="00C26FEF"/>
    <w:rsid w:val="00C31262"/>
    <w:rsid w:val="00C31B3A"/>
    <w:rsid w:val="00C32252"/>
    <w:rsid w:val="00C326B4"/>
    <w:rsid w:val="00C32825"/>
    <w:rsid w:val="00C32CAB"/>
    <w:rsid w:val="00C3317B"/>
    <w:rsid w:val="00C3399E"/>
    <w:rsid w:val="00C33D6A"/>
    <w:rsid w:val="00C34947"/>
    <w:rsid w:val="00C35208"/>
    <w:rsid w:val="00C356DF"/>
    <w:rsid w:val="00C36074"/>
    <w:rsid w:val="00C3636E"/>
    <w:rsid w:val="00C36B63"/>
    <w:rsid w:val="00C36C62"/>
    <w:rsid w:val="00C3793E"/>
    <w:rsid w:val="00C37CE8"/>
    <w:rsid w:val="00C37DD7"/>
    <w:rsid w:val="00C4001B"/>
    <w:rsid w:val="00C40570"/>
    <w:rsid w:val="00C40BC9"/>
    <w:rsid w:val="00C41005"/>
    <w:rsid w:val="00C4125F"/>
    <w:rsid w:val="00C41F46"/>
    <w:rsid w:val="00C42F86"/>
    <w:rsid w:val="00C43146"/>
    <w:rsid w:val="00C43773"/>
    <w:rsid w:val="00C43D78"/>
    <w:rsid w:val="00C44115"/>
    <w:rsid w:val="00C4559A"/>
    <w:rsid w:val="00C45C99"/>
    <w:rsid w:val="00C46433"/>
    <w:rsid w:val="00C46706"/>
    <w:rsid w:val="00C46DB4"/>
    <w:rsid w:val="00C46E9D"/>
    <w:rsid w:val="00C47BC7"/>
    <w:rsid w:val="00C47FFC"/>
    <w:rsid w:val="00C50008"/>
    <w:rsid w:val="00C503A8"/>
    <w:rsid w:val="00C51250"/>
    <w:rsid w:val="00C517D8"/>
    <w:rsid w:val="00C518BA"/>
    <w:rsid w:val="00C51A0A"/>
    <w:rsid w:val="00C52C9E"/>
    <w:rsid w:val="00C5378F"/>
    <w:rsid w:val="00C53D04"/>
    <w:rsid w:val="00C53FFF"/>
    <w:rsid w:val="00C54372"/>
    <w:rsid w:val="00C54586"/>
    <w:rsid w:val="00C559C5"/>
    <w:rsid w:val="00C5638D"/>
    <w:rsid w:val="00C56548"/>
    <w:rsid w:val="00C56F53"/>
    <w:rsid w:val="00C57394"/>
    <w:rsid w:val="00C57A44"/>
    <w:rsid w:val="00C57F18"/>
    <w:rsid w:val="00C61049"/>
    <w:rsid w:val="00C6115F"/>
    <w:rsid w:val="00C61226"/>
    <w:rsid w:val="00C62542"/>
    <w:rsid w:val="00C62D05"/>
    <w:rsid w:val="00C6302F"/>
    <w:rsid w:val="00C632E2"/>
    <w:rsid w:val="00C657D0"/>
    <w:rsid w:val="00C65A4F"/>
    <w:rsid w:val="00C65BB3"/>
    <w:rsid w:val="00C66822"/>
    <w:rsid w:val="00C66F28"/>
    <w:rsid w:val="00C700A0"/>
    <w:rsid w:val="00C70609"/>
    <w:rsid w:val="00C70794"/>
    <w:rsid w:val="00C70883"/>
    <w:rsid w:val="00C71880"/>
    <w:rsid w:val="00C71911"/>
    <w:rsid w:val="00C71C65"/>
    <w:rsid w:val="00C726FF"/>
    <w:rsid w:val="00C72923"/>
    <w:rsid w:val="00C72C51"/>
    <w:rsid w:val="00C72FEA"/>
    <w:rsid w:val="00C73BFE"/>
    <w:rsid w:val="00C73D02"/>
    <w:rsid w:val="00C73E32"/>
    <w:rsid w:val="00C75397"/>
    <w:rsid w:val="00C75723"/>
    <w:rsid w:val="00C7594F"/>
    <w:rsid w:val="00C759B6"/>
    <w:rsid w:val="00C75ADF"/>
    <w:rsid w:val="00C75B5C"/>
    <w:rsid w:val="00C775B0"/>
    <w:rsid w:val="00C777DE"/>
    <w:rsid w:val="00C77AC4"/>
    <w:rsid w:val="00C77D46"/>
    <w:rsid w:val="00C77FA3"/>
    <w:rsid w:val="00C77FBA"/>
    <w:rsid w:val="00C80121"/>
    <w:rsid w:val="00C804AE"/>
    <w:rsid w:val="00C804FE"/>
    <w:rsid w:val="00C812B4"/>
    <w:rsid w:val="00C8150E"/>
    <w:rsid w:val="00C81BE8"/>
    <w:rsid w:val="00C8203D"/>
    <w:rsid w:val="00C8274D"/>
    <w:rsid w:val="00C836AA"/>
    <w:rsid w:val="00C83F66"/>
    <w:rsid w:val="00C8479D"/>
    <w:rsid w:val="00C84BD4"/>
    <w:rsid w:val="00C84DC9"/>
    <w:rsid w:val="00C85911"/>
    <w:rsid w:val="00C85A05"/>
    <w:rsid w:val="00C85C00"/>
    <w:rsid w:val="00C87007"/>
    <w:rsid w:val="00C87DF9"/>
    <w:rsid w:val="00C91AC2"/>
    <w:rsid w:val="00C9225C"/>
    <w:rsid w:val="00C92354"/>
    <w:rsid w:val="00C927BE"/>
    <w:rsid w:val="00C92E4C"/>
    <w:rsid w:val="00C9484A"/>
    <w:rsid w:val="00C94B22"/>
    <w:rsid w:val="00C94CD2"/>
    <w:rsid w:val="00C9565A"/>
    <w:rsid w:val="00C9567B"/>
    <w:rsid w:val="00C95C5C"/>
    <w:rsid w:val="00C95EB1"/>
    <w:rsid w:val="00C96778"/>
    <w:rsid w:val="00C9687A"/>
    <w:rsid w:val="00C96FA7"/>
    <w:rsid w:val="00C9700F"/>
    <w:rsid w:val="00CA0199"/>
    <w:rsid w:val="00CA082E"/>
    <w:rsid w:val="00CA1B97"/>
    <w:rsid w:val="00CA220A"/>
    <w:rsid w:val="00CA2B94"/>
    <w:rsid w:val="00CA2F25"/>
    <w:rsid w:val="00CA31FE"/>
    <w:rsid w:val="00CA36C4"/>
    <w:rsid w:val="00CA3AD4"/>
    <w:rsid w:val="00CA4078"/>
    <w:rsid w:val="00CA42EB"/>
    <w:rsid w:val="00CA4660"/>
    <w:rsid w:val="00CA4697"/>
    <w:rsid w:val="00CA4FA1"/>
    <w:rsid w:val="00CA5385"/>
    <w:rsid w:val="00CA66AF"/>
    <w:rsid w:val="00CA6ED1"/>
    <w:rsid w:val="00CA736D"/>
    <w:rsid w:val="00CA7509"/>
    <w:rsid w:val="00CB012C"/>
    <w:rsid w:val="00CB100F"/>
    <w:rsid w:val="00CB11E3"/>
    <w:rsid w:val="00CB1DE4"/>
    <w:rsid w:val="00CB2DB5"/>
    <w:rsid w:val="00CB3731"/>
    <w:rsid w:val="00CB3A8E"/>
    <w:rsid w:val="00CB4CD8"/>
    <w:rsid w:val="00CB4D87"/>
    <w:rsid w:val="00CB528C"/>
    <w:rsid w:val="00CB5CC4"/>
    <w:rsid w:val="00CB5D7A"/>
    <w:rsid w:val="00CB6010"/>
    <w:rsid w:val="00CB60AF"/>
    <w:rsid w:val="00CB6248"/>
    <w:rsid w:val="00CB6C3A"/>
    <w:rsid w:val="00CB70EE"/>
    <w:rsid w:val="00CB7179"/>
    <w:rsid w:val="00CB74E1"/>
    <w:rsid w:val="00CC0A35"/>
    <w:rsid w:val="00CC1475"/>
    <w:rsid w:val="00CC1712"/>
    <w:rsid w:val="00CC1E62"/>
    <w:rsid w:val="00CC2AD1"/>
    <w:rsid w:val="00CC34D7"/>
    <w:rsid w:val="00CC34E4"/>
    <w:rsid w:val="00CC3B4C"/>
    <w:rsid w:val="00CC4DA0"/>
    <w:rsid w:val="00CC4DF4"/>
    <w:rsid w:val="00CC6FFD"/>
    <w:rsid w:val="00CC7398"/>
    <w:rsid w:val="00CC795F"/>
    <w:rsid w:val="00CD03B2"/>
    <w:rsid w:val="00CD103D"/>
    <w:rsid w:val="00CD3A2D"/>
    <w:rsid w:val="00CD4573"/>
    <w:rsid w:val="00CD5DE7"/>
    <w:rsid w:val="00CD61EA"/>
    <w:rsid w:val="00CD6629"/>
    <w:rsid w:val="00CD6BF3"/>
    <w:rsid w:val="00CD711B"/>
    <w:rsid w:val="00CD71BE"/>
    <w:rsid w:val="00CE17E9"/>
    <w:rsid w:val="00CE216C"/>
    <w:rsid w:val="00CE24E3"/>
    <w:rsid w:val="00CE2A7F"/>
    <w:rsid w:val="00CE2DD7"/>
    <w:rsid w:val="00CE325D"/>
    <w:rsid w:val="00CE343A"/>
    <w:rsid w:val="00CE517A"/>
    <w:rsid w:val="00CE555D"/>
    <w:rsid w:val="00CE73FD"/>
    <w:rsid w:val="00CE79E2"/>
    <w:rsid w:val="00CE7A66"/>
    <w:rsid w:val="00CE7BAB"/>
    <w:rsid w:val="00CE7C82"/>
    <w:rsid w:val="00CF0239"/>
    <w:rsid w:val="00CF2EE9"/>
    <w:rsid w:val="00CF3671"/>
    <w:rsid w:val="00CF3CD2"/>
    <w:rsid w:val="00CF3E3B"/>
    <w:rsid w:val="00CF460D"/>
    <w:rsid w:val="00CF4B3B"/>
    <w:rsid w:val="00CF6004"/>
    <w:rsid w:val="00CF6A7D"/>
    <w:rsid w:val="00CF6E01"/>
    <w:rsid w:val="00CF6E65"/>
    <w:rsid w:val="00CF74CE"/>
    <w:rsid w:val="00CF7AFE"/>
    <w:rsid w:val="00CF7F24"/>
    <w:rsid w:val="00CF7F8E"/>
    <w:rsid w:val="00D0006C"/>
    <w:rsid w:val="00D001E3"/>
    <w:rsid w:val="00D00271"/>
    <w:rsid w:val="00D007E6"/>
    <w:rsid w:val="00D008F7"/>
    <w:rsid w:val="00D02217"/>
    <w:rsid w:val="00D023E2"/>
    <w:rsid w:val="00D029F8"/>
    <w:rsid w:val="00D02CDF"/>
    <w:rsid w:val="00D0307C"/>
    <w:rsid w:val="00D0322C"/>
    <w:rsid w:val="00D03C5C"/>
    <w:rsid w:val="00D046A8"/>
    <w:rsid w:val="00D048A6"/>
    <w:rsid w:val="00D05AA0"/>
    <w:rsid w:val="00D061CA"/>
    <w:rsid w:val="00D06391"/>
    <w:rsid w:val="00D063E6"/>
    <w:rsid w:val="00D0658C"/>
    <w:rsid w:val="00D07E15"/>
    <w:rsid w:val="00D10035"/>
    <w:rsid w:val="00D10532"/>
    <w:rsid w:val="00D10D20"/>
    <w:rsid w:val="00D115D6"/>
    <w:rsid w:val="00D135D4"/>
    <w:rsid w:val="00D136DD"/>
    <w:rsid w:val="00D13C53"/>
    <w:rsid w:val="00D14797"/>
    <w:rsid w:val="00D15005"/>
    <w:rsid w:val="00D157FF"/>
    <w:rsid w:val="00D16C06"/>
    <w:rsid w:val="00D16C33"/>
    <w:rsid w:val="00D16EAB"/>
    <w:rsid w:val="00D172F7"/>
    <w:rsid w:val="00D1773B"/>
    <w:rsid w:val="00D2064C"/>
    <w:rsid w:val="00D20A45"/>
    <w:rsid w:val="00D20E03"/>
    <w:rsid w:val="00D21579"/>
    <w:rsid w:val="00D23B06"/>
    <w:rsid w:val="00D24103"/>
    <w:rsid w:val="00D2566C"/>
    <w:rsid w:val="00D261EC"/>
    <w:rsid w:val="00D2650B"/>
    <w:rsid w:val="00D26C4A"/>
    <w:rsid w:val="00D27328"/>
    <w:rsid w:val="00D27C34"/>
    <w:rsid w:val="00D3006A"/>
    <w:rsid w:val="00D304FD"/>
    <w:rsid w:val="00D306FE"/>
    <w:rsid w:val="00D309C8"/>
    <w:rsid w:val="00D318DF"/>
    <w:rsid w:val="00D32421"/>
    <w:rsid w:val="00D3288C"/>
    <w:rsid w:val="00D33E79"/>
    <w:rsid w:val="00D34CF1"/>
    <w:rsid w:val="00D34FB9"/>
    <w:rsid w:val="00D350D6"/>
    <w:rsid w:val="00D3577E"/>
    <w:rsid w:val="00D37AF2"/>
    <w:rsid w:val="00D37AF6"/>
    <w:rsid w:val="00D37FD1"/>
    <w:rsid w:val="00D40A55"/>
    <w:rsid w:val="00D40D79"/>
    <w:rsid w:val="00D40F69"/>
    <w:rsid w:val="00D41488"/>
    <w:rsid w:val="00D415B5"/>
    <w:rsid w:val="00D415B9"/>
    <w:rsid w:val="00D41741"/>
    <w:rsid w:val="00D41AC4"/>
    <w:rsid w:val="00D41B23"/>
    <w:rsid w:val="00D424AD"/>
    <w:rsid w:val="00D42F89"/>
    <w:rsid w:val="00D43F15"/>
    <w:rsid w:val="00D44766"/>
    <w:rsid w:val="00D451B4"/>
    <w:rsid w:val="00D455FE"/>
    <w:rsid w:val="00D47295"/>
    <w:rsid w:val="00D477C1"/>
    <w:rsid w:val="00D47DE3"/>
    <w:rsid w:val="00D51359"/>
    <w:rsid w:val="00D52DD1"/>
    <w:rsid w:val="00D538A2"/>
    <w:rsid w:val="00D53E5E"/>
    <w:rsid w:val="00D54A07"/>
    <w:rsid w:val="00D54C6F"/>
    <w:rsid w:val="00D54F0F"/>
    <w:rsid w:val="00D55194"/>
    <w:rsid w:val="00D57089"/>
    <w:rsid w:val="00D57E7F"/>
    <w:rsid w:val="00D57EF4"/>
    <w:rsid w:val="00D60A39"/>
    <w:rsid w:val="00D61C9B"/>
    <w:rsid w:val="00D61DE5"/>
    <w:rsid w:val="00D62973"/>
    <w:rsid w:val="00D64399"/>
    <w:rsid w:val="00D6482F"/>
    <w:rsid w:val="00D64D48"/>
    <w:rsid w:val="00D657A7"/>
    <w:rsid w:val="00D658DF"/>
    <w:rsid w:val="00D66003"/>
    <w:rsid w:val="00D663AA"/>
    <w:rsid w:val="00D66DF9"/>
    <w:rsid w:val="00D679DC"/>
    <w:rsid w:val="00D70038"/>
    <w:rsid w:val="00D7025E"/>
    <w:rsid w:val="00D7041F"/>
    <w:rsid w:val="00D71296"/>
    <w:rsid w:val="00D7156D"/>
    <w:rsid w:val="00D731B2"/>
    <w:rsid w:val="00D73A49"/>
    <w:rsid w:val="00D73B8B"/>
    <w:rsid w:val="00D743B0"/>
    <w:rsid w:val="00D744AD"/>
    <w:rsid w:val="00D745F3"/>
    <w:rsid w:val="00D74DE5"/>
    <w:rsid w:val="00D760CA"/>
    <w:rsid w:val="00D76C39"/>
    <w:rsid w:val="00D76CF4"/>
    <w:rsid w:val="00D779CC"/>
    <w:rsid w:val="00D8019F"/>
    <w:rsid w:val="00D80C32"/>
    <w:rsid w:val="00D815A9"/>
    <w:rsid w:val="00D81F16"/>
    <w:rsid w:val="00D82FB1"/>
    <w:rsid w:val="00D8449F"/>
    <w:rsid w:val="00D855AB"/>
    <w:rsid w:val="00D856F9"/>
    <w:rsid w:val="00D871A1"/>
    <w:rsid w:val="00D876DE"/>
    <w:rsid w:val="00D87890"/>
    <w:rsid w:val="00D87A33"/>
    <w:rsid w:val="00D87D75"/>
    <w:rsid w:val="00D87FBE"/>
    <w:rsid w:val="00D90E5D"/>
    <w:rsid w:val="00D911C7"/>
    <w:rsid w:val="00D91563"/>
    <w:rsid w:val="00D91A19"/>
    <w:rsid w:val="00D91BEB"/>
    <w:rsid w:val="00D91F97"/>
    <w:rsid w:val="00D93999"/>
    <w:rsid w:val="00D95E6F"/>
    <w:rsid w:val="00D96B0A"/>
    <w:rsid w:val="00D97C2E"/>
    <w:rsid w:val="00D97F0A"/>
    <w:rsid w:val="00DA03BE"/>
    <w:rsid w:val="00DA07D6"/>
    <w:rsid w:val="00DA1F3A"/>
    <w:rsid w:val="00DA242A"/>
    <w:rsid w:val="00DA28F3"/>
    <w:rsid w:val="00DA3074"/>
    <w:rsid w:val="00DA3338"/>
    <w:rsid w:val="00DA39B3"/>
    <w:rsid w:val="00DA47B9"/>
    <w:rsid w:val="00DA5395"/>
    <w:rsid w:val="00DA561C"/>
    <w:rsid w:val="00DA6675"/>
    <w:rsid w:val="00DA676A"/>
    <w:rsid w:val="00DA6E9D"/>
    <w:rsid w:val="00DA7086"/>
    <w:rsid w:val="00DA72C6"/>
    <w:rsid w:val="00DA7C81"/>
    <w:rsid w:val="00DB09AE"/>
    <w:rsid w:val="00DB1BDD"/>
    <w:rsid w:val="00DB27C0"/>
    <w:rsid w:val="00DB3047"/>
    <w:rsid w:val="00DB38C8"/>
    <w:rsid w:val="00DB471D"/>
    <w:rsid w:val="00DB564D"/>
    <w:rsid w:val="00DB5784"/>
    <w:rsid w:val="00DB5E2D"/>
    <w:rsid w:val="00DB5F59"/>
    <w:rsid w:val="00DB635C"/>
    <w:rsid w:val="00DB73A2"/>
    <w:rsid w:val="00DB7520"/>
    <w:rsid w:val="00DB7BA6"/>
    <w:rsid w:val="00DC03B0"/>
    <w:rsid w:val="00DC1C19"/>
    <w:rsid w:val="00DC21F4"/>
    <w:rsid w:val="00DC22ED"/>
    <w:rsid w:val="00DC2CE2"/>
    <w:rsid w:val="00DC3090"/>
    <w:rsid w:val="00DC3990"/>
    <w:rsid w:val="00DC3CCF"/>
    <w:rsid w:val="00DC47F2"/>
    <w:rsid w:val="00DC5254"/>
    <w:rsid w:val="00DC5794"/>
    <w:rsid w:val="00DC6AA9"/>
    <w:rsid w:val="00DD0BA7"/>
    <w:rsid w:val="00DD2105"/>
    <w:rsid w:val="00DD2DF1"/>
    <w:rsid w:val="00DD3641"/>
    <w:rsid w:val="00DD414F"/>
    <w:rsid w:val="00DD5A25"/>
    <w:rsid w:val="00DD5F14"/>
    <w:rsid w:val="00DE005C"/>
    <w:rsid w:val="00DE0239"/>
    <w:rsid w:val="00DE046E"/>
    <w:rsid w:val="00DE0828"/>
    <w:rsid w:val="00DE0A8C"/>
    <w:rsid w:val="00DE0F4A"/>
    <w:rsid w:val="00DE1422"/>
    <w:rsid w:val="00DE1545"/>
    <w:rsid w:val="00DE160F"/>
    <w:rsid w:val="00DE1750"/>
    <w:rsid w:val="00DE1ABA"/>
    <w:rsid w:val="00DE2A2D"/>
    <w:rsid w:val="00DE2B86"/>
    <w:rsid w:val="00DE30F7"/>
    <w:rsid w:val="00DE365B"/>
    <w:rsid w:val="00DE3A5E"/>
    <w:rsid w:val="00DE3DA2"/>
    <w:rsid w:val="00DE446A"/>
    <w:rsid w:val="00DE4A17"/>
    <w:rsid w:val="00DE5EC2"/>
    <w:rsid w:val="00DE63C1"/>
    <w:rsid w:val="00DE65FB"/>
    <w:rsid w:val="00DE681A"/>
    <w:rsid w:val="00DE77DA"/>
    <w:rsid w:val="00DF088A"/>
    <w:rsid w:val="00DF2EA1"/>
    <w:rsid w:val="00DF324C"/>
    <w:rsid w:val="00DF35AC"/>
    <w:rsid w:val="00DF4B3A"/>
    <w:rsid w:val="00DF4EC2"/>
    <w:rsid w:val="00DF58E0"/>
    <w:rsid w:val="00DF5B07"/>
    <w:rsid w:val="00DF6029"/>
    <w:rsid w:val="00DF65B8"/>
    <w:rsid w:val="00DF6E8D"/>
    <w:rsid w:val="00DF7D68"/>
    <w:rsid w:val="00E010E7"/>
    <w:rsid w:val="00E014EE"/>
    <w:rsid w:val="00E01F74"/>
    <w:rsid w:val="00E02FA4"/>
    <w:rsid w:val="00E031A2"/>
    <w:rsid w:val="00E0396B"/>
    <w:rsid w:val="00E04297"/>
    <w:rsid w:val="00E04B76"/>
    <w:rsid w:val="00E057A4"/>
    <w:rsid w:val="00E0589E"/>
    <w:rsid w:val="00E05927"/>
    <w:rsid w:val="00E05FB4"/>
    <w:rsid w:val="00E07BDA"/>
    <w:rsid w:val="00E07CE0"/>
    <w:rsid w:val="00E10481"/>
    <w:rsid w:val="00E10DFA"/>
    <w:rsid w:val="00E111C0"/>
    <w:rsid w:val="00E11DE6"/>
    <w:rsid w:val="00E121DB"/>
    <w:rsid w:val="00E128B4"/>
    <w:rsid w:val="00E13458"/>
    <w:rsid w:val="00E135D9"/>
    <w:rsid w:val="00E13DF0"/>
    <w:rsid w:val="00E143E0"/>
    <w:rsid w:val="00E14599"/>
    <w:rsid w:val="00E14814"/>
    <w:rsid w:val="00E14F94"/>
    <w:rsid w:val="00E15B47"/>
    <w:rsid w:val="00E15CA4"/>
    <w:rsid w:val="00E15EBD"/>
    <w:rsid w:val="00E169EC"/>
    <w:rsid w:val="00E16F53"/>
    <w:rsid w:val="00E16FD7"/>
    <w:rsid w:val="00E174A0"/>
    <w:rsid w:val="00E1779C"/>
    <w:rsid w:val="00E17BC1"/>
    <w:rsid w:val="00E213C3"/>
    <w:rsid w:val="00E221CA"/>
    <w:rsid w:val="00E22787"/>
    <w:rsid w:val="00E22E52"/>
    <w:rsid w:val="00E22E63"/>
    <w:rsid w:val="00E2384D"/>
    <w:rsid w:val="00E23BBF"/>
    <w:rsid w:val="00E24D15"/>
    <w:rsid w:val="00E256ED"/>
    <w:rsid w:val="00E25FA8"/>
    <w:rsid w:val="00E260F8"/>
    <w:rsid w:val="00E267F5"/>
    <w:rsid w:val="00E277B3"/>
    <w:rsid w:val="00E278B1"/>
    <w:rsid w:val="00E30137"/>
    <w:rsid w:val="00E30490"/>
    <w:rsid w:val="00E30F78"/>
    <w:rsid w:val="00E31739"/>
    <w:rsid w:val="00E31918"/>
    <w:rsid w:val="00E31E68"/>
    <w:rsid w:val="00E32AF6"/>
    <w:rsid w:val="00E32D6C"/>
    <w:rsid w:val="00E336ED"/>
    <w:rsid w:val="00E340EF"/>
    <w:rsid w:val="00E34189"/>
    <w:rsid w:val="00E3477F"/>
    <w:rsid w:val="00E34C80"/>
    <w:rsid w:val="00E353DE"/>
    <w:rsid w:val="00E35F03"/>
    <w:rsid w:val="00E36100"/>
    <w:rsid w:val="00E37841"/>
    <w:rsid w:val="00E378CF"/>
    <w:rsid w:val="00E403C4"/>
    <w:rsid w:val="00E40C2F"/>
    <w:rsid w:val="00E40F9B"/>
    <w:rsid w:val="00E41FF0"/>
    <w:rsid w:val="00E42007"/>
    <w:rsid w:val="00E424F9"/>
    <w:rsid w:val="00E440B7"/>
    <w:rsid w:val="00E44109"/>
    <w:rsid w:val="00E4451D"/>
    <w:rsid w:val="00E449A4"/>
    <w:rsid w:val="00E45158"/>
    <w:rsid w:val="00E451F0"/>
    <w:rsid w:val="00E45F45"/>
    <w:rsid w:val="00E467BC"/>
    <w:rsid w:val="00E47022"/>
    <w:rsid w:val="00E47131"/>
    <w:rsid w:val="00E4731F"/>
    <w:rsid w:val="00E4771D"/>
    <w:rsid w:val="00E47921"/>
    <w:rsid w:val="00E479B6"/>
    <w:rsid w:val="00E47FF0"/>
    <w:rsid w:val="00E502BD"/>
    <w:rsid w:val="00E50807"/>
    <w:rsid w:val="00E51412"/>
    <w:rsid w:val="00E52340"/>
    <w:rsid w:val="00E52FFE"/>
    <w:rsid w:val="00E5384C"/>
    <w:rsid w:val="00E53C50"/>
    <w:rsid w:val="00E55259"/>
    <w:rsid w:val="00E56541"/>
    <w:rsid w:val="00E56FD0"/>
    <w:rsid w:val="00E57B9D"/>
    <w:rsid w:val="00E57C39"/>
    <w:rsid w:val="00E57D5E"/>
    <w:rsid w:val="00E60D8E"/>
    <w:rsid w:val="00E61D1C"/>
    <w:rsid w:val="00E626E6"/>
    <w:rsid w:val="00E62C7C"/>
    <w:rsid w:val="00E63B63"/>
    <w:rsid w:val="00E63CFE"/>
    <w:rsid w:val="00E64DA8"/>
    <w:rsid w:val="00E64F18"/>
    <w:rsid w:val="00E650FE"/>
    <w:rsid w:val="00E65F16"/>
    <w:rsid w:val="00E6684F"/>
    <w:rsid w:val="00E669B0"/>
    <w:rsid w:val="00E67B69"/>
    <w:rsid w:val="00E71327"/>
    <w:rsid w:val="00E71DD6"/>
    <w:rsid w:val="00E72676"/>
    <w:rsid w:val="00E73498"/>
    <w:rsid w:val="00E74B0B"/>
    <w:rsid w:val="00E74B98"/>
    <w:rsid w:val="00E75C0D"/>
    <w:rsid w:val="00E75C81"/>
    <w:rsid w:val="00E76880"/>
    <w:rsid w:val="00E768D8"/>
    <w:rsid w:val="00E77639"/>
    <w:rsid w:val="00E778BD"/>
    <w:rsid w:val="00E778CC"/>
    <w:rsid w:val="00E77920"/>
    <w:rsid w:val="00E77E35"/>
    <w:rsid w:val="00E80687"/>
    <w:rsid w:val="00E80A00"/>
    <w:rsid w:val="00E80D8D"/>
    <w:rsid w:val="00E811D9"/>
    <w:rsid w:val="00E81C26"/>
    <w:rsid w:val="00E823B9"/>
    <w:rsid w:val="00E83034"/>
    <w:rsid w:val="00E834C2"/>
    <w:rsid w:val="00E8397D"/>
    <w:rsid w:val="00E84695"/>
    <w:rsid w:val="00E84A54"/>
    <w:rsid w:val="00E86B0B"/>
    <w:rsid w:val="00E86F4A"/>
    <w:rsid w:val="00E87BF0"/>
    <w:rsid w:val="00E87D0D"/>
    <w:rsid w:val="00E87DFA"/>
    <w:rsid w:val="00E90B57"/>
    <w:rsid w:val="00E91E82"/>
    <w:rsid w:val="00E923F6"/>
    <w:rsid w:val="00E92940"/>
    <w:rsid w:val="00E929E1"/>
    <w:rsid w:val="00E92A29"/>
    <w:rsid w:val="00E92BF2"/>
    <w:rsid w:val="00E92C0D"/>
    <w:rsid w:val="00E932C5"/>
    <w:rsid w:val="00E93513"/>
    <w:rsid w:val="00E93970"/>
    <w:rsid w:val="00E93A16"/>
    <w:rsid w:val="00E93E5A"/>
    <w:rsid w:val="00E9447E"/>
    <w:rsid w:val="00E94F0D"/>
    <w:rsid w:val="00E9582F"/>
    <w:rsid w:val="00E96321"/>
    <w:rsid w:val="00E963D8"/>
    <w:rsid w:val="00E97749"/>
    <w:rsid w:val="00E978EC"/>
    <w:rsid w:val="00E978F3"/>
    <w:rsid w:val="00E97E14"/>
    <w:rsid w:val="00EA00D2"/>
    <w:rsid w:val="00EA0C48"/>
    <w:rsid w:val="00EA0E0A"/>
    <w:rsid w:val="00EA26ED"/>
    <w:rsid w:val="00EA3DEC"/>
    <w:rsid w:val="00EA43A7"/>
    <w:rsid w:val="00EA52DC"/>
    <w:rsid w:val="00EA62CE"/>
    <w:rsid w:val="00EA7718"/>
    <w:rsid w:val="00EB089B"/>
    <w:rsid w:val="00EB1264"/>
    <w:rsid w:val="00EB1271"/>
    <w:rsid w:val="00EB4A44"/>
    <w:rsid w:val="00EB5373"/>
    <w:rsid w:val="00EB5D18"/>
    <w:rsid w:val="00EB6A9E"/>
    <w:rsid w:val="00EB7465"/>
    <w:rsid w:val="00EB7DEB"/>
    <w:rsid w:val="00EC00EB"/>
    <w:rsid w:val="00EC0DDB"/>
    <w:rsid w:val="00EC114F"/>
    <w:rsid w:val="00EC1573"/>
    <w:rsid w:val="00EC1ACC"/>
    <w:rsid w:val="00EC212D"/>
    <w:rsid w:val="00EC21FA"/>
    <w:rsid w:val="00EC24B2"/>
    <w:rsid w:val="00EC295E"/>
    <w:rsid w:val="00EC45E9"/>
    <w:rsid w:val="00EC4E5C"/>
    <w:rsid w:val="00EC5C66"/>
    <w:rsid w:val="00EC6616"/>
    <w:rsid w:val="00EC6D7B"/>
    <w:rsid w:val="00EC6DB7"/>
    <w:rsid w:val="00EC6E54"/>
    <w:rsid w:val="00EC7124"/>
    <w:rsid w:val="00EC76A4"/>
    <w:rsid w:val="00EC7972"/>
    <w:rsid w:val="00ED03DA"/>
    <w:rsid w:val="00ED0A49"/>
    <w:rsid w:val="00ED152A"/>
    <w:rsid w:val="00ED16F7"/>
    <w:rsid w:val="00ED33C4"/>
    <w:rsid w:val="00ED3521"/>
    <w:rsid w:val="00ED4183"/>
    <w:rsid w:val="00ED4DCF"/>
    <w:rsid w:val="00ED5109"/>
    <w:rsid w:val="00ED5A80"/>
    <w:rsid w:val="00ED6137"/>
    <w:rsid w:val="00ED7381"/>
    <w:rsid w:val="00ED76A2"/>
    <w:rsid w:val="00ED7B28"/>
    <w:rsid w:val="00EE012B"/>
    <w:rsid w:val="00EE03CB"/>
    <w:rsid w:val="00EE0884"/>
    <w:rsid w:val="00EE0A33"/>
    <w:rsid w:val="00EE0B3C"/>
    <w:rsid w:val="00EE115B"/>
    <w:rsid w:val="00EE1202"/>
    <w:rsid w:val="00EE1AB4"/>
    <w:rsid w:val="00EE1CED"/>
    <w:rsid w:val="00EE3700"/>
    <w:rsid w:val="00EE3E03"/>
    <w:rsid w:val="00EE3E5B"/>
    <w:rsid w:val="00EE4773"/>
    <w:rsid w:val="00EE5847"/>
    <w:rsid w:val="00EE5E0E"/>
    <w:rsid w:val="00EE674A"/>
    <w:rsid w:val="00EE7876"/>
    <w:rsid w:val="00EF06CD"/>
    <w:rsid w:val="00EF0A57"/>
    <w:rsid w:val="00EF0DE4"/>
    <w:rsid w:val="00EF16EE"/>
    <w:rsid w:val="00EF1702"/>
    <w:rsid w:val="00EF1816"/>
    <w:rsid w:val="00EF25D3"/>
    <w:rsid w:val="00EF26A4"/>
    <w:rsid w:val="00EF37AA"/>
    <w:rsid w:val="00EF3D7C"/>
    <w:rsid w:val="00EF54FD"/>
    <w:rsid w:val="00EF562D"/>
    <w:rsid w:val="00EF5C84"/>
    <w:rsid w:val="00EF5CF8"/>
    <w:rsid w:val="00EF7273"/>
    <w:rsid w:val="00EF75EC"/>
    <w:rsid w:val="00EF768F"/>
    <w:rsid w:val="00EF7903"/>
    <w:rsid w:val="00F0009A"/>
    <w:rsid w:val="00F00958"/>
    <w:rsid w:val="00F00A60"/>
    <w:rsid w:val="00F01266"/>
    <w:rsid w:val="00F0156A"/>
    <w:rsid w:val="00F0198F"/>
    <w:rsid w:val="00F02F09"/>
    <w:rsid w:val="00F03736"/>
    <w:rsid w:val="00F04BF8"/>
    <w:rsid w:val="00F058E8"/>
    <w:rsid w:val="00F05FE0"/>
    <w:rsid w:val="00F064CE"/>
    <w:rsid w:val="00F064EF"/>
    <w:rsid w:val="00F070C2"/>
    <w:rsid w:val="00F07695"/>
    <w:rsid w:val="00F07FE3"/>
    <w:rsid w:val="00F106A0"/>
    <w:rsid w:val="00F10C06"/>
    <w:rsid w:val="00F10D2E"/>
    <w:rsid w:val="00F10EBA"/>
    <w:rsid w:val="00F115AB"/>
    <w:rsid w:val="00F11FC8"/>
    <w:rsid w:val="00F128E6"/>
    <w:rsid w:val="00F12FE6"/>
    <w:rsid w:val="00F13378"/>
    <w:rsid w:val="00F14A78"/>
    <w:rsid w:val="00F150F7"/>
    <w:rsid w:val="00F16055"/>
    <w:rsid w:val="00F1623C"/>
    <w:rsid w:val="00F1724C"/>
    <w:rsid w:val="00F17806"/>
    <w:rsid w:val="00F17A65"/>
    <w:rsid w:val="00F17DF9"/>
    <w:rsid w:val="00F20356"/>
    <w:rsid w:val="00F20563"/>
    <w:rsid w:val="00F20D66"/>
    <w:rsid w:val="00F20F89"/>
    <w:rsid w:val="00F2153F"/>
    <w:rsid w:val="00F21D45"/>
    <w:rsid w:val="00F21D77"/>
    <w:rsid w:val="00F22121"/>
    <w:rsid w:val="00F24A1D"/>
    <w:rsid w:val="00F257E0"/>
    <w:rsid w:val="00F267E2"/>
    <w:rsid w:val="00F26BE9"/>
    <w:rsid w:val="00F27DDB"/>
    <w:rsid w:val="00F31A21"/>
    <w:rsid w:val="00F31E55"/>
    <w:rsid w:val="00F33534"/>
    <w:rsid w:val="00F33DD9"/>
    <w:rsid w:val="00F33FFB"/>
    <w:rsid w:val="00F340B0"/>
    <w:rsid w:val="00F340D2"/>
    <w:rsid w:val="00F347CD"/>
    <w:rsid w:val="00F34E78"/>
    <w:rsid w:val="00F34EC2"/>
    <w:rsid w:val="00F368E3"/>
    <w:rsid w:val="00F374E7"/>
    <w:rsid w:val="00F37507"/>
    <w:rsid w:val="00F376A9"/>
    <w:rsid w:val="00F37A09"/>
    <w:rsid w:val="00F37F62"/>
    <w:rsid w:val="00F40018"/>
    <w:rsid w:val="00F4007A"/>
    <w:rsid w:val="00F405D8"/>
    <w:rsid w:val="00F419FC"/>
    <w:rsid w:val="00F41D07"/>
    <w:rsid w:val="00F433B7"/>
    <w:rsid w:val="00F443F1"/>
    <w:rsid w:val="00F44783"/>
    <w:rsid w:val="00F44864"/>
    <w:rsid w:val="00F448C9"/>
    <w:rsid w:val="00F452DA"/>
    <w:rsid w:val="00F45947"/>
    <w:rsid w:val="00F45A4E"/>
    <w:rsid w:val="00F46387"/>
    <w:rsid w:val="00F46826"/>
    <w:rsid w:val="00F46B05"/>
    <w:rsid w:val="00F46BD4"/>
    <w:rsid w:val="00F470F7"/>
    <w:rsid w:val="00F47439"/>
    <w:rsid w:val="00F47497"/>
    <w:rsid w:val="00F47532"/>
    <w:rsid w:val="00F4754F"/>
    <w:rsid w:val="00F502B4"/>
    <w:rsid w:val="00F50A2F"/>
    <w:rsid w:val="00F50EAF"/>
    <w:rsid w:val="00F5173E"/>
    <w:rsid w:val="00F51FDA"/>
    <w:rsid w:val="00F527DD"/>
    <w:rsid w:val="00F53755"/>
    <w:rsid w:val="00F54375"/>
    <w:rsid w:val="00F54A66"/>
    <w:rsid w:val="00F5503E"/>
    <w:rsid w:val="00F56C9F"/>
    <w:rsid w:val="00F6031B"/>
    <w:rsid w:val="00F60A54"/>
    <w:rsid w:val="00F611DA"/>
    <w:rsid w:val="00F625D5"/>
    <w:rsid w:val="00F627F5"/>
    <w:rsid w:val="00F62D85"/>
    <w:rsid w:val="00F63714"/>
    <w:rsid w:val="00F65000"/>
    <w:rsid w:val="00F65030"/>
    <w:rsid w:val="00F6530F"/>
    <w:rsid w:val="00F6554D"/>
    <w:rsid w:val="00F6686D"/>
    <w:rsid w:val="00F669FC"/>
    <w:rsid w:val="00F66A74"/>
    <w:rsid w:val="00F701C6"/>
    <w:rsid w:val="00F704AA"/>
    <w:rsid w:val="00F706BC"/>
    <w:rsid w:val="00F714B3"/>
    <w:rsid w:val="00F716AC"/>
    <w:rsid w:val="00F71732"/>
    <w:rsid w:val="00F717DA"/>
    <w:rsid w:val="00F71D50"/>
    <w:rsid w:val="00F722C8"/>
    <w:rsid w:val="00F72A62"/>
    <w:rsid w:val="00F72C53"/>
    <w:rsid w:val="00F73818"/>
    <w:rsid w:val="00F73981"/>
    <w:rsid w:val="00F7426F"/>
    <w:rsid w:val="00F744D4"/>
    <w:rsid w:val="00F761D1"/>
    <w:rsid w:val="00F767E2"/>
    <w:rsid w:val="00F76A80"/>
    <w:rsid w:val="00F80CE3"/>
    <w:rsid w:val="00F80E36"/>
    <w:rsid w:val="00F81D75"/>
    <w:rsid w:val="00F81EB5"/>
    <w:rsid w:val="00F820CD"/>
    <w:rsid w:val="00F82918"/>
    <w:rsid w:val="00F82F69"/>
    <w:rsid w:val="00F8373D"/>
    <w:rsid w:val="00F83B05"/>
    <w:rsid w:val="00F83C05"/>
    <w:rsid w:val="00F83F3B"/>
    <w:rsid w:val="00F8582E"/>
    <w:rsid w:val="00F85B71"/>
    <w:rsid w:val="00F85E40"/>
    <w:rsid w:val="00F85EB9"/>
    <w:rsid w:val="00F86145"/>
    <w:rsid w:val="00F8735D"/>
    <w:rsid w:val="00F9219D"/>
    <w:rsid w:val="00F9356A"/>
    <w:rsid w:val="00F93E58"/>
    <w:rsid w:val="00F941DC"/>
    <w:rsid w:val="00F9460D"/>
    <w:rsid w:val="00F948D1"/>
    <w:rsid w:val="00F94974"/>
    <w:rsid w:val="00F94B4F"/>
    <w:rsid w:val="00F96321"/>
    <w:rsid w:val="00F9649D"/>
    <w:rsid w:val="00F967B6"/>
    <w:rsid w:val="00F96A5D"/>
    <w:rsid w:val="00F973AB"/>
    <w:rsid w:val="00F97554"/>
    <w:rsid w:val="00F976BC"/>
    <w:rsid w:val="00FA083E"/>
    <w:rsid w:val="00FA0E10"/>
    <w:rsid w:val="00FA1009"/>
    <w:rsid w:val="00FA1341"/>
    <w:rsid w:val="00FA27C0"/>
    <w:rsid w:val="00FA30C2"/>
    <w:rsid w:val="00FA4637"/>
    <w:rsid w:val="00FA4D75"/>
    <w:rsid w:val="00FA4E89"/>
    <w:rsid w:val="00FA5F45"/>
    <w:rsid w:val="00FA698D"/>
    <w:rsid w:val="00FA6A59"/>
    <w:rsid w:val="00FA6DAC"/>
    <w:rsid w:val="00FA6E0D"/>
    <w:rsid w:val="00FA75BA"/>
    <w:rsid w:val="00FA75FF"/>
    <w:rsid w:val="00FA7A73"/>
    <w:rsid w:val="00FA7B9C"/>
    <w:rsid w:val="00FB2715"/>
    <w:rsid w:val="00FB28CC"/>
    <w:rsid w:val="00FB2D5B"/>
    <w:rsid w:val="00FB363B"/>
    <w:rsid w:val="00FB3CCD"/>
    <w:rsid w:val="00FB43C5"/>
    <w:rsid w:val="00FB466E"/>
    <w:rsid w:val="00FB46B7"/>
    <w:rsid w:val="00FB4ACD"/>
    <w:rsid w:val="00FB4BC0"/>
    <w:rsid w:val="00FB4C14"/>
    <w:rsid w:val="00FB5940"/>
    <w:rsid w:val="00FB5C97"/>
    <w:rsid w:val="00FB5C99"/>
    <w:rsid w:val="00FB5DF1"/>
    <w:rsid w:val="00FB5E34"/>
    <w:rsid w:val="00FB6DC5"/>
    <w:rsid w:val="00FB6EEE"/>
    <w:rsid w:val="00FB74BB"/>
    <w:rsid w:val="00FC0789"/>
    <w:rsid w:val="00FC13AF"/>
    <w:rsid w:val="00FC1652"/>
    <w:rsid w:val="00FC1791"/>
    <w:rsid w:val="00FC1817"/>
    <w:rsid w:val="00FC1E19"/>
    <w:rsid w:val="00FC230E"/>
    <w:rsid w:val="00FC2EA5"/>
    <w:rsid w:val="00FC3158"/>
    <w:rsid w:val="00FC35B9"/>
    <w:rsid w:val="00FC3B97"/>
    <w:rsid w:val="00FC466C"/>
    <w:rsid w:val="00FC4D5D"/>
    <w:rsid w:val="00FC6B04"/>
    <w:rsid w:val="00FC6EE1"/>
    <w:rsid w:val="00FC7285"/>
    <w:rsid w:val="00FC7EC3"/>
    <w:rsid w:val="00FC7ED5"/>
    <w:rsid w:val="00FD069F"/>
    <w:rsid w:val="00FD23FD"/>
    <w:rsid w:val="00FD29B1"/>
    <w:rsid w:val="00FD2BCD"/>
    <w:rsid w:val="00FD3130"/>
    <w:rsid w:val="00FD3A17"/>
    <w:rsid w:val="00FD4850"/>
    <w:rsid w:val="00FD4DE3"/>
    <w:rsid w:val="00FD4FAC"/>
    <w:rsid w:val="00FD554D"/>
    <w:rsid w:val="00FD55C0"/>
    <w:rsid w:val="00FD5EE7"/>
    <w:rsid w:val="00FD61C3"/>
    <w:rsid w:val="00FD68CF"/>
    <w:rsid w:val="00FD721F"/>
    <w:rsid w:val="00FD7A55"/>
    <w:rsid w:val="00FD7C64"/>
    <w:rsid w:val="00FE018D"/>
    <w:rsid w:val="00FE072F"/>
    <w:rsid w:val="00FE0D37"/>
    <w:rsid w:val="00FE10BB"/>
    <w:rsid w:val="00FE1BDD"/>
    <w:rsid w:val="00FE1D76"/>
    <w:rsid w:val="00FE225B"/>
    <w:rsid w:val="00FE22FA"/>
    <w:rsid w:val="00FE2409"/>
    <w:rsid w:val="00FE28B6"/>
    <w:rsid w:val="00FE573A"/>
    <w:rsid w:val="00FE5837"/>
    <w:rsid w:val="00FE6479"/>
    <w:rsid w:val="00FE6BED"/>
    <w:rsid w:val="00FE7717"/>
    <w:rsid w:val="00FE7B7B"/>
    <w:rsid w:val="00FF0B11"/>
    <w:rsid w:val="00FF0B69"/>
    <w:rsid w:val="00FF11F3"/>
    <w:rsid w:val="00FF161C"/>
    <w:rsid w:val="00FF1A37"/>
    <w:rsid w:val="00FF1AB2"/>
    <w:rsid w:val="00FF2568"/>
    <w:rsid w:val="00FF2859"/>
    <w:rsid w:val="00FF2976"/>
    <w:rsid w:val="00FF2EBE"/>
    <w:rsid w:val="00FF34EE"/>
    <w:rsid w:val="00FF3769"/>
    <w:rsid w:val="00FF383D"/>
    <w:rsid w:val="00FF4C4D"/>
    <w:rsid w:val="00FF4E41"/>
    <w:rsid w:val="00FF52EB"/>
    <w:rsid w:val="00FF55A0"/>
    <w:rsid w:val="00FF62D2"/>
    <w:rsid w:val="00FF7682"/>
    <w:rsid w:val="00FF7AE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15AC07"/>
  <w15:docId w15:val="{BB84A1B4-9F60-4526-93DC-2BB1723E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7465"/>
    <w:pPr>
      <w:jc w:val="both"/>
    </w:pPr>
    <w:rPr>
      <w:lang w:val="en-GB"/>
    </w:rPr>
  </w:style>
  <w:style w:type="paragraph" w:styleId="Heading1">
    <w:name w:val="heading 1"/>
    <w:basedOn w:val="Normal"/>
    <w:next w:val="Normal"/>
    <w:link w:val="Heading1Char"/>
    <w:uiPriority w:val="99"/>
    <w:qFormat/>
    <w:rsid w:val="007F288C"/>
    <w:pPr>
      <w:keepNext/>
      <w:keepLines/>
      <w:pageBreakBefore/>
      <w:numPr>
        <w:numId w:val="4"/>
      </w:numPr>
      <w:spacing w:before="480" w:after="120"/>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B220D2"/>
    <w:pPr>
      <w:keepNext/>
      <w:keepLines/>
      <w:numPr>
        <w:ilvl w:val="1"/>
        <w:numId w:val="4"/>
      </w:numPr>
      <w:spacing w:before="240" w:after="120"/>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numPr>
        <w:ilvl w:val="2"/>
        <w:numId w:val="4"/>
      </w:numPr>
      <w:spacing w:before="120" w:after="1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B220D2"/>
    <w:pPr>
      <w:keepNext/>
      <w:keepLines/>
      <w:numPr>
        <w:ilvl w:val="3"/>
        <w:numId w:val="4"/>
      </w:numPr>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numPr>
        <w:ilvl w:val="4"/>
        <w:numId w:val="4"/>
      </w:numPr>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numPr>
        <w:ilvl w:val="5"/>
        <w:numId w:val="4"/>
      </w:numPr>
      <w:spacing w:before="200" w:after="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numPr>
        <w:ilvl w:val="7"/>
        <w:numId w:val="4"/>
      </w:numPr>
      <w:spacing w:before="200" w:after="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288C"/>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B220D2"/>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unhideWhenUsed/>
    <w:qFormat/>
    <w:rsid w:val="006C7081"/>
    <w:pPr>
      <w:numPr>
        <w:numId w:val="0"/>
      </w:numPr>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D81F16"/>
    <w:pPr>
      <w:tabs>
        <w:tab w:val="left" w:pos="44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9D5107"/>
    <w:pPr>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basedOn w:val="DefaultParagraphFont"/>
    <w:link w:val="Listenabsatz1"/>
    <w:uiPriority w:val="34"/>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2762AB"/>
    <w:pPr>
      <w:numPr>
        <w:numId w:val="2"/>
      </w:numPr>
      <w:spacing w:after="120" w:line="360" w:lineRule="auto"/>
    </w:pPr>
    <w:rPr>
      <w:rFonts w:ascii="Times New Roman" w:eastAsia="Times New Roman" w:hAnsi="Times New Roman" w:cs="Times New Roman"/>
      <w:sz w:val="24"/>
      <w:szCs w:val="24"/>
      <w:lang w:eastAsia="de-DE"/>
    </w:rPr>
  </w:style>
  <w:style w:type="character" w:styleId="CommentReference">
    <w:name w:val="annotation reference"/>
    <w:aliases w:val="Stinking Styles6"/>
    <w:basedOn w:val="DefaultParagraphFont"/>
    <w:uiPriority w:val="99"/>
    <w:rsid w:val="00CA4078"/>
    <w:rPr>
      <w:rFonts w:cs="Times New Roman"/>
      <w:sz w:val="16"/>
    </w:rPr>
  </w:style>
  <w:style w:type="paragraph" w:styleId="CommentText">
    <w:name w:val="annotation text"/>
    <w:aliases w:val="Stinking Styles5"/>
    <w:basedOn w:val="Normal"/>
    <w:link w:val="CommentTextChar1"/>
    <w:uiPriority w:val="99"/>
    <w:rsid w:val="00CA4078"/>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uiPriority w:val="99"/>
    <w:rsid w:val="00CA4078"/>
    <w:rPr>
      <w:rFonts w:ascii="Arial" w:eastAsia="Times New Roman" w:hAnsi="Arial" w:cs="Times New Roman"/>
      <w:sz w:val="20"/>
      <w:szCs w:val="20"/>
      <w:lang w:val="en-GB" w:eastAsia="de-DE"/>
    </w:rPr>
  </w:style>
  <w:style w:type="character" w:customStyle="1" w:styleId="ListParagraphChar1">
    <w:name w:val="List Paragraph Char1"/>
    <w:basedOn w:val="DefaultParagraphFont"/>
    <w:link w:val="ListParagraph"/>
    <w:uiPriority w:val="34"/>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semiHidden/>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5"/>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6"/>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7"/>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7"/>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7"/>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7"/>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7"/>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7"/>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7"/>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7"/>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7"/>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nr">
    <w:name w:val="Art nr"/>
    <w:basedOn w:val="Normal"/>
    <w:next w:val="Paragrapgh-numbered"/>
    <w:link w:val="ArtnrChar"/>
    <w:qFormat/>
    <w:rsid w:val="0029133B"/>
    <w:pPr>
      <w:keepNext/>
      <w:keepLines/>
      <w:numPr>
        <w:numId w:val="8"/>
      </w:numPr>
      <w:spacing w:before="240" w:after="240" w:line="288" w:lineRule="auto"/>
      <w:ind w:left="4820"/>
      <w:jc w:val="left"/>
      <w:outlineLvl w:val="2"/>
    </w:pPr>
    <w:rPr>
      <w:rFonts w:ascii="Times New Roman" w:eastAsia="Times New Roman" w:hAnsi="Times New Roman" w:cs="Times New Roman"/>
      <w:b/>
      <w:color w:val="1F497D" w:themeColor="text2"/>
      <w:sz w:val="24"/>
      <w:szCs w:val="24"/>
      <w:lang w:eastAsia="de-DE"/>
    </w:rPr>
  </w:style>
  <w:style w:type="character" w:customStyle="1" w:styleId="ArtnrChar">
    <w:name w:val="Art nr Char"/>
    <w:basedOn w:val="DefaultParagraphFont"/>
    <w:link w:val="Artnr"/>
    <w:rsid w:val="0029133B"/>
    <w:rPr>
      <w:rFonts w:ascii="Times New Roman" w:eastAsia="Times New Roman" w:hAnsi="Times New Roman" w:cs="Times New Roman"/>
      <w:b/>
      <w:color w:val="1F497D" w:themeColor="text2"/>
      <w:sz w:val="24"/>
      <w:szCs w:val="24"/>
      <w:lang w:val="en-GB" w:eastAsia="de-DE"/>
    </w:rPr>
  </w:style>
  <w:style w:type="paragraph" w:customStyle="1" w:styleId="Titlename">
    <w:name w:val="Title name"/>
    <w:basedOn w:val="Artnr"/>
    <w:link w:val="TitlenameChar"/>
    <w:qFormat/>
    <w:rsid w:val="009F40BA"/>
    <w:pPr>
      <w:numPr>
        <w:numId w:val="9"/>
      </w:numPr>
      <w:ind w:left="567" w:firstLine="0"/>
      <w:jc w:val="center"/>
      <w:outlineLvl w:val="0"/>
    </w:pPr>
  </w:style>
  <w:style w:type="character" w:customStyle="1" w:styleId="TitlenameChar">
    <w:name w:val="Title name Char"/>
    <w:basedOn w:val="ArtnrChar"/>
    <w:link w:val="Titlename"/>
    <w:rsid w:val="009F40BA"/>
    <w:rPr>
      <w:rFonts w:ascii="Times New Roman" w:eastAsia="Times New Roman" w:hAnsi="Times New Roman" w:cs="Times New Roman"/>
      <w:b/>
      <w:color w:val="1F497D" w:themeColor="text2"/>
      <w:sz w:val="24"/>
      <w:szCs w:val="24"/>
      <w:lang w:val="en-GB" w:eastAsia="de-DE"/>
    </w:rPr>
  </w:style>
  <w:style w:type="paragraph" w:customStyle="1" w:styleId="Paragrapgh-numbered">
    <w:name w:val="Paragrapgh - numbered"/>
    <w:basedOn w:val="Normal"/>
    <w:link w:val="Paragrapgh-numberedChar"/>
    <w:qFormat/>
    <w:rsid w:val="009F40BA"/>
    <w:pPr>
      <w:spacing w:after="120" w:line="288" w:lineRule="auto"/>
    </w:pPr>
    <w:rPr>
      <w:rFonts w:eastAsia="Times New Roman" w:cstheme="minorHAnsi"/>
      <w:lang w:val="en-US" w:eastAsia="de-DE"/>
    </w:rPr>
  </w:style>
  <w:style w:type="character" w:customStyle="1" w:styleId="Paragrapgh-numberedChar">
    <w:name w:val="Paragrapgh - numbered Char"/>
    <w:basedOn w:val="DefaultParagraphFont"/>
    <w:link w:val="Paragrapgh-numbered"/>
    <w:rsid w:val="009F40BA"/>
    <w:rPr>
      <w:rFonts w:eastAsia="Times New Roman" w:cstheme="minorHAnsi"/>
      <w:lang w:val="en-US" w:eastAsia="de-DE"/>
    </w:rPr>
  </w:style>
  <w:style w:type="paragraph" w:customStyle="1" w:styleId="textregular">
    <w:name w:val="text regular"/>
    <w:basedOn w:val="Normal"/>
    <w:link w:val="textregularZchn"/>
    <w:qFormat/>
    <w:rsid w:val="009B4A26"/>
    <w:pPr>
      <w:spacing w:after="120" w:line="288" w:lineRule="auto"/>
    </w:pPr>
    <w:rPr>
      <w:rFonts w:ascii="Times New Roman" w:eastAsia="Times New Roman" w:hAnsi="Times New Roman" w:cs="Times New Roman"/>
      <w:szCs w:val="24"/>
      <w:lang w:val="de-DE" w:eastAsia="de-DE"/>
    </w:rPr>
  </w:style>
  <w:style w:type="character" w:customStyle="1" w:styleId="textregularZchn">
    <w:name w:val="text regular Zchn"/>
    <w:basedOn w:val="DefaultParagraphFont"/>
    <w:link w:val="textregular"/>
    <w:rsid w:val="009B4A26"/>
    <w:rPr>
      <w:rFonts w:ascii="Times New Roman" w:eastAsia="Times New Roman" w:hAnsi="Times New Roman" w:cs="Times New Roman"/>
      <w:szCs w:val="24"/>
      <w:lang w:eastAsia="de-DE"/>
    </w:rPr>
  </w:style>
  <w:style w:type="paragraph" w:customStyle="1" w:styleId="Chaptername">
    <w:name w:val="Chapter name"/>
    <w:basedOn w:val="Titlename"/>
    <w:next w:val="Artnr"/>
    <w:link w:val="ChapternameChar"/>
    <w:qFormat/>
    <w:rsid w:val="009B4A26"/>
    <w:pPr>
      <w:numPr>
        <w:numId w:val="11"/>
      </w:numPr>
      <w:ind w:left="170" w:hanging="170"/>
      <w:outlineLvl w:val="1"/>
    </w:pPr>
  </w:style>
  <w:style w:type="character" w:customStyle="1" w:styleId="ChapternameChar">
    <w:name w:val="Chapter name Char"/>
    <w:basedOn w:val="TitlenameChar"/>
    <w:link w:val="Chaptername"/>
    <w:rsid w:val="009B4A26"/>
    <w:rPr>
      <w:rFonts w:ascii="Times New Roman" w:eastAsia="Times New Roman" w:hAnsi="Times New Roman" w:cs="Times New Roman"/>
      <w:b/>
      <w:color w:val="1F497D" w:themeColor="text2"/>
      <w:sz w:val="24"/>
      <w:szCs w:val="24"/>
      <w:lang w:val="en-GB" w:eastAsia="de-DE"/>
    </w:rPr>
  </w:style>
  <w:style w:type="paragraph" w:customStyle="1" w:styleId="Heading1aa">
    <w:name w:val="Heading 1aa"/>
    <w:basedOn w:val="Heading1"/>
    <w:link w:val="Heading1aaChar"/>
    <w:qFormat/>
    <w:rsid w:val="007F288C"/>
    <w:pPr>
      <w:numPr>
        <w:numId w:val="12"/>
      </w:numPr>
    </w:pPr>
  </w:style>
  <w:style w:type="paragraph" w:customStyle="1" w:styleId="Style1">
    <w:name w:val="Style1"/>
    <w:basedOn w:val="Heading2"/>
    <w:link w:val="Style1Char"/>
    <w:qFormat/>
    <w:rsid w:val="002A3A02"/>
  </w:style>
  <w:style w:type="character" w:customStyle="1" w:styleId="Heading1aaChar">
    <w:name w:val="Heading 1aa Char"/>
    <w:basedOn w:val="Heading1Char"/>
    <w:link w:val="Heading1aa"/>
    <w:rsid w:val="007F288C"/>
    <w:rPr>
      <w:rFonts w:asciiTheme="majorHAnsi" w:eastAsiaTheme="majorEastAsia" w:hAnsiTheme="majorHAnsi" w:cstheme="majorBidi"/>
      <w:b/>
      <w:bCs/>
      <w:smallCaps/>
      <w:color w:val="000000" w:themeColor="text1"/>
      <w:sz w:val="32"/>
      <w:szCs w:val="28"/>
      <w:lang w:val="en-GB"/>
    </w:rPr>
  </w:style>
  <w:style w:type="paragraph" w:customStyle="1" w:styleId="Heading2aa">
    <w:name w:val="Heading 2aa"/>
    <w:basedOn w:val="Style1"/>
    <w:link w:val="Heading2aaChar"/>
    <w:qFormat/>
    <w:rsid w:val="0069514C"/>
    <w:pPr>
      <w:numPr>
        <w:ilvl w:val="0"/>
        <w:numId w:val="13"/>
      </w:numPr>
    </w:pPr>
  </w:style>
  <w:style w:type="character" w:customStyle="1" w:styleId="Style1Char">
    <w:name w:val="Style1 Char"/>
    <w:basedOn w:val="Heading2Char"/>
    <w:link w:val="Style1"/>
    <w:rsid w:val="002A3A02"/>
    <w:rPr>
      <w:rFonts w:asciiTheme="majorHAnsi" w:eastAsiaTheme="majorEastAsia" w:hAnsiTheme="majorHAnsi" w:cstheme="majorBidi"/>
      <w:b/>
      <w:bCs/>
      <w:smallCaps/>
      <w:color w:val="000000" w:themeColor="text1"/>
      <w:sz w:val="28"/>
      <w:szCs w:val="26"/>
      <w:lang w:val="en-GB"/>
    </w:rPr>
  </w:style>
  <w:style w:type="character" w:customStyle="1" w:styleId="Heading2aaChar">
    <w:name w:val="Heading 2aa Char"/>
    <w:basedOn w:val="Style1Char"/>
    <w:link w:val="Heading2aa"/>
    <w:rsid w:val="0069514C"/>
    <w:rPr>
      <w:rFonts w:asciiTheme="majorHAnsi" w:eastAsiaTheme="majorEastAsia" w:hAnsiTheme="majorHAnsi" w:cstheme="majorBidi"/>
      <w:b/>
      <w:bCs/>
      <w:smallCaps/>
      <w:color w:val="000000" w:themeColor="text1"/>
      <w:sz w:val="28"/>
      <w:szCs w:val="26"/>
      <w:lang w:val="en-GB"/>
    </w:rPr>
  </w:style>
  <w:style w:type="paragraph" w:customStyle="1" w:styleId="MMTopic5">
    <w:name w:val="MM Topic 5"/>
    <w:basedOn w:val="Heading5"/>
    <w:link w:val="MMTopic5Char"/>
    <w:rsid w:val="00213845"/>
    <w:pPr>
      <w:numPr>
        <w:ilvl w:val="0"/>
        <w:numId w:val="0"/>
      </w:numPr>
      <w:jc w:val="left"/>
    </w:pPr>
    <w:rPr>
      <w:b w:val="0"/>
      <w:color w:val="243F60" w:themeColor="accent1" w:themeShade="7F"/>
    </w:rPr>
  </w:style>
  <w:style w:type="character" w:customStyle="1" w:styleId="MMTopic5Char">
    <w:name w:val="MM Topic 5 Char"/>
    <w:basedOn w:val="Heading5Char"/>
    <w:link w:val="MMTopic5"/>
    <w:rsid w:val="00213845"/>
    <w:rPr>
      <w:rFonts w:asciiTheme="majorHAnsi" w:eastAsiaTheme="majorEastAsia" w:hAnsiTheme="majorHAnsi" w:cstheme="majorBidi"/>
      <w:b w:val="0"/>
      <w:color w:val="243F60" w:themeColor="accent1" w:themeShade="7F"/>
      <w:lang w:val="en-GB"/>
    </w:rPr>
  </w:style>
  <w:style w:type="table" w:styleId="LightList-Accent1">
    <w:name w:val="Light List Accent 1"/>
    <w:basedOn w:val="TableNormal"/>
    <w:uiPriority w:val="61"/>
    <w:semiHidden/>
    <w:unhideWhenUsed/>
    <w:rsid w:val="0066401D"/>
    <w:pPr>
      <w:spacing w:after="0" w:line="240" w:lineRule="auto"/>
    </w:pPr>
    <w:rPr>
      <w:rFonts w:ascii="Calibri" w:eastAsia="Times New Roman" w:hAnsi="Calibri" w:cs="Times New Roman"/>
      <w:sz w:val="20"/>
      <w:szCs w:val="20"/>
      <w:lang w:val="en-GB" w:eastAsia="en-GB"/>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rticleTitle">
    <w:name w:val="Article Title"/>
    <w:basedOn w:val="Artnr"/>
    <w:link w:val="ArticleTitleChar"/>
    <w:qFormat/>
    <w:rsid w:val="000B1CB9"/>
    <w:pPr>
      <w:numPr>
        <w:numId w:val="0"/>
      </w:numPr>
      <w:jc w:val="center"/>
    </w:pPr>
    <w:rPr>
      <w:lang w:eastAsia="en-US"/>
    </w:rPr>
  </w:style>
  <w:style w:type="paragraph" w:customStyle="1" w:styleId="ArticleNumber">
    <w:name w:val="Article Number"/>
    <w:basedOn w:val="Artnr"/>
    <w:next w:val="Default"/>
    <w:link w:val="ArticleNumberChar"/>
    <w:rsid w:val="000B1CB9"/>
    <w:pPr>
      <w:ind w:left="0" w:firstLine="0"/>
      <w:jc w:val="center"/>
    </w:pPr>
    <w:rPr>
      <w:lang w:eastAsia="en-US"/>
    </w:rPr>
  </w:style>
  <w:style w:type="character" w:customStyle="1" w:styleId="ArticleTitleChar">
    <w:name w:val="Article Title Char"/>
    <w:basedOn w:val="ArtnrChar"/>
    <w:link w:val="ArticleTitle"/>
    <w:rsid w:val="000B1CB9"/>
    <w:rPr>
      <w:rFonts w:ascii="Times New Roman" w:eastAsia="Times New Roman" w:hAnsi="Times New Roman" w:cs="Times New Roman"/>
      <w:b/>
      <w:color w:val="1F497D" w:themeColor="text2"/>
      <w:sz w:val="24"/>
      <w:szCs w:val="24"/>
      <w:lang w:val="en-GB" w:eastAsia="de-DE"/>
    </w:rPr>
  </w:style>
  <w:style w:type="paragraph" w:customStyle="1" w:styleId="Title1">
    <w:name w:val="Title 1"/>
    <w:basedOn w:val="Artnr"/>
    <w:link w:val="Title1Char"/>
    <w:qFormat/>
    <w:rsid w:val="000C4364"/>
    <w:pPr>
      <w:numPr>
        <w:numId w:val="40"/>
      </w:numPr>
      <w:ind w:left="5103" w:hanging="567"/>
    </w:pPr>
  </w:style>
  <w:style w:type="character" w:customStyle="1" w:styleId="ArticleNumberChar">
    <w:name w:val="Article Number Char"/>
    <w:basedOn w:val="ArtnrChar"/>
    <w:link w:val="ArticleNumber"/>
    <w:rsid w:val="000B1CB9"/>
    <w:rPr>
      <w:rFonts w:ascii="Times New Roman" w:eastAsia="Times New Roman" w:hAnsi="Times New Roman" w:cs="Times New Roman"/>
      <w:b/>
      <w:color w:val="1F497D" w:themeColor="text2"/>
      <w:sz w:val="24"/>
      <w:szCs w:val="24"/>
      <w:lang w:val="en-GB" w:eastAsia="de-DE"/>
    </w:rPr>
  </w:style>
  <w:style w:type="paragraph" w:customStyle="1" w:styleId="HeadingDocumentParts">
    <w:name w:val="Heading Document Parts"/>
    <w:basedOn w:val="ArticleTitle"/>
    <w:link w:val="HeadingDocumentPartsChar"/>
    <w:qFormat/>
    <w:rsid w:val="000C4364"/>
  </w:style>
  <w:style w:type="character" w:customStyle="1" w:styleId="Title1Char">
    <w:name w:val="Title 1 Char"/>
    <w:basedOn w:val="ArtnrChar"/>
    <w:link w:val="Title1"/>
    <w:rsid w:val="000C4364"/>
    <w:rPr>
      <w:rFonts w:ascii="Times New Roman" w:eastAsia="Times New Roman" w:hAnsi="Times New Roman" w:cs="Times New Roman"/>
      <w:b/>
      <w:color w:val="1F497D" w:themeColor="text2"/>
      <w:sz w:val="24"/>
      <w:szCs w:val="24"/>
      <w:lang w:val="en-GB" w:eastAsia="de-DE"/>
    </w:rPr>
  </w:style>
  <w:style w:type="character" w:customStyle="1" w:styleId="HeadingDocumentPartsChar">
    <w:name w:val="Heading Document Parts Char"/>
    <w:basedOn w:val="ArticleTitleChar"/>
    <w:link w:val="HeadingDocumentParts"/>
    <w:rsid w:val="000C4364"/>
    <w:rPr>
      <w:rFonts w:ascii="Times New Roman" w:eastAsia="Times New Roman" w:hAnsi="Times New Roman" w:cs="Times New Roman"/>
      <w:b/>
      <w:color w:val="1F497D" w:themeColor="text2"/>
      <w:sz w:val="24"/>
      <w:szCs w:val="24"/>
      <w:lang w:val="en-GB" w:eastAsia="de-DE"/>
    </w:rPr>
  </w:style>
  <w:style w:type="character" w:styleId="Mention">
    <w:name w:val="Mention"/>
    <w:basedOn w:val="DefaultParagraphFont"/>
    <w:uiPriority w:val="99"/>
    <w:semiHidden/>
    <w:unhideWhenUsed/>
    <w:rsid w:val="00C517D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165560190">
      <w:bodyDiv w:val="1"/>
      <w:marLeft w:val="0"/>
      <w:marRight w:val="0"/>
      <w:marTop w:val="0"/>
      <w:marBottom w:val="0"/>
      <w:divBdr>
        <w:top w:val="none" w:sz="0" w:space="0" w:color="auto"/>
        <w:left w:val="none" w:sz="0" w:space="0" w:color="auto"/>
        <w:bottom w:val="none" w:sz="0" w:space="0" w:color="auto"/>
        <w:right w:val="none" w:sz="0" w:space="0" w:color="auto"/>
      </w:divBdr>
    </w:div>
    <w:div w:id="207110361">
      <w:bodyDiv w:val="1"/>
      <w:marLeft w:val="0"/>
      <w:marRight w:val="0"/>
      <w:marTop w:val="0"/>
      <w:marBottom w:val="0"/>
      <w:divBdr>
        <w:top w:val="none" w:sz="0" w:space="0" w:color="auto"/>
        <w:left w:val="none" w:sz="0" w:space="0" w:color="auto"/>
        <w:bottom w:val="none" w:sz="0" w:space="0" w:color="auto"/>
        <w:right w:val="none" w:sz="0" w:space="0" w:color="auto"/>
      </w:divBdr>
    </w:div>
    <w:div w:id="276718966">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27894962">
      <w:bodyDiv w:val="1"/>
      <w:marLeft w:val="0"/>
      <w:marRight w:val="0"/>
      <w:marTop w:val="0"/>
      <w:marBottom w:val="0"/>
      <w:divBdr>
        <w:top w:val="none" w:sz="0" w:space="0" w:color="auto"/>
        <w:left w:val="none" w:sz="0" w:space="0" w:color="auto"/>
        <w:bottom w:val="none" w:sz="0" w:space="0" w:color="auto"/>
        <w:right w:val="none" w:sz="0" w:space="0" w:color="auto"/>
      </w:divBdr>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669913600">
      <w:bodyDiv w:val="1"/>
      <w:marLeft w:val="0"/>
      <w:marRight w:val="0"/>
      <w:marTop w:val="0"/>
      <w:marBottom w:val="0"/>
      <w:divBdr>
        <w:top w:val="none" w:sz="0" w:space="0" w:color="auto"/>
        <w:left w:val="none" w:sz="0" w:space="0" w:color="auto"/>
        <w:bottom w:val="none" w:sz="0" w:space="0" w:color="auto"/>
        <w:right w:val="none" w:sz="0" w:space="0" w:color="auto"/>
      </w:divBdr>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435513410">
      <w:bodyDiv w:val="1"/>
      <w:marLeft w:val="0"/>
      <w:marRight w:val="0"/>
      <w:marTop w:val="0"/>
      <w:marBottom w:val="0"/>
      <w:divBdr>
        <w:top w:val="none" w:sz="0" w:space="0" w:color="auto"/>
        <w:left w:val="none" w:sz="0" w:space="0" w:color="auto"/>
        <w:bottom w:val="none" w:sz="0" w:space="0" w:color="auto"/>
        <w:right w:val="none" w:sz="0" w:space="0" w:color="auto"/>
      </w:divBdr>
    </w:div>
    <w:div w:id="1585646557">
      <w:bodyDiv w:val="1"/>
      <w:marLeft w:val="0"/>
      <w:marRight w:val="0"/>
      <w:marTop w:val="0"/>
      <w:marBottom w:val="0"/>
      <w:divBdr>
        <w:top w:val="none" w:sz="0" w:space="0" w:color="auto"/>
        <w:left w:val="none" w:sz="0" w:space="0" w:color="auto"/>
        <w:bottom w:val="none" w:sz="0" w:space="0" w:color="auto"/>
        <w:right w:val="none" w:sz="0" w:space="0" w:color="auto"/>
      </w:divBdr>
    </w:div>
    <w:div w:id="1749421114">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1974600563">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2497F387DEA4C977588B99327BEC3" ma:contentTypeVersion="1" ma:contentTypeDescription="Create a new document." ma:contentTypeScope="" ma:versionID="fdfa4b9edc1ae0c4a8af46f50e980bc7">
  <xsd:schema xmlns:xsd="http://www.w3.org/2001/XMLSchema" xmlns:xs="http://www.w3.org/2001/XMLSchema" xmlns:p="http://schemas.microsoft.com/office/2006/metadata/properties" xmlns:ns2="f6735893-03d1-4b5c-93f0-2ac1c56603d6" targetNamespace="http://schemas.microsoft.com/office/2006/metadata/properties" ma:root="true" ma:fieldsID="ccb1d98dbd21119745c988dacf073c74" ns2:_="">
    <xsd:import namespace="f6735893-03d1-4b5c-93f0-2ac1c56603d6"/>
    <xsd:element name="properties">
      <xsd:complexType>
        <xsd:sequence>
          <xsd:element name="documentManagement">
            <xsd:complexType>
              <xsd:all>
                <xsd:element ref="ns2: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35893-03d1-4b5c-93f0-2ac1c56603d6" elementFormDefault="qualified">
    <xsd:import namespace="http://schemas.microsoft.com/office/2006/documentManagement/types"/>
    <xsd:import namespace="http://schemas.microsoft.com/office/infopath/2007/PartnerControls"/>
    <xsd:element name="Date_x0020_and_x0020_time" ma:index="8" nillable="true" ma:displayName="Date and time" ma:format="DateOnly"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_x0020_and_x0020_time xmlns="f6735893-03d1-4b5c-93f0-2ac1c56603d6">2018-07-08T23:00:00+00:00</Date_x0020_and_x0020_tim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72AD-8271-4E77-921F-742B13E0546E}">
  <ds:schemaRefs>
    <ds:schemaRef ds:uri="http://schemas.microsoft.com/sharepoint/v3/contenttype/forms"/>
  </ds:schemaRefs>
</ds:datastoreItem>
</file>

<file path=customXml/itemProps2.xml><?xml version="1.0" encoding="utf-8"?>
<ds:datastoreItem xmlns:ds="http://schemas.openxmlformats.org/officeDocument/2006/customXml" ds:itemID="{BC81EA68-AC60-455C-9112-EA31A356E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35893-03d1-4b5c-93f0-2ac1c5660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2824A-6D06-4E15-AD58-D96770AB4ECF}">
  <ds:schemaRefs>
    <ds:schemaRef ds:uri="http://schemas.openxmlformats.org/officeDocument/2006/bibliography"/>
  </ds:schemaRefs>
</ds:datastoreItem>
</file>

<file path=customXml/itemProps4.xml><?xml version="1.0" encoding="utf-8"?>
<ds:datastoreItem xmlns:ds="http://schemas.openxmlformats.org/officeDocument/2006/customXml" ds:itemID="{D0576A2C-6BF1-4F47-B19B-7E32DE54B7D2}">
  <ds:schemaRefs>
    <ds:schemaRef ds:uri="http://schemas.microsoft.com/office/2006/metadata/properties"/>
    <ds:schemaRef ds:uri="http://schemas.microsoft.com/office/infopath/2007/PartnerControls"/>
    <ds:schemaRef ds:uri="f6735893-03d1-4b5c-93f0-2ac1c56603d6"/>
  </ds:schemaRefs>
</ds:datastoreItem>
</file>

<file path=customXml/itemProps5.xml><?xml version="1.0" encoding="utf-8"?>
<ds:datastoreItem xmlns:ds="http://schemas.openxmlformats.org/officeDocument/2006/customXml" ds:itemID="{54945244-CDE5-4BE0-9101-418BFE32F534}">
  <ds:schemaRefs>
    <ds:schemaRef ds:uri="http://schemas.openxmlformats.org/officeDocument/2006/bibliography"/>
  </ds:schemaRefs>
</ds:datastoreItem>
</file>

<file path=customXml/itemProps6.xml><?xml version="1.0" encoding="utf-8"?>
<ds:datastoreItem xmlns:ds="http://schemas.openxmlformats.org/officeDocument/2006/customXml" ds:itemID="{D86091C7-3EF3-49A4-BC6E-E8DA976A2507}">
  <ds:schemaRefs>
    <ds:schemaRef ds:uri="http://schemas.openxmlformats.org/officeDocument/2006/bibliography"/>
  </ds:schemaRefs>
</ds:datastoreItem>
</file>

<file path=customXml/itemProps7.xml><?xml version="1.0" encoding="utf-8"?>
<ds:datastoreItem xmlns:ds="http://schemas.openxmlformats.org/officeDocument/2006/customXml" ds:itemID="{819606A6-3A2F-4BC8-9CD1-1BF3B56B5BAD}">
  <ds:schemaRefs>
    <ds:schemaRef ds:uri="http://schemas.openxmlformats.org/officeDocument/2006/bibliography"/>
  </ds:schemaRefs>
</ds:datastoreItem>
</file>

<file path=customXml/itemProps8.xml><?xml version="1.0" encoding="utf-8"?>
<ds:datastoreItem xmlns:ds="http://schemas.openxmlformats.org/officeDocument/2006/customXml" ds:itemID="{4D6AD20F-74AB-4B57-8FF3-80879878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5127</Words>
  <Characters>29230</Characters>
  <Application>Microsoft Office Word</Application>
  <DocSecurity>0</DocSecurity>
  <Lines>243</Lines>
  <Paragraphs>68</Paragraphs>
  <ScaleCrop>false</ScaleCrop>
  <HeadingPairs>
    <vt:vector size="12"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ariant>
        <vt:lpstr>Titolo</vt:lpstr>
      </vt:variant>
      <vt:variant>
        <vt:i4>1</vt:i4>
      </vt:variant>
      <vt:variant>
        <vt:lpstr>Tittel</vt:lpstr>
      </vt:variant>
      <vt:variant>
        <vt:i4>1</vt:i4>
      </vt:variant>
    </vt:vector>
  </HeadingPairs>
  <TitlesOfParts>
    <vt:vector size="6" baseType="lpstr">
      <vt:lpstr>GB SAOA - proposal 0.2</vt:lpstr>
      <vt:lpstr>Supporting Paper for the Load-Frequency Control and Reserves Network Code</vt:lpstr>
      <vt:lpstr>Supporting Paper for the Load-Frequency Control and Reserves Network Code</vt:lpstr>
      <vt:lpstr>Supporting Paper for the Load-Frequency Control and Reserves Network Code</vt:lpstr>
      <vt:lpstr>Supporting Paper for the Load-Frequency Control and Reserves Network Code</vt:lpstr>
      <vt:lpstr/>
    </vt:vector>
  </TitlesOfParts>
  <Company>TransnetBW</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SAOA - proposal 0.2</dc:title>
  <dc:subject/>
  <dc:creator>David Bunney</dc:creator>
  <cp:keywords>SOGL SAOA GB synchronous area operating agreement</cp:keywords>
  <dc:description/>
  <cp:lastModifiedBy>Steiner, Michelle</cp:lastModifiedBy>
  <cp:revision>2</cp:revision>
  <cp:lastPrinted>2018-07-17T10:28:00Z</cp:lastPrinted>
  <dcterms:created xsi:type="dcterms:W3CDTF">2018-07-20T07:07:00Z</dcterms:created>
  <dcterms:modified xsi:type="dcterms:W3CDTF">2018-07-20T07:07:00Z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0x010100F262497F387DEA4C977588B99327BEC3</vt:lpwstr>
  </property>
  <property fmtid="{D5CDD505-2E9C-101B-9397-08002B2CF9AE}" pid="4" name="TaxKeyword">
    <vt:lpwstr/>
  </property>
  <property fmtid="{D5CDD505-2E9C-101B-9397-08002B2CF9AE}" pid="5" name="_AdHocReviewCycleID">
    <vt:i4>-1316929938</vt:i4>
  </property>
  <property fmtid="{D5CDD505-2E9C-101B-9397-08002B2CF9AE}" pid="6" name="_NewReviewCycle">
    <vt:lpwstr/>
  </property>
  <property fmtid="{D5CDD505-2E9C-101B-9397-08002B2CF9AE}" pid="7" name="_EmailSubject">
    <vt:lpwstr>GB SAOA - proposal </vt:lpwstr>
  </property>
  <property fmtid="{D5CDD505-2E9C-101B-9397-08002B2CF9AE}" pid="8" name="_AuthorEmail">
    <vt:lpwstr>Robert.Selbie@nationalgrid.com</vt:lpwstr>
  </property>
  <property fmtid="{D5CDD505-2E9C-101B-9397-08002B2CF9AE}" pid="9" name="_AuthorEmailDisplayName">
    <vt:lpwstr>Selbie, Robert</vt:lpwstr>
  </property>
  <property fmtid="{D5CDD505-2E9C-101B-9397-08002B2CF9AE}" pid="10" name="_PreviousAdHocReviewCycleID">
    <vt:i4>137750649</vt:i4>
  </property>
  <property fmtid="{D5CDD505-2E9C-101B-9397-08002B2CF9AE}" pid="11" name="_ReviewingToolsShownOnce">
    <vt:lpwstr/>
  </property>
</Properties>
</file>