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List2"/>
        <w:tblpPr w:leftFromText="141" w:rightFromText="141" w:vertAnchor="page" w:horzAnchor="margin" w:tblpY="3436"/>
        <w:tblW w:w="0" w:type="auto"/>
        <w:tblLook w:val="04A0" w:firstRow="1" w:lastRow="0" w:firstColumn="1" w:lastColumn="0" w:noHBand="0" w:noVBand="1"/>
      </w:tblPr>
      <w:tblGrid>
        <w:gridCol w:w="9070"/>
      </w:tblGrid>
      <w:tr w:rsidR="00034F0F" w:rsidRPr="000F6BA0" w:rsidTr="00643C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72" w:type="dxa"/>
            <w:tcBorders>
              <w:bottom w:val="nil"/>
            </w:tcBorders>
          </w:tcPr>
          <w:p w:rsidR="001D4352" w:rsidRPr="000F6BA0" w:rsidRDefault="001D4352" w:rsidP="001D4352">
            <w:pPr>
              <w:rPr>
                <w:sz w:val="80"/>
                <w:szCs w:val="80"/>
                <w:lang w:val="en-US"/>
              </w:rPr>
            </w:pPr>
          </w:p>
          <w:p w:rsidR="001D4352" w:rsidRPr="000F6BA0" w:rsidRDefault="00F007C6" w:rsidP="00435C90">
            <w:pPr>
              <w:pStyle w:val="Title"/>
              <w:jc w:val="center"/>
              <w:rPr>
                <w:rFonts w:ascii="Trebuchet MS" w:hAnsi="Trebuchet MS"/>
                <w:sz w:val="52"/>
                <w:lang w:val="en-US"/>
              </w:rPr>
            </w:pPr>
            <w:bookmarkStart w:id="0" w:name="_Toc474834170"/>
            <w:bookmarkStart w:id="1" w:name="_Toc478563492"/>
            <w:bookmarkStart w:id="2" w:name="_Toc485221004"/>
            <w:bookmarkStart w:id="3" w:name="_Toc485383742"/>
            <w:bookmarkStart w:id="4" w:name="_Toc504137911"/>
            <w:bookmarkStart w:id="5" w:name="_Toc506299365"/>
            <w:bookmarkStart w:id="6" w:name="_Toc507419157"/>
            <w:bookmarkStart w:id="7" w:name="_Toc507661965"/>
            <w:bookmarkStart w:id="8" w:name="_Toc526751261"/>
            <w:bookmarkStart w:id="9" w:name="_Toc526751327"/>
            <w:bookmarkStart w:id="10" w:name="_Toc529952007"/>
            <w:bookmarkStart w:id="11" w:name="_Toc529952271"/>
            <w:bookmarkStart w:id="12" w:name="_Toc529967061"/>
            <w:bookmarkStart w:id="13" w:name="_Toc531250435"/>
            <w:r w:rsidRPr="000F6BA0">
              <w:rPr>
                <w:rFonts w:ascii="Trebuchet MS" w:hAnsi="Trebuchet MS"/>
                <w:sz w:val="52"/>
                <w:lang w:val="en-US"/>
              </w:rPr>
              <w:t>A</w:t>
            </w:r>
            <w:r w:rsidR="001D4352" w:rsidRPr="000F6BA0">
              <w:rPr>
                <w:rFonts w:ascii="Trebuchet MS" w:hAnsi="Trebuchet MS"/>
                <w:sz w:val="52"/>
                <w:lang w:val="en-US"/>
              </w:rPr>
              <w:t xml:space="preserve">ll Baltic CCR TSOs’ </w:t>
            </w:r>
            <w:r w:rsidR="00F81968">
              <w:rPr>
                <w:rFonts w:ascii="Trebuchet MS" w:hAnsi="Trebuchet MS"/>
                <w:sz w:val="52"/>
                <w:lang w:val="en-US"/>
              </w:rPr>
              <w:t>C</w:t>
            </w:r>
            <w:r w:rsidR="00F81968" w:rsidRPr="000F6BA0">
              <w:rPr>
                <w:rFonts w:ascii="Trebuchet MS" w:hAnsi="Trebuchet MS"/>
                <w:sz w:val="52"/>
                <w:lang w:val="en-US"/>
              </w:rPr>
              <w:t xml:space="preserve">ommon </w:t>
            </w:r>
            <w:r w:rsidR="00F81968">
              <w:rPr>
                <w:rFonts w:ascii="Trebuchet MS" w:hAnsi="Trebuchet MS"/>
                <w:sz w:val="52"/>
                <w:lang w:val="en-US"/>
              </w:rPr>
              <w:t>C</w:t>
            </w:r>
            <w:r w:rsidR="00F81968" w:rsidRPr="000F6BA0">
              <w:rPr>
                <w:rFonts w:ascii="Trebuchet MS" w:hAnsi="Trebuchet MS"/>
                <w:sz w:val="52"/>
                <w:lang w:val="en-US"/>
              </w:rPr>
              <w:t xml:space="preserve">apacity </w:t>
            </w:r>
            <w:r w:rsidR="00F81968">
              <w:rPr>
                <w:rFonts w:ascii="Trebuchet MS" w:hAnsi="Trebuchet MS"/>
                <w:sz w:val="52"/>
                <w:lang w:val="en-US"/>
              </w:rPr>
              <w:t>C</w:t>
            </w:r>
            <w:r w:rsidR="00F81968" w:rsidRPr="000F6BA0">
              <w:rPr>
                <w:rFonts w:ascii="Trebuchet MS" w:hAnsi="Trebuchet MS"/>
                <w:sz w:val="52"/>
                <w:lang w:val="en-US"/>
              </w:rPr>
              <w:t xml:space="preserve">alculation </w:t>
            </w:r>
            <w:r w:rsidR="00F81968">
              <w:rPr>
                <w:rFonts w:ascii="Trebuchet MS" w:hAnsi="Trebuchet MS"/>
                <w:sz w:val="52"/>
                <w:lang w:val="en-US"/>
              </w:rPr>
              <w:t>M</w:t>
            </w:r>
            <w:r w:rsidR="00F81968" w:rsidRPr="000F6BA0">
              <w:rPr>
                <w:rFonts w:ascii="Trebuchet MS" w:hAnsi="Trebuchet MS"/>
                <w:sz w:val="52"/>
                <w:lang w:val="en-US"/>
              </w:rPr>
              <w:t xml:space="preserve">ethodology </w:t>
            </w:r>
            <w:r w:rsidR="0027110C" w:rsidRPr="000F6BA0">
              <w:rPr>
                <w:rFonts w:ascii="Trebuchet MS" w:hAnsi="Trebuchet MS"/>
                <w:sz w:val="52"/>
                <w:lang w:val="en-US"/>
              </w:rPr>
              <w:t xml:space="preserve">for </w:t>
            </w:r>
            <w:r w:rsidR="00F81968">
              <w:rPr>
                <w:rFonts w:ascii="Trebuchet MS" w:hAnsi="Trebuchet MS"/>
                <w:sz w:val="52"/>
                <w:lang w:val="en-US"/>
              </w:rPr>
              <w:t>L</w:t>
            </w:r>
            <w:r w:rsidR="00F81968" w:rsidRPr="000F6BA0">
              <w:rPr>
                <w:rFonts w:ascii="Trebuchet MS" w:hAnsi="Trebuchet MS"/>
                <w:sz w:val="52"/>
                <w:lang w:val="en-US"/>
              </w:rPr>
              <w:t>ong</w:t>
            </w:r>
            <w:r w:rsidR="0027110C" w:rsidRPr="000F6BA0">
              <w:rPr>
                <w:rFonts w:ascii="Trebuchet MS" w:hAnsi="Trebuchet MS"/>
                <w:sz w:val="52"/>
                <w:lang w:val="en-US"/>
              </w:rPr>
              <w:t xml:space="preserve">-term </w:t>
            </w:r>
            <w:r w:rsidR="00F81968">
              <w:rPr>
                <w:rFonts w:ascii="Trebuchet MS" w:hAnsi="Trebuchet MS"/>
                <w:sz w:val="52"/>
                <w:lang w:val="en-US"/>
              </w:rPr>
              <w:t>T</w:t>
            </w:r>
            <w:r w:rsidR="0027110C" w:rsidRPr="000F6BA0">
              <w:rPr>
                <w:rFonts w:ascii="Trebuchet MS" w:hAnsi="Trebuchet MS"/>
                <w:sz w:val="52"/>
                <w:lang w:val="en-US"/>
              </w:rPr>
              <w:t xml:space="preserve">ime </w:t>
            </w:r>
            <w:r w:rsidR="00F81968">
              <w:rPr>
                <w:rFonts w:ascii="Trebuchet MS" w:hAnsi="Trebuchet MS"/>
                <w:sz w:val="52"/>
                <w:lang w:val="en-US"/>
              </w:rPr>
              <w:t>F</w:t>
            </w:r>
            <w:r w:rsidR="0027110C" w:rsidRPr="000F6BA0">
              <w:rPr>
                <w:rFonts w:ascii="Trebuchet MS" w:hAnsi="Trebuchet MS"/>
                <w:sz w:val="52"/>
                <w:lang w:val="en-US"/>
              </w:rPr>
              <w:t xml:space="preserve">rames </w:t>
            </w:r>
            <w:r w:rsidR="001D4352" w:rsidRPr="000F6BA0">
              <w:rPr>
                <w:rFonts w:ascii="Trebuchet MS" w:hAnsi="Trebuchet MS"/>
                <w:sz w:val="52"/>
                <w:lang w:val="en-US"/>
              </w:rPr>
              <w:t xml:space="preserve">in </w:t>
            </w:r>
            <w:r w:rsidR="00F81968">
              <w:rPr>
                <w:rFonts w:ascii="Trebuchet MS" w:hAnsi="Trebuchet MS"/>
                <w:sz w:val="52"/>
                <w:lang w:val="en-US"/>
              </w:rPr>
              <w:t>A</w:t>
            </w:r>
            <w:r w:rsidR="001D4352" w:rsidRPr="000F6BA0">
              <w:rPr>
                <w:rFonts w:ascii="Trebuchet MS" w:hAnsi="Trebuchet MS"/>
                <w:sz w:val="52"/>
                <w:lang w:val="en-US"/>
              </w:rPr>
              <w:t xml:space="preserve">ccordance with Article </w:t>
            </w:r>
            <w:r w:rsidR="0027110C" w:rsidRPr="000F6BA0">
              <w:rPr>
                <w:rFonts w:ascii="Trebuchet MS" w:hAnsi="Trebuchet MS"/>
                <w:sz w:val="52"/>
                <w:lang w:val="en-US"/>
              </w:rPr>
              <w:t>10</w:t>
            </w:r>
            <w:r w:rsidR="004718FB" w:rsidRPr="000F6BA0">
              <w:rPr>
                <w:rFonts w:ascii="Trebuchet MS" w:hAnsi="Trebuchet MS"/>
                <w:sz w:val="52"/>
                <w:lang w:val="en-US"/>
              </w:rPr>
              <w:t>(1)</w:t>
            </w:r>
            <w:r w:rsidR="001D4352" w:rsidRPr="000F6BA0">
              <w:rPr>
                <w:rFonts w:ascii="Trebuchet MS" w:hAnsi="Trebuchet MS"/>
                <w:sz w:val="52"/>
                <w:lang w:val="en-US"/>
              </w:rPr>
              <w:t xml:space="preserve"> of the Commission Regulation (EU) 201</w:t>
            </w:r>
            <w:r w:rsidR="0027110C" w:rsidRPr="000F6BA0">
              <w:rPr>
                <w:rFonts w:ascii="Trebuchet MS" w:hAnsi="Trebuchet MS"/>
                <w:sz w:val="52"/>
                <w:lang w:val="en-US"/>
              </w:rPr>
              <w:t>6</w:t>
            </w:r>
            <w:r w:rsidR="001D4352" w:rsidRPr="000F6BA0">
              <w:rPr>
                <w:rFonts w:ascii="Trebuchet MS" w:hAnsi="Trebuchet MS"/>
                <w:sz w:val="52"/>
                <w:lang w:val="en-US"/>
              </w:rPr>
              <w:t>/</w:t>
            </w:r>
            <w:r w:rsidR="0027110C" w:rsidRPr="000F6BA0">
              <w:rPr>
                <w:rFonts w:ascii="Trebuchet MS" w:hAnsi="Trebuchet MS"/>
                <w:sz w:val="52"/>
                <w:lang w:val="en-US"/>
              </w:rPr>
              <w:t>1719</w:t>
            </w:r>
            <w:r w:rsidR="001D4352" w:rsidRPr="000F6BA0">
              <w:rPr>
                <w:rFonts w:ascii="Trebuchet MS" w:hAnsi="Trebuchet MS"/>
                <w:sz w:val="52"/>
                <w:lang w:val="en-US"/>
              </w:rPr>
              <w:t xml:space="preserve"> of 2</w:t>
            </w:r>
            <w:r w:rsidR="0027110C" w:rsidRPr="000F6BA0">
              <w:rPr>
                <w:rFonts w:ascii="Trebuchet MS" w:hAnsi="Trebuchet MS"/>
                <w:sz w:val="52"/>
                <w:lang w:val="en-US"/>
              </w:rPr>
              <w:t>6</w:t>
            </w:r>
            <w:r w:rsidR="001D4352" w:rsidRPr="000F6BA0">
              <w:rPr>
                <w:rFonts w:ascii="Trebuchet MS" w:hAnsi="Trebuchet MS"/>
                <w:sz w:val="52"/>
                <w:lang w:val="en-US"/>
              </w:rPr>
              <w:t xml:space="preserve"> </w:t>
            </w:r>
            <w:r w:rsidR="0027110C" w:rsidRPr="000F6BA0">
              <w:rPr>
                <w:rFonts w:ascii="Trebuchet MS" w:hAnsi="Trebuchet MS"/>
                <w:sz w:val="52"/>
                <w:lang w:val="en-US"/>
              </w:rPr>
              <w:t>September</w:t>
            </w:r>
            <w:r w:rsidR="001D4352" w:rsidRPr="000F6BA0">
              <w:rPr>
                <w:rFonts w:ascii="Trebuchet MS" w:hAnsi="Trebuchet MS"/>
                <w:sz w:val="52"/>
                <w:lang w:val="en-US"/>
              </w:rPr>
              <w:t xml:space="preserve"> 201</w:t>
            </w:r>
            <w:r w:rsidR="0027110C" w:rsidRPr="000F6BA0">
              <w:rPr>
                <w:rFonts w:ascii="Trebuchet MS" w:hAnsi="Trebuchet MS"/>
                <w:sz w:val="52"/>
                <w:lang w:val="en-US"/>
              </w:rPr>
              <w:t>6</w:t>
            </w:r>
            <w:r w:rsidR="001D4352" w:rsidRPr="000F6BA0">
              <w:rPr>
                <w:rFonts w:ascii="Trebuchet MS" w:hAnsi="Trebuchet MS"/>
                <w:sz w:val="52"/>
                <w:lang w:val="en-US"/>
              </w:rPr>
              <w:t xml:space="preserve"> </w:t>
            </w:r>
            <w:r w:rsidR="00F81968">
              <w:rPr>
                <w:rFonts w:ascii="Trebuchet MS" w:hAnsi="Trebuchet MS"/>
                <w:sz w:val="52"/>
                <w:lang w:val="en-US"/>
              </w:rPr>
              <w:t>E</w:t>
            </w:r>
            <w:r w:rsidR="00F81968" w:rsidRPr="000F6BA0">
              <w:rPr>
                <w:rFonts w:ascii="Trebuchet MS" w:hAnsi="Trebuchet MS"/>
                <w:sz w:val="52"/>
                <w:lang w:val="en-US"/>
              </w:rPr>
              <w:t xml:space="preserve">stablishing </w:t>
            </w:r>
            <w:r w:rsidR="001D4352" w:rsidRPr="000F6BA0">
              <w:rPr>
                <w:rFonts w:ascii="Trebuchet MS" w:hAnsi="Trebuchet MS"/>
                <w:sz w:val="52"/>
                <w:lang w:val="en-US"/>
              </w:rPr>
              <w:t xml:space="preserve">a </w:t>
            </w:r>
            <w:r w:rsidR="00F81968">
              <w:rPr>
                <w:rFonts w:ascii="Trebuchet MS" w:hAnsi="Trebuchet MS"/>
                <w:sz w:val="52"/>
                <w:lang w:val="en-US"/>
              </w:rPr>
              <w:t>G</w:t>
            </w:r>
            <w:r w:rsidR="001D4352" w:rsidRPr="000F6BA0">
              <w:rPr>
                <w:rFonts w:ascii="Trebuchet MS" w:hAnsi="Trebuchet MS"/>
                <w:sz w:val="52"/>
                <w:lang w:val="en-US"/>
              </w:rPr>
              <w:t xml:space="preserve">uideline on </w:t>
            </w:r>
            <w:r w:rsidR="00F81968">
              <w:rPr>
                <w:rFonts w:ascii="Trebuchet MS" w:hAnsi="Trebuchet MS"/>
                <w:sz w:val="52"/>
                <w:lang w:val="en-US"/>
              </w:rPr>
              <w:t>F</w:t>
            </w:r>
            <w:r w:rsidR="0027110C" w:rsidRPr="000F6BA0">
              <w:rPr>
                <w:rFonts w:ascii="Trebuchet MS" w:hAnsi="Trebuchet MS"/>
                <w:sz w:val="52"/>
                <w:lang w:val="en-US"/>
              </w:rPr>
              <w:t xml:space="preserve">orward </w:t>
            </w:r>
            <w:r w:rsidR="00F81968">
              <w:rPr>
                <w:rFonts w:ascii="Trebuchet MS" w:hAnsi="Trebuchet MS"/>
                <w:sz w:val="52"/>
                <w:lang w:val="en-US"/>
              </w:rPr>
              <w:t>C</w:t>
            </w:r>
            <w:r w:rsidR="0027110C" w:rsidRPr="000F6BA0">
              <w:rPr>
                <w:rFonts w:ascii="Trebuchet MS" w:hAnsi="Trebuchet MS"/>
                <w:sz w:val="52"/>
                <w:lang w:val="en-US"/>
              </w:rPr>
              <w:t xml:space="preserve">apacity </w:t>
            </w:r>
            <w:r w:rsidR="00F81968">
              <w:rPr>
                <w:rFonts w:ascii="Trebuchet MS" w:hAnsi="Trebuchet MS"/>
                <w:sz w:val="52"/>
                <w:lang w:val="en-US"/>
              </w:rPr>
              <w:t>A</w:t>
            </w:r>
            <w:r w:rsidR="0027110C" w:rsidRPr="000F6BA0">
              <w:rPr>
                <w:rFonts w:ascii="Trebuchet MS" w:hAnsi="Trebuchet MS"/>
                <w:sz w:val="52"/>
                <w:lang w:val="en-US"/>
              </w:rPr>
              <w:t>llocation</w:t>
            </w:r>
            <w:bookmarkEnd w:id="0"/>
            <w:bookmarkEnd w:id="1"/>
            <w:bookmarkEnd w:id="2"/>
            <w:bookmarkEnd w:id="3"/>
            <w:bookmarkEnd w:id="4"/>
            <w:bookmarkEnd w:id="5"/>
            <w:bookmarkEnd w:id="6"/>
            <w:bookmarkEnd w:id="7"/>
            <w:bookmarkEnd w:id="8"/>
            <w:bookmarkEnd w:id="9"/>
            <w:bookmarkEnd w:id="10"/>
            <w:bookmarkEnd w:id="11"/>
            <w:bookmarkEnd w:id="12"/>
            <w:bookmarkEnd w:id="13"/>
          </w:p>
          <w:p w:rsidR="001D4352" w:rsidRPr="000F6BA0" w:rsidRDefault="001D4352" w:rsidP="001D4352">
            <w:pPr>
              <w:jc w:val="center"/>
              <w:rPr>
                <w:sz w:val="28"/>
                <w:lang w:val="en-US"/>
              </w:rPr>
            </w:pPr>
          </w:p>
        </w:tc>
      </w:tr>
      <w:tr w:rsidR="00034F0F" w:rsidRPr="000F6BA0" w:rsidTr="00643C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right w:val="nil"/>
            </w:tcBorders>
          </w:tcPr>
          <w:p w:rsidR="001D4352" w:rsidRPr="000F6BA0" w:rsidRDefault="001D4352" w:rsidP="001D4352">
            <w:pPr>
              <w:jc w:val="center"/>
              <w:rPr>
                <w:sz w:val="36"/>
                <w:szCs w:val="80"/>
                <w:lang w:val="en-US"/>
              </w:rPr>
            </w:pPr>
          </w:p>
          <w:p w:rsidR="001D4352" w:rsidRPr="000F6BA0" w:rsidRDefault="00985679" w:rsidP="00985679">
            <w:pPr>
              <w:jc w:val="center"/>
              <w:rPr>
                <w:rFonts w:cs="Times New Roman"/>
                <w:sz w:val="80"/>
                <w:szCs w:val="80"/>
                <w:lang w:val="en-US"/>
              </w:rPr>
            </w:pPr>
            <w:proofErr w:type="spellStart"/>
            <w:r w:rsidRPr="000F6BA0">
              <w:rPr>
                <w:rFonts w:cs="Times New Roman"/>
                <w:sz w:val="36"/>
                <w:szCs w:val="80"/>
                <w:lang w:val="en-US"/>
              </w:rPr>
              <w:t>dd</w:t>
            </w:r>
            <w:proofErr w:type="spellEnd"/>
            <w:r w:rsidRPr="000F6BA0">
              <w:rPr>
                <w:rFonts w:cs="Times New Roman"/>
                <w:sz w:val="36"/>
                <w:szCs w:val="80"/>
                <w:lang w:val="en-US"/>
              </w:rPr>
              <w:t xml:space="preserve"> </w:t>
            </w:r>
            <w:proofErr w:type="spellStart"/>
            <w:r w:rsidRPr="000F6BA0">
              <w:rPr>
                <w:rFonts w:cs="Times New Roman"/>
                <w:sz w:val="36"/>
                <w:szCs w:val="80"/>
                <w:lang w:val="en-US"/>
              </w:rPr>
              <w:t>mmmmmm</w:t>
            </w:r>
            <w:proofErr w:type="spellEnd"/>
            <w:r w:rsidRPr="000F6BA0">
              <w:rPr>
                <w:rFonts w:cs="Times New Roman"/>
                <w:sz w:val="36"/>
                <w:szCs w:val="80"/>
                <w:lang w:val="en-US"/>
              </w:rPr>
              <w:t xml:space="preserve"> 2019</w:t>
            </w:r>
          </w:p>
        </w:tc>
      </w:tr>
    </w:tbl>
    <w:p w:rsidR="001D4352" w:rsidRPr="000F6BA0" w:rsidRDefault="001D4352">
      <w:pPr>
        <w:rPr>
          <w:sz w:val="19"/>
          <w:szCs w:val="19"/>
          <w:lang w:val="en-US"/>
        </w:rPr>
      </w:pPr>
      <w:r w:rsidRPr="000F6BA0">
        <w:rPr>
          <w:sz w:val="19"/>
          <w:szCs w:val="19"/>
          <w:lang w:val="en-US"/>
        </w:rPr>
        <w:br w:type="page"/>
      </w:r>
    </w:p>
    <w:sdt>
      <w:sdtPr>
        <w:rPr>
          <w:lang w:val="en-US"/>
        </w:rPr>
        <w:id w:val="507649685"/>
        <w:docPartObj>
          <w:docPartGallery w:val="Table of Contents"/>
          <w:docPartUnique/>
        </w:docPartObj>
      </w:sdtPr>
      <w:sdtEndPr>
        <w:rPr>
          <w:b/>
          <w:bCs/>
        </w:rPr>
      </w:sdtEndPr>
      <w:sdtContent>
        <w:p w:rsidR="003D52DD" w:rsidRPr="000F6BA0" w:rsidRDefault="003D52DD" w:rsidP="003D52DD">
          <w:pPr>
            <w:keepNext/>
            <w:keepLines/>
            <w:spacing w:before="240" w:line="259" w:lineRule="auto"/>
            <w:rPr>
              <w:rFonts w:eastAsiaTheme="majorEastAsia" w:cs="Times New Roman"/>
              <w:sz w:val="32"/>
              <w:szCs w:val="32"/>
              <w:lang w:val="en-US"/>
            </w:rPr>
          </w:pPr>
          <w:r w:rsidRPr="000F6BA0">
            <w:rPr>
              <w:rFonts w:eastAsiaTheme="majorEastAsia" w:cs="Times New Roman"/>
              <w:sz w:val="32"/>
              <w:szCs w:val="32"/>
              <w:lang w:val="en-US"/>
            </w:rPr>
            <w:t>Table of Contents</w:t>
          </w:r>
        </w:p>
        <w:p w:rsidR="00225A5B" w:rsidRDefault="003D52DD">
          <w:pPr>
            <w:pStyle w:val="TOC1"/>
            <w:rPr>
              <w:rFonts w:asciiTheme="minorHAnsi" w:eastAsiaTheme="minorEastAsia" w:hAnsiTheme="minorHAnsi" w:cstheme="minorBidi"/>
              <w:b w:val="0"/>
              <w:sz w:val="22"/>
              <w:lang w:val="pl-PL" w:eastAsia="pl-PL"/>
            </w:rPr>
          </w:pPr>
          <w:r w:rsidRPr="000F6BA0">
            <w:rPr>
              <w:b w:val="0"/>
              <w:noProof w:val="0"/>
              <w:lang w:val="en-US"/>
            </w:rPr>
            <w:fldChar w:fldCharType="begin"/>
          </w:r>
          <w:r w:rsidRPr="000F6BA0">
            <w:rPr>
              <w:noProof w:val="0"/>
              <w:lang w:val="en-US"/>
            </w:rPr>
            <w:instrText xml:space="preserve"> TOC \o "1-3" \h \z \u </w:instrText>
          </w:r>
          <w:r w:rsidRPr="000F6BA0">
            <w:rPr>
              <w:b w:val="0"/>
              <w:noProof w:val="0"/>
              <w:lang w:val="en-US"/>
            </w:rPr>
            <w:fldChar w:fldCharType="separate"/>
          </w:r>
          <w:hyperlink w:anchor="_Toc10105035" w:history="1">
            <w:r w:rsidR="00225A5B" w:rsidRPr="00086D29">
              <w:rPr>
                <w:rStyle w:val="Hyperlink"/>
                <w:lang w:val="en-US"/>
              </w:rPr>
              <w:t>Whereas</w:t>
            </w:r>
            <w:r w:rsidR="00225A5B">
              <w:rPr>
                <w:webHidden/>
              </w:rPr>
              <w:tab/>
            </w:r>
            <w:r w:rsidR="00225A5B">
              <w:rPr>
                <w:webHidden/>
              </w:rPr>
              <w:fldChar w:fldCharType="begin"/>
            </w:r>
            <w:r w:rsidR="00225A5B">
              <w:rPr>
                <w:webHidden/>
              </w:rPr>
              <w:instrText xml:space="preserve"> PAGEREF _Toc10105035 \h </w:instrText>
            </w:r>
            <w:r w:rsidR="00225A5B">
              <w:rPr>
                <w:webHidden/>
              </w:rPr>
            </w:r>
            <w:r w:rsidR="00225A5B">
              <w:rPr>
                <w:webHidden/>
              </w:rPr>
              <w:fldChar w:fldCharType="separate"/>
            </w:r>
            <w:r w:rsidR="00225A5B">
              <w:rPr>
                <w:webHidden/>
              </w:rPr>
              <w:t>3</w:t>
            </w:r>
            <w:r w:rsidR="00225A5B">
              <w:rPr>
                <w:webHidden/>
              </w:rPr>
              <w:fldChar w:fldCharType="end"/>
            </w:r>
          </w:hyperlink>
        </w:p>
        <w:p w:rsidR="00225A5B" w:rsidRDefault="00F8107D">
          <w:pPr>
            <w:pStyle w:val="TOC1"/>
            <w:rPr>
              <w:rFonts w:asciiTheme="minorHAnsi" w:eastAsiaTheme="minorEastAsia" w:hAnsiTheme="minorHAnsi" w:cstheme="minorBidi"/>
              <w:b w:val="0"/>
              <w:sz w:val="22"/>
              <w:lang w:val="pl-PL" w:eastAsia="pl-PL"/>
            </w:rPr>
          </w:pPr>
          <w:hyperlink w:anchor="_Toc10105036" w:history="1">
            <w:r w:rsidR="00225A5B" w:rsidRPr="00086D29">
              <w:rPr>
                <w:rStyle w:val="Hyperlink"/>
                <w:lang w:val="en-US"/>
              </w:rPr>
              <w:t>Article 1 Subject matter and scope</w:t>
            </w:r>
            <w:r w:rsidR="00225A5B">
              <w:rPr>
                <w:webHidden/>
              </w:rPr>
              <w:tab/>
            </w:r>
            <w:r w:rsidR="00225A5B">
              <w:rPr>
                <w:webHidden/>
              </w:rPr>
              <w:fldChar w:fldCharType="begin"/>
            </w:r>
            <w:r w:rsidR="00225A5B">
              <w:rPr>
                <w:webHidden/>
              </w:rPr>
              <w:instrText xml:space="preserve"> PAGEREF _Toc10105036 \h </w:instrText>
            </w:r>
            <w:r w:rsidR="00225A5B">
              <w:rPr>
                <w:webHidden/>
              </w:rPr>
            </w:r>
            <w:r w:rsidR="00225A5B">
              <w:rPr>
                <w:webHidden/>
              </w:rPr>
              <w:fldChar w:fldCharType="separate"/>
            </w:r>
            <w:r w:rsidR="00225A5B">
              <w:rPr>
                <w:webHidden/>
              </w:rPr>
              <w:t>5</w:t>
            </w:r>
            <w:r w:rsidR="00225A5B">
              <w:rPr>
                <w:webHidden/>
              </w:rPr>
              <w:fldChar w:fldCharType="end"/>
            </w:r>
          </w:hyperlink>
        </w:p>
        <w:p w:rsidR="00225A5B" w:rsidRDefault="00F8107D">
          <w:pPr>
            <w:pStyle w:val="TOC1"/>
            <w:rPr>
              <w:rFonts w:asciiTheme="minorHAnsi" w:eastAsiaTheme="minorEastAsia" w:hAnsiTheme="minorHAnsi" w:cstheme="minorBidi"/>
              <w:b w:val="0"/>
              <w:sz w:val="22"/>
              <w:lang w:val="pl-PL" w:eastAsia="pl-PL"/>
            </w:rPr>
          </w:pPr>
          <w:hyperlink w:anchor="_Toc10105037" w:history="1">
            <w:r w:rsidR="00225A5B" w:rsidRPr="00086D29">
              <w:rPr>
                <w:rStyle w:val="Hyperlink"/>
                <w:lang w:val="en-US"/>
              </w:rPr>
              <w:t>Article 2 Definitions</w:t>
            </w:r>
            <w:r w:rsidR="00225A5B">
              <w:rPr>
                <w:webHidden/>
              </w:rPr>
              <w:tab/>
            </w:r>
            <w:r w:rsidR="00225A5B">
              <w:rPr>
                <w:webHidden/>
              </w:rPr>
              <w:fldChar w:fldCharType="begin"/>
            </w:r>
            <w:r w:rsidR="00225A5B">
              <w:rPr>
                <w:webHidden/>
              </w:rPr>
              <w:instrText xml:space="preserve"> PAGEREF _Toc10105037 \h </w:instrText>
            </w:r>
            <w:r w:rsidR="00225A5B">
              <w:rPr>
                <w:webHidden/>
              </w:rPr>
            </w:r>
            <w:r w:rsidR="00225A5B">
              <w:rPr>
                <w:webHidden/>
              </w:rPr>
              <w:fldChar w:fldCharType="separate"/>
            </w:r>
            <w:r w:rsidR="00225A5B">
              <w:rPr>
                <w:webHidden/>
              </w:rPr>
              <w:t>5</w:t>
            </w:r>
            <w:r w:rsidR="00225A5B">
              <w:rPr>
                <w:webHidden/>
              </w:rPr>
              <w:fldChar w:fldCharType="end"/>
            </w:r>
          </w:hyperlink>
        </w:p>
        <w:p w:rsidR="00225A5B" w:rsidRDefault="00F8107D">
          <w:pPr>
            <w:pStyle w:val="TOC1"/>
            <w:rPr>
              <w:rFonts w:asciiTheme="minorHAnsi" w:eastAsiaTheme="minorEastAsia" w:hAnsiTheme="minorHAnsi" w:cstheme="minorBidi"/>
              <w:b w:val="0"/>
              <w:sz w:val="22"/>
              <w:lang w:val="pl-PL" w:eastAsia="pl-PL"/>
            </w:rPr>
          </w:pPr>
          <w:hyperlink w:anchor="_Toc10105038" w:history="1">
            <w:r w:rsidR="00225A5B" w:rsidRPr="00086D29">
              <w:rPr>
                <w:rStyle w:val="Hyperlink"/>
                <w:lang w:val="en-US"/>
              </w:rPr>
              <w:t>Article 3 Transmission reliability margin (TRM) calculation methodology</w:t>
            </w:r>
            <w:r w:rsidR="00225A5B">
              <w:rPr>
                <w:webHidden/>
              </w:rPr>
              <w:tab/>
            </w:r>
            <w:r w:rsidR="00225A5B">
              <w:rPr>
                <w:webHidden/>
              </w:rPr>
              <w:fldChar w:fldCharType="begin"/>
            </w:r>
            <w:r w:rsidR="00225A5B">
              <w:rPr>
                <w:webHidden/>
              </w:rPr>
              <w:instrText xml:space="preserve"> PAGEREF _Toc10105038 \h </w:instrText>
            </w:r>
            <w:r w:rsidR="00225A5B">
              <w:rPr>
                <w:webHidden/>
              </w:rPr>
            </w:r>
            <w:r w:rsidR="00225A5B">
              <w:rPr>
                <w:webHidden/>
              </w:rPr>
              <w:fldChar w:fldCharType="separate"/>
            </w:r>
            <w:r w:rsidR="00225A5B">
              <w:rPr>
                <w:webHidden/>
              </w:rPr>
              <w:t>5</w:t>
            </w:r>
            <w:r w:rsidR="00225A5B">
              <w:rPr>
                <w:webHidden/>
              </w:rPr>
              <w:fldChar w:fldCharType="end"/>
            </w:r>
          </w:hyperlink>
        </w:p>
        <w:p w:rsidR="00225A5B" w:rsidRDefault="00F8107D">
          <w:pPr>
            <w:pStyle w:val="TOC1"/>
            <w:rPr>
              <w:rFonts w:asciiTheme="minorHAnsi" w:eastAsiaTheme="minorEastAsia" w:hAnsiTheme="minorHAnsi" w:cstheme="minorBidi"/>
              <w:b w:val="0"/>
              <w:sz w:val="22"/>
              <w:lang w:val="pl-PL" w:eastAsia="pl-PL"/>
            </w:rPr>
          </w:pPr>
          <w:hyperlink w:anchor="_Toc10105039" w:history="1">
            <w:r w:rsidR="00225A5B" w:rsidRPr="00086D29">
              <w:rPr>
                <w:rStyle w:val="Hyperlink"/>
                <w:lang w:val="en-US"/>
              </w:rPr>
              <w:t xml:space="preserve">Article 4  Operational security limits and contingencies </w:t>
            </w:r>
            <w:r w:rsidR="00225A5B">
              <w:rPr>
                <w:webHidden/>
              </w:rPr>
              <w:tab/>
            </w:r>
            <w:r w:rsidR="00225A5B">
              <w:rPr>
                <w:webHidden/>
              </w:rPr>
              <w:fldChar w:fldCharType="begin"/>
            </w:r>
            <w:r w:rsidR="00225A5B">
              <w:rPr>
                <w:webHidden/>
              </w:rPr>
              <w:instrText xml:space="preserve"> PAGEREF _Toc10105039 \h </w:instrText>
            </w:r>
            <w:r w:rsidR="00225A5B">
              <w:rPr>
                <w:webHidden/>
              </w:rPr>
            </w:r>
            <w:r w:rsidR="00225A5B">
              <w:rPr>
                <w:webHidden/>
              </w:rPr>
              <w:fldChar w:fldCharType="separate"/>
            </w:r>
            <w:r w:rsidR="00225A5B">
              <w:rPr>
                <w:webHidden/>
              </w:rPr>
              <w:t>5</w:t>
            </w:r>
            <w:r w:rsidR="00225A5B">
              <w:rPr>
                <w:webHidden/>
              </w:rPr>
              <w:fldChar w:fldCharType="end"/>
            </w:r>
          </w:hyperlink>
        </w:p>
        <w:p w:rsidR="00225A5B" w:rsidRDefault="00F8107D">
          <w:pPr>
            <w:pStyle w:val="TOC1"/>
            <w:rPr>
              <w:rFonts w:asciiTheme="minorHAnsi" w:eastAsiaTheme="minorEastAsia" w:hAnsiTheme="minorHAnsi" w:cstheme="minorBidi"/>
              <w:b w:val="0"/>
              <w:sz w:val="22"/>
              <w:lang w:val="pl-PL" w:eastAsia="pl-PL"/>
            </w:rPr>
          </w:pPr>
          <w:hyperlink w:anchor="_Toc10105040" w:history="1">
            <w:r w:rsidR="00225A5B" w:rsidRPr="00086D29">
              <w:rPr>
                <w:rStyle w:val="Hyperlink"/>
                <w:lang w:val="en-US"/>
              </w:rPr>
              <w:t xml:space="preserve">Article 5 Generation and load shift keys </w:t>
            </w:r>
            <w:r w:rsidR="00225A5B" w:rsidRPr="00086D29">
              <w:rPr>
                <w:rStyle w:val="Hyperlink"/>
              </w:rPr>
              <w:t>(GSKs)</w:t>
            </w:r>
            <w:r w:rsidR="00225A5B">
              <w:rPr>
                <w:webHidden/>
              </w:rPr>
              <w:tab/>
            </w:r>
            <w:r w:rsidR="00225A5B">
              <w:rPr>
                <w:webHidden/>
              </w:rPr>
              <w:fldChar w:fldCharType="begin"/>
            </w:r>
            <w:r w:rsidR="00225A5B">
              <w:rPr>
                <w:webHidden/>
              </w:rPr>
              <w:instrText xml:space="preserve"> PAGEREF _Toc10105040 \h </w:instrText>
            </w:r>
            <w:r w:rsidR="00225A5B">
              <w:rPr>
                <w:webHidden/>
              </w:rPr>
            </w:r>
            <w:r w:rsidR="00225A5B">
              <w:rPr>
                <w:webHidden/>
              </w:rPr>
              <w:fldChar w:fldCharType="separate"/>
            </w:r>
            <w:r w:rsidR="00225A5B">
              <w:rPr>
                <w:webHidden/>
              </w:rPr>
              <w:t>6</w:t>
            </w:r>
            <w:r w:rsidR="00225A5B">
              <w:rPr>
                <w:webHidden/>
              </w:rPr>
              <w:fldChar w:fldCharType="end"/>
            </w:r>
          </w:hyperlink>
        </w:p>
        <w:p w:rsidR="00225A5B" w:rsidRDefault="00F8107D">
          <w:pPr>
            <w:pStyle w:val="TOC1"/>
            <w:rPr>
              <w:rFonts w:asciiTheme="minorHAnsi" w:eastAsiaTheme="minorEastAsia" w:hAnsiTheme="minorHAnsi" w:cstheme="minorBidi"/>
              <w:b w:val="0"/>
              <w:sz w:val="22"/>
              <w:lang w:val="pl-PL" w:eastAsia="pl-PL"/>
            </w:rPr>
          </w:pPr>
          <w:hyperlink w:anchor="_Toc10105041" w:history="1">
            <w:r w:rsidR="00225A5B" w:rsidRPr="00086D29">
              <w:rPr>
                <w:rStyle w:val="Hyperlink"/>
                <w:lang w:val="en-US"/>
              </w:rPr>
              <w:t xml:space="preserve">Article 6 Remedial actions </w:t>
            </w:r>
            <w:r w:rsidR="00225A5B" w:rsidRPr="00086D29">
              <w:rPr>
                <w:rStyle w:val="Hyperlink"/>
              </w:rPr>
              <w:t>(RAs)</w:t>
            </w:r>
            <w:r w:rsidR="00225A5B">
              <w:rPr>
                <w:webHidden/>
              </w:rPr>
              <w:tab/>
            </w:r>
            <w:r w:rsidR="00225A5B">
              <w:rPr>
                <w:webHidden/>
              </w:rPr>
              <w:fldChar w:fldCharType="begin"/>
            </w:r>
            <w:r w:rsidR="00225A5B">
              <w:rPr>
                <w:webHidden/>
              </w:rPr>
              <w:instrText xml:space="preserve"> PAGEREF _Toc10105041 \h </w:instrText>
            </w:r>
            <w:r w:rsidR="00225A5B">
              <w:rPr>
                <w:webHidden/>
              </w:rPr>
            </w:r>
            <w:r w:rsidR="00225A5B">
              <w:rPr>
                <w:webHidden/>
              </w:rPr>
              <w:fldChar w:fldCharType="separate"/>
            </w:r>
            <w:r w:rsidR="00225A5B">
              <w:rPr>
                <w:webHidden/>
              </w:rPr>
              <w:t>6</w:t>
            </w:r>
            <w:r w:rsidR="00225A5B">
              <w:rPr>
                <w:webHidden/>
              </w:rPr>
              <w:fldChar w:fldCharType="end"/>
            </w:r>
          </w:hyperlink>
        </w:p>
        <w:p w:rsidR="00225A5B" w:rsidRDefault="00F8107D">
          <w:pPr>
            <w:pStyle w:val="TOC1"/>
            <w:rPr>
              <w:rFonts w:asciiTheme="minorHAnsi" w:eastAsiaTheme="minorEastAsia" w:hAnsiTheme="minorHAnsi" w:cstheme="minorBidi"/>
              <w:b w:val="0"/>
              <w:sz w:val="22"/>
              <w:lang w:val="pl-PL" w:eastAsia="pl-PL"/>
            </w:rPr>
          </w:pPr>
          <w:hyperlink w:anchor="_Toc10105042" w:history="1">
            <w:r w:rsidR="00225A5B" w:rsidRPr="00086D29">
              <w:rPr>
                <w:rStyle w:val="Hyperlink"/>
                <w:lang w:val="en-US"/>
              </w:rPr>
              <w:t>Article 7 Common capacity calculation methodology for long-term time frames</w:t>
            </w:r>
            <w:r w:rsidR="00225A5B">
              <w:rPr>
                <w:webHidden/>
              </w:rPr>
              <w:tab/>
            </w:r>
            <w:r w:rsidR="00225A5B">
              <w:rPr>
                <w:webHidden/>
              </w:rPr>
              <w:fldChar w:fldCharType="begin"/>
            </w:r>
            <w:r w:rsidR="00225A5B">
              <w:rPr>
                <w:webHidden/>
              </w:rPr>
              <w:instrText xml:space="preserve"> PAGEREF _Toc10105042 \h </w:instrText>
            </w:r>
            <w:r w:rsidR="00225A5B">
              <w:rPr>
                <w:webHidden/>
              </w:rPr>
            </w:r>
            <w:r w:rsidR="00225A5B">
              <w:rPr>
                <w:webHidden/>
              </w:rPr>
              <w:fldChar w:fldCharType="separate"/>
            </w:r>
            <w:r w:rsidR="00225A5B">
              <w:rPr>
                <w:webHidden/>
              </w:rPr>
              <w:t>6</w:t>
            </w:r>
            <w:r w:rsidR="00225A5B">
              <w:rPr>
                <w:webHidden/>
              </w:rPr>
              <w:fldChar w:fldCharType="end"/>
            </w:r>
          </w:hyperlink>
        </w:p>
        <w:p w:rsidR="00225A5B" w:rsidRDefault="00F8107D">
          <w:pPr>
            <w:pStyle w:val="TOC1"/>
            <w:rPr>
              <w:rFonts w:asciiTheme="minorHAnsi" w:eastAsiaTheme="minorEastAsia" w:hAnsiTheme="minorHAnsi" w:cstheme="minorBidi"/>
              <w:b w:val="0"/>
              <w:sz w:val="22"/>
              <w:lang w:val="pl-PL" w:eastAsia="pl-PL"/>
            </w:rPr>
          </w:pPr>
          <w:hyperlink w:anchor="_Toc10105043" w:history="1">
            <w:r w:rsidR="00225A5B" w:rsidRPr="00086D29">
              <w:rPr>
                <w:rStyle w:val="Hyperlink"/>
                <w:lang w:val="en-US"/>
              </w:rPr>
              <w:t>Article 8 Cross-zonal capacity validation methodology</w:t>
            </w:r>
            <w:r w:rsidR="00225A5B">
              <w:rPr>
                <w:webHidden/>
              </w:rPr>
              <w:tab/>
            </w:r>
            <w:r w:rsidR="00225A5B">
              <w:rPr>
                <w:webHidden/>
              </w:rPr>
              <w:fldChar w:fldCharType="begin"/>
            </w:r>
            <w:r w:rsidR="00225A5B">
              <w:rPr>
                <w:webHidden/>
              </w:rPr>
              <w:instrText xml:space="preserve"> PAGEREF _Toc10105043 \h </w:instrText>
            </w:r>
            <w:r w:rsidR="00225A5B">
              <w:rPr>
                <w:webHidden/>
              </w:rPr>
            </w:r>
            <w:r w:rsidR="00225A5B">
              <w:rPr>
                <w:webHidden/>
              </w:rPr>
              <w:fldChar w:fldCharType="separate"/>
            </w:r>
            <w:r w:rsidR="00225A5B">
              <w:rPr>
                <w:webHidden/>
              </w:rPr>
              <w:t>11</w:t>
            </w:r>
            <w:r w:rsidR="00225A5B">
              <w:rPr>
                <w:webHidden/>
              </w:rPr>
              <w:fldChar w:fldCharType="end"/>
            </w:r>
          </w:hyperlink>
        </w:p>
        <w:p w:rsidR="00225A5B" w:rsidRDefault="00F8107D">
          <w:pPr>
            <w:pStyle w:val="TOC1"/>
            <w:rPr>
              <w:rFonts w:asciiTheme="minorHAnsi" w:eastAsiaTheme="minorEastAsia" w:hAnsiTheme="minorHAnsi" w:cstheme="minorBidi"/>
              <w:b w:val="0"/>
              <w:sz w:val="22"/>
              <w:lang w:val="pl-PL" w:eastAsia="pl-PL"/>
            </w:rPr>
          </w:pPr>
          <w:hyperlink w:anchor="_Toc10105044" w:history="1">
            <w:r w:rsidR="00225A5B" w:rsidRPr="00086D29">
              <w:rPr>
                <w:rStyle w:val="Hyperlink"/>
                <w:lang w:val="en-US"/>
              </w:rPr>
              <w:t>Article 9 Fallback procedure</w:t>
            </w:r>
            <w:r w:rsidR="00225A5B">
              <w:rPr>
                <w:webHidden/>
              </w:rPr>
              <w:tab/>
            </w:r>
            <w:r w:rsidR="00225A5B">
              <w:rPr>
                <w:webHidden/>
              </w:rPr>
              <w:fldChar w:fldCharType="begin"/>
            </w:r>
            <w:r w:rsidR="00225A5B">
              <w:rPr>
                <w:webHidden/>
              </w:rPr>
              <w:instrText xml:space="preserve"> PAGEREF _Toc10105044 \h </w:instrText>
            </w:r>
            <w:r w:rsidR="00225A5B">
              <w:rPr>
                <w:webHidden/>
              </w:rPr>
            </w:r>
            <w:r w:rsidR="00225A5B">
              <w:rPr>
                <w:webHidden/>
              </w:rPr>
              <w:fldChar w:fldCharType="separate"/>
            </w:r>
            <w:r w:rsidR="00225A5B">
              <w:rPr>
                <w:webHidden/>
              </w:rPr>
              <w:t>12</w:t>
            </w:r>
            <w:r w:rsidR="00225A5B">
              <w:rPr>
                <w:webHidden/>
              </w:rPr>
              <w:fldChar w:fldCharType="end"/>
            </w:r>
          </w:hyperlink>
        </w:p>
        <w:p w:rsidR="00225A5B" w:rsidRDefault="00F8107D">
          <w:pPr>
            <w:pStyle w:val="TOC1"/>
            <w:rPr>
              <w:rFonts w:asciiTheme="minorHAnsi" w:eastAsiaTheme="minorEastAsia" w:hAnsiTheme="minorHAnsi" w:cstheme="minorBidi"/>
              <w:b w:val="0"/>
              <w:sz w:val="22"/>
              <w:lang w:val="pl-PL" w:eastAsia="pl-PL"/>
            </w:rPr>
          </w:pPr>
          <w:hyperlink w:anchor="_Toc10105045" w:history="1">
            <w:r w:rsidR="00225A5B" w:rsidRPr="00086D29">
              <w:rPr>
                <w:rStyle w:val="Hyperlink"/>
                <w:lang w:val="en-US"/>
              </w:rPr>
              <w:t>Article 10 Publication of data</w:t>
            </w:r>
            <w:r w:rsidR="00225A5B">
              <w:rPr>
                <w:webHidden/>
              </w:rPr>
              <w:tab/>
            </w:r>
            <w:r w:rsidR="00225A5B">
              <w:rPr>
                <w:webHidden/>
              </w:rPr>
              <w:fldChar w:fldCharType="begin"/>
            </w:r>
            <w:r w:rsidR="00225A5B">
              <w:rPr>
                <w:webHidden/>
              </w:rPr>
              <w:instrText xml:space="preserve"> PAGEREF _Toc10105045 \h </w:instrText>
            </w:r>
            <w:r w:rsidR="00225A5B">
              <w:rPr>
                <w:webHidden/>
              </w:rPr>
            </w:r>
            <w:r w:rsidR="00225A5B">
              <w:rPr>
                <w:webHidden/>
              </w:rPr>
              <w:fldChar w:fldCharType="separate"/>
            </w:r>
            <w:r w:rsidR="00225A5B">
              <w:rPr>
                <w:webHidden/>
              </w:rPr>
              <w:t>12</w:t>
            </w:r>
            <w:r w:rsidR="00225A5B">
              <w:rPr>
                <w:webHidden/>
              </w:rPr>
              <w:fldChar w:fldCharType="end"/>
            </w:r>
          </w:hyperlink>
        </w:p>
        <w:p w:rsidR="00225A5B" w:rsidRDefault="00F8107D">
          <w:pPr>
            <w:pStyle w:val="TOC1"/>
            <w:rPr>
              <w:rFonts w:asciiTheme="minorHAnsi" w:eastAsiaTheme="minorEastAsia" w:hAnsiTheme="minorHAnsi" w:cstheme="minorBidi"/>
              <w:b w:val="0"/>
              <w:sz w:val="22"/>
              <w:lang w:val="pl-PL" w:eastAsia="pl-PL"/>
            </w:rPr>
          </w:pPr>
          <w:hyperlink w:anchor="_Toc10105046" w:history="1">
            <w:r w:rsidR="00225A5B" w:rsidRPr="00086D29">
              <w:rPr>
                <w:rStyle w:val="Hyperlink"/>
                <w:lang w:val="en-US"/>
              </w:rPr>
              <w:t>Article 11 Implementation of the Long-term CCM</w:t>
            </w:r>
            <w:r w:rsidR="00225A5B">
              <w:rPr>
                <w:webHidden/>
              </w:rPr>
              <w:tab/>
            </w:r>
            <w:r w:rsidR="00225A5B">
              <w:rPr>
                <w:webHidden/>
              </w:rPr>
              <w:fldChar w:fldCharType="begin"/>
            </w:r>
            <w:r w:rsidR="00225A5B">
              <w:rPr>
                <w:webHidden/>
              </w:rPr>
              <w:instrText xml:space="preserve"> PAGEREF _Toc10105046 \h </w:instrText>
            </w:r>
            <w:r w:rsidR="00225A5B">
              <w:rPr>
                <w:webHidden/>
              </w:rPr>
            </w:r>
            <w:r w:rsidR="00225A5B">
              <w:rPr>
                <w:webHidden/>
              </w:rPr>
              <w:fldChar w:fldCharType="separate"/>
            </w:r>
            <w:r w:rsidR="00225A5B">
              <w:rPr>
                <w:webHidden/>
              </w:rPr>
              <w:t>12</w:t>
            </w:r>
            <w:r w:rsidR="00225A5B">
              <w:rPr>
                <w:webHidden/>
              </w:rPr>
              <w:fldChar w:fldCharType="end"/>
            </w:r>
          </w:hyperlink>
        </w:p>
        <w:p w:rsidR="00225A5B" w:rsidRDefault="00F8107D">
          <w:pPr>
            <w:pStyle w:val="TOC1"/>
            <w:rPr>
              <w:rFonts w:asciiTheme="minorHAnsi" w:eastAsiaTheme="minorEastAsia" w:hAnsiTheme="minorHAnsi" w:cstheme="minorBidi"/>
              <w:b w:val="0"/>
              <w:sz w:val="22"/>
              <w:lang w:val="pl-PL" w:eastAsia="pl-PL"/>
            </w:rPr>
          </w:pPr>
          <w:hyperlink w:anchor="_Toc10105047" w:history="1">
            <w:r w:rsidR="00225A5B" w:rsidRPr="00086D29">
              <w:rPr>
                <w:rStyle w:val="Hyperlink"/>
                <w:lang w:val="en-US"/>
              </w:rPr>
              <w:t>Article 12 Language</w:t>
            </w:r>
            <w:r w:rsidR="00225A5B">
              <w:rPr>
                <w:webHidden/>
              </w:rPr>
              <w:tab/>
            </w:r>
            <w:r w:rsidR="00225A5B">
              <w:rPr>
                <w:webHidden/>
              </w:rPr>
              <w:fldChar w:fldCharType="begin"/>
            </w:r>
            <w:r w:rsidR="00225A5B">
              <w:rPr>
                <w:webHidden/>
              </w:rPr>
              <w:instrText xml:space="preserve"> PAGEREF _Toc10105047 \h </w:instrText>
            </w:r>
            <w:r w:rsidR="00225A5B">
              <w:rPr>
                <w:webHidden/>
              </w:rPr>
            </w:r>
            <w:r w:rsidR="00225A5B">
              <w:rPr>
                <w:webHidden/>
              </w:rPr>
              <w:fldChar w:fldCharType="separate"/>
            </w:r>
            <w:r w:rsidR="00225A5B">
              <w:rPr>
                <w:webHidden/>
              </w:rPr>
              <w:t>12</w:t>
            </w:r>
            <w:r w:rsidR="00225A5B">
              <w:rPr>
                <w:webHidden/>
              </w:rPr>
              <w:fldChar w:fldCharType="end"/>
            </w:r>
          </w:hyperlink>
        </w:p>
        <w:p w:rsidR="003D52DD" w:rsidRPr="000F6BA0" w:rsidRDefault="003D52DD" w:rsidP="003D52DD">
          <w:pPr>
            <w:rPr>
              <w:lang w:val="en-US"/>
            </w:rPr>
          </w:pPr>
          <w:r w:rsidRPr="000F6BA0">
            <w:rPr>
              <w:rFonts w:cs="Times New Roman"/>
              <w:b/>
              <w:bCs/>
              <w:lang w:val="en-US"/>
            </w:rPr>
            <w:fldChar w:fldCharType="end"/>
          </w:r>
        </w:p>
      </w:sdtContent>
    </w:sdt>
    <w:p w:rsidR="003D52DD" w:rsidRPr="000F6BA0" w:rsidRDefault="003D52DD" w:rsidP="003D52DD">
      <w:pPr>
        <w:spacing w:after="120"/>
        <w:jc w:val="center"/>
        <w:outlineLvl w:val="1"/>
        <w:rPr>
          <w:rFonts w:cstheme="majorHAnsi"/>
          <w:b/>
          <w:sz w:val="28"/>
          <w:szCs w:val="28"/>
          <w:lang w:val="en-US"/>
        </w:rPr>
      </w:pPr>
    </w:p>
    <w:p w:rsidR="003D52DD" w:rsidRPr="000F6BA0" w:rsidRDefault="003D52DD" w:rsidP="003D52DD">
      <w:pPr>
        <w:spacing w:after="120"/>
        <w:jc w:val="center"/>
        <w:outlineLvl w:val="1"/>
        <w:rPr>
          <w:rFonts w:cstheme="majorHAnsi"/>
          <w:b/>
          <w:sz w:val="28"/>
          <w:szCs w:val="28"/>
          <w:lang w:val="en-US"/>
        </w:rPr>
      </w:pPr>
    </w:p>
    <w:p w:rsidR="003D52DD" w:rsidRPr="000F6BA0" w:rsidRDefault="003D52DD" w:rsidP="003D52DD">
      <w:pPr>
        <w:spacing w:after="120"/>
        <w:jc w:val="center"/>
        <w:outlineLvl w:val="1"/>
        <w:rPr>
          <w:rFonts w:cstheme="majorHAnsi"/>
          <w:b/>
          <w:sz w:val="28"/>
          <w:szCs w:val="28"/>
          <w:lang w:val="en-US"/>
        </w:rPr>
      </w:pPr>
    </w:p>
    <w:p w:rsidR="003D52DD" w:rsidRPr="000F6BA0" w:rsidRDefault="003D52DD" w:rsidP="003D52DD">
      <w:pPr>
        <w:rPr>
          <w:rFonts w:cstheme="majorHAnsi"/>
          <w:b/>
          <w:sz w:val="28"/>
          <w:szCs w:val="28"/>
          <w:lang w:val="en-US"/>
        </w:rPr>
      </w:pPr>
      <w:r w:rsidRPr="000F6BA0">
        <w:rPr>
          <w:sz w:val="28"/>
          <w:szCs w:val="28"/>
          <w:lang w:val="en-US"/>
        </w:rPr>
        <w:br w:type="page"/>
      </w:r>
    </w:p>
    <w:p w:rsidR="003D52DD" w:rsidRPr="000F6BA0" w:rsidRDefault="003D52DD" w:rsidP="003D52DD">
      <w:pPr>
        <w:rPr>
          <w:rFonts w:cs="Times New Roman"/>
          <w:lang w:val="en-US"/>
        </w:rPr>
      </w:pPr>
      <w:r w:rsidRPr="000F6BA0">
        <w:rPr>
          <w:rFonts w:cs="Times New Roman"/>
          <w:lang w:val="en-US"/>
        </w:rPr>
        <w:lastRenderedPageBreak/>
        <w:t>All Baltic CCR TSOs, taking into account the following,</w:t>
      </w:r>
    </w:p>
    <w:p w:rsidR="003D52DD" w:rsidRPr="000F6BA0" w:rsidRDefault="003D52DD" w:rsidP="003D52DD">
      <w:pPr>
        <w:spacing w:before="400" w:line="340" w:lineRule="exact"/>
        <w:jc w:val="center"/>
        <w:outlineLvl w:val="0"/>
        <w:rPr>
          <w:rFonts w:cs="Times New Roman"/>
          <w:b/>
          <w:lang w:val="en-US"/>
        </w:rPr>
      </w:pPr>
      <w:bookmarkStart w:id="14" w:name="_Toc432586767"/>
      <w:bookmarkStart w:id="15" w:name="_Toc432586787"/>
      <w:bookmarkStart w:id="16" w:name="_Toc464485816"/>
      <w:bookmarkStart w:id="17" w:name="_Toc474830498"/>
      <w:bookmarkStart w:id="18" w:name="_Toc10105035"/>
      <w:r w:rsidRPr="000F6BA0">
        <w:rPr>
          <w:rFonts w:cs="Times New Roman"/>
          <w:b/>
          <w:lang w:val="en-US"/>
        </w:rPr>
        <w:t>Whereas</w:t>
      </w:r>
      <w:bookmarkEnd w:id="14"/>
      <w:bookmarkEnd w:id="15"/>
      <w:bookmarkEnd w:id="16"/>
      <w:bookmarkEnd w:id="17"/>
      <w:bookmarkEnd w:id="18"/>
    </w:p>
    <w:p w:rsidR="003D52DD" w:rsidRPr="000F6BA0" w:rsidRDefault="003D52DD" w:rsidP="001F6149">
      <w:pPr>
        <w:numPr>
          <w:ilvl w:val="0"/>
          <w:numId w:val="3"/>
        </w:numPr>
        <w:spacing w:after="120" w:line="259" w:lineRule="auto"/>
        <w:contextualSpacing/>
        <w:rPr>
          <w:rFonts w:cs="Times New Roman"/>
          <w:lang w:val="en-US"/>
        </w:rPr>
      </w:pPr>
      <w:r w:rsidRPr="000F6BA0">
        <w:rPr>
          <w:rFonts w:cs="Times New Roman"/>
          <w:lang w:val="en-US"/>
        </w:rPr>
        <w:t xml:space="preserve">This document is developed by Baltic Capacity Calculation region (hereafter referred to as “Baltic CCR”) Transmission System Operators (hereafter referred to as “TSOs”) </w:t>
      </w:r>
      <w:r w:rsidR="002C0D6B" w:rsidRPr="000F6BA0">
        <w:rPr>
          <w:rFonts w:cs="Times New Roman"/>
          <w:lang w:val="en-US"/>
        </w:rPr>
        <w:t xml:space="preserve">as </w:t>
      </w:r>
      <w:r w:rsidR="001F6149" w:rsidRPr="000F6BA0">
        <w:rPr>
          <w:rFonts w:cs="Times New Roman"/>
          <w:lang w:val="en-US"/>
        </w:rPr>
        <w:t xml:space="preserve">common Capacity Calculation Methodology for Long-Term time frames </w:t>
      </w:r>
      <w:r w:rsidRPr="000F6BA0">
        <w:rPr>
          <w:rFonts w:cs="Times New Roman"/>
          <w:lang w:val="en-US"/>
        </w:rPr>
        <w:t>(hereafter referred to as “</w:t>
      </w:r>
      <w:r w:rsidR="001F6149" w:rsidRPr="000F6BA0">
        <w:rPr>
          <w:rFonts w:cs="Times New Roman"/>
          <w:lang w:val="en-US"/>
        </w:rPr>
        <w:t>L</w:t>
      </w:r>
      <w:r w:rsidR="00285B9D" w:rsidRPr="000F6BA0">
        <w:rPr>
          <w:rFonts w:cs="Times New Roman"/>
          <w:lang w:val="en-US"/>
        </w:rPr>
        <w:t>ong-term</w:t>
      </w:r>
      <w:r w:rsidR="001F6149" w:rsidRPr="000F6BA0">
        <w:rPr>
          <w:rFonts w:cs="Times New Roman"/>
          <w:lang w:val="en-US"/>
        </w:rPr>
        <w:t xml:space="preserve"> CCM</w:t>
      </w:r>
      <w:r w:rsidRPr="000F6BA0">
        <w:rPr>
          <w:rFonts w:cs="Times New Roman"/>
          <w:lang w:val="en-US"/>
        </w:rPr>
        <w:t xml:space="preserve">”) in accordance with Article </w:t>
      </w:r>
      <w:r w:rsidR="001F6149" w:rsidRPr="000F6BA0">
        <w:rPr>
          <w:rFonts w:cs="Times New Roman"/>
          <w:lang w:val="en-US"/>
        </w:rPr>
        <w:t>10</w:t>
      </w:r>
      <w:r w:rsidR="004718FB" w:rsidRPr="000F6BA0">
        <w:rPr>
          <w:rFonts w:cs="Times New Roman"/>
          <w:lang w:val="en-US"/>
        </w:rPr>
        <w:t>(1)</w:t>
      </w:r>
      <w:r w:rsidRPr="000F6BA0">
        <w:rPr>
          <w:rFonts w:cs="Times New Roman"/>
          <w:lang w:val="en-US"/>
        </w:rPr>
        <w:t xml:space="preserve"> of Commission Regulation (EU) 20</w:t>
      </w:r>
      <w:r w:rsidR="001F6149" w:rsidRPr="000F6BA0">
        <w:rPr>
          <w:rFonts w:cs="Times New Roman"/>
          <w:lang w:val="en-US"/>
        </w:rPr>
        <w:t>16</w:t>
      </w:r>
      <w:r w:rsidRPr="000F6BA0">
        <w:rPr>
          <w:rFonts w:cs="Times New Roman"/>
          <w:lang w:val="en-US"/>
        </w:rPr>
        <w:t>/1</w:t>
      </w:r>
      <w:r w:rsidR="001F6149" w:rsidRPr="000F6BA0">
        <w:rPr>
          <w:rFonts w:cs="Times New Roman"/>
          <w:lang w:val="en-US"/>
        </w:rPr>
        <w:t>719</w:t>
      </w:r>
      <w:r w:rsidRPr="000F6BA0">
        <w:rPr>
          <w:rFonts w:cs="Times New Roman"/>
          <w:lang w:val="en-US"/>
        </w:rPr>
        <w:t xml:space="preserve"> establishing a guideline on </w:t>
      </w:r>
      <w:r w:rsidR="001F6149" w:rsidRPr="000F6BA0">
        <w:rPr>
          <w:rFonts w:cs="Times New Roman"/>
          <w:lang w:val="en-US"/>
        </w:rPr>
        <w:t>forward capacity allocation</w:t>
      </w:r>
      <w:r w:rsidRPr="000F6BA0">
        <w:rPr>
          <w:rFonts w:cs="Times New Roman"/>
          <w:lang w:val="en-US"/>
        </w:rPr>
        <w:t xml:space="preserve"> (hereafter referred to as the “</w:t>
      </w:r>
      <w:r w:rsidR="001F6149" w:rsidRPr="000F6BA0">
        <w:rPr>
          <w:rFonts w:cs="Times New Roman"/>
          <w:lang w:val="en-US"/>
        </w:rPr>
        <w:t>FCA</w:t>
      </w:r>
      <w:r w:rsidRPr="000F6BA0">
        <w:rPr>
          <w:rFonts w:cs="Times New Roman"/>
          <w:lang w:val="en-US"/>
        </w:rPr>
        <w:t xml:space="preserve"> Regulation”). </w:t>
      </w:r>
    </w:p>
    <w:p w:rsidR="000E695C" w:rsidRPr="000F6BA0" w:rsidRDefault="000E695C" w:rsidP="00E5214D">
      <w:pPr>
        <w:numPr>
          <w:ilvl w:val="0"/>
          <w:numId w:val="3"/>
        </w:numPr>
        <w:spacing w:after="120" w:line="259" w:lineRule="auto"/>
        <w:contextualSpacing/>
        <w:rPr>
          <w:rFonts w:cs="Times New Roman"/>
          <w:lang w:val="en-US"/>
        </w:rPr>
      </w:pPr>
      <w:r w:rsidRPr="000F6BA0">
        <w:rPr>
          <w:rFonts w:cs="Times New Roman"/>
          <w:lang w:val="en-US"/>
        </w:rPr>
        <w:t xml:space="preserve">The Long-term CCM shall be compatible </w:t>
      </w:r>
      <w:r w:rsidR="00390768" w:rsidRPr="000F6BA0">
        <w:rPr>
          <w:rFonts w:cs="Times New Roman"/>
          <w:lang w:val="en-US"/>
        </w:rPr>
        <w:t>with the capacity calculation methodology established for the day-ahead and intraday time frames</w:t>
      </w:r>
      <w:r w:rsidRPr="000F6BA0">
        <w:rPr>
          <w:rFonts w:cs="Times New Roman"/>
          <w:lang w:val="en-US"/>
        </w:rPr>
        <w:t xml:space="preserve"> according to Article 10(</w:t>
      </w:r>
      <w:r w:rsidR="00390768" w:rsidRPr="000F6BA0">
        <w:rPr>
          <w:rFonts w:cs="Times New Roman"/>
          <w:lang w:val="en-US"/>
        </w:rPr>
        <w:t>3</w:t>
      </w:r>
      <w:r w:rsidRPr="000F6BA0">
        <w:rPr>
          <w:rFonts w:cs="Times New Roman"/>
          <w:lang w:val="en-US"/>
        </w:rPr>
        <w:t>) of FCA Regulation.</w:t>
      </w:r>
    </w:p>
    <w:p w:rsidR="00B5458F" w:rsidRPr="000F6BA0" w:rsidRDefault="003D52DD" w:rsidP="00E5214D">
      <w:pPr>
        <w:numPr>
          <w:ilvl w:val="0"/>
          <w:numId w:val="3"/>
        </w:numPr>
        <w:spacing w:after="120" w:line="259" w:lineRule="auto"/>
        <w:contextualSpacing/>
        <w:rPr>
          <w:rFonts w:cs="Times New Roman"/>
          <w:lang w:val="en-US"/>
        </w:rPr>
      </w:pPr>
      <w:r w:rsidRPr="000F6BA0">
        <w:rPr>
          <w:rFonts w:cs="Times New Roman"/>
          <w:lang w:val="en-US"/>
        </w:rPr>
        <w:t xml:space="preserve">In accordance with Article </w:t>
      </w:r>
      <w:r w:rsidR="00D11E9F" w:rsidRPr="000F6BA0">
        <w:rPr>
          <w:rFonts w:cs="Times New Roman"/>
          <w:lang w:val="en-US"/>
        </w:rPr>
        <w:t>4</w:t>
      </w:r>
      <w:r w:rsidRPr="000F6BA0">
        <w:rPr>
          <w:rFonts w:cs="Times New Roman"/>
          <w:lang w:val="en-US"/>
        </w:rPr>
        <w:t>(</w:t>
      </w:r>
      <w:r w:rsidR="00D11E9F" w:rsidRPr="000F6BA0">
        <w:rPr>
          <w:rFonts w:cs="Times New Roman"/>
          <w:lang w:val="en-US"/>
        </w:rPr>
        <w:t>8</w:t>
      </w:r>
      <w:r w:rsidRPr="000F6BA0">
        <w:rPr>
          <w:rFonts w:cs="Times New Roman"/>
          <w:lang w:val="en-US"/>
        </w:rPr>
        <w:t xml:space="preserve">) of the </w:t>
      </w:r>
      <w:r w:rsidR="00D11E9F" w:rsidRPr="000F6BA0">
        <w:rPr>
          <w:rFonts w:cs="Times New Roman"/>
          <w:lang w:val="en-US"/>
        </w:rPr>
        <w:t>FCA</w:t>
      </w:r>
      <w:r w:rsidRPr="000F6BA0">
        <w:rPr>
          <w:rFonts w:cs="Times New Roman"/>
          <w:lang w:val="en-US"/>
        </w:rPr>
        <w:t xml:space="preserve"> Regulation, the proposed </w:t>
      </w:r>
      <w:r w:rsidR="00D11E9F" w:rsidRPr="000F6BA0">
        <w:rPr>
          <w:rFonts w:cs="Times New Roman"/>
          <w:lang w:val="en-US"/>
        </w:rPr>
        <w:t>L</w:t>
      </w:r>
      <w:r w:rsidR="00285B9D" w:rsidRPr="000F6BA0">
        <w:rPr>
          <w:rFonts w:cs="Times New Roman"/>
          <w:lang w:val="en-US"/>
        </w:rPr>
        <w:t>ong-term</w:t>
      </w:r>
      <w:r w:rsidR="00AA4B35" w:rsidRPr="000F6BA0">
        <w:rPr>
          <w:rFonts w:cs="Times New Roman"/>
          <w:lang w:val="en-US"/>
        </w:rPr>
        <w:t xml:space="preserve"> </w:t>
      </w:r>
      <w:r w:rsidR="00D11E9F" w:rsidRPr="000F6BA0">
        <w:rPr>
          <w:rFonts w:cs="Times New Roman"/>
          <w:lang w:val="en-US"/>
        </w:rPr>
        <w:t>CCM</w:t>
      </w:r>
      <w:r w:rsidRPr="000F6BA0">
        <w:rPr>
          <w:rFonts w:cs="Times New Roman"/>
          <w:lang w:val="en-US"/>
        </w:rPr>
        <w:t xml:space="preserve"> across the Baltic CCR </w:t>
      </w:r>
      <w:r w:rsidR="00E5214D" w:rsidRPr="000F6BA0">
        <w:rPr>
          <w:rFonts w:cs="Times New Roman"/>
          <w:lang w:val="en-US"/>
        </w:rPr>
        <w:t>is</w:t>
      </w:r>
      <w:r w:rsidR="00B5458F" w:rsidRPr="000F6BA0">
        <w:rPr>
          <w:rFonts w:cs="Times New Roman"/>
          <w:lang w:val="en-US"/>
        </w:rPr>
        <w:t>:</w:t>
      </w:r>
      <w:r w:rsidR="00E5214D" w:rsidRPr="000F6BA0">
        <w:rPr>
          <w:rFonts w:cs="Times New Roman"/>
          <w:lang w:val="en-US"/>
        </w:rPr>
        <w:t xml:space="preserve"> </w:t>
      </w:r>
    </w:p>
    <w:p w:rsidR="00B5458F" w:rsidRPr="000F6BA0" w:rsidRDefault="00E5214D" w:rsidP="007768C5">
      <w:pPr>
        <w:numPr>
          <w:ilvl w:val="0"/>
          <w:numId w:val="30"/>
        </w:numPr>
        <w:spacing w:after="120" w:line="259" w:lineRule="auto"/>
        <w:ind w:left="1276" w:hanging="283"/>
        <w:contextualSpacing/>
        <w:rPr>
          <w:rFonts w:cs="Times New Roman"/>
          <w:lang w:val="en-US"/>
        </w:rPr>
      </w:pPr>
      <w:r w:rsidRPr="000F6BA0">
        <w:rPr>
          <w:rFonts w:cs="Times New Roman"/>
          <w:lang w:val="en-US"/>
        </w:rPr>
        <w:t xml:space="preserve">promoting effective long-term cross-zonal trade with long-term cross-zonal hedging opportunities for market participants, </w:t>
      </w:r>
    </w:p>
    <w:p w:rsidR="00B5458F" w:rsidRPr="000F6BA0" w:rsidRDefault="00E5214D" w:rsidP="007768C5">
      <w:pPr>
        <w:numPr>
          <w:ilvl w:val="0"/>
          <w:numId w:val="30"/>
        </w:numPr>
        <w:spacing w:after="120" w:line="259" w:lineRule="auto"/>
        <w:ind w:left="1276" w:hanging="283"/>
        <w:contextualSpacing/>
        <w:rPr>
          <w:rFonts w:cs="Times New Roman"/>
          <w:lang w:val="en-US"/>
        </w:rPr>
      </w:pPr>
      <w:r w:rsidRPr="000F6BA0">
        <w:rPr>
          <w:rFonts w:cs="Times New Roman"/>
          <w:lang w:val="en-US"/>
        </w:rPr>
        <w:t xml:space="preserve">providing non-discriminatory access to long-term cross-zonal capacity, </w:t>
      </w:r>
    </w:p>
    <w:p w:rsidR="00B5458F" w:rsidRPr="000F6BA0" w:rsidRDefault="00E5214D" w:rsidP="007768C5">
      <w:pPr>
        <w:numPr>
          <w:ilvl w:val="0"/>
          <w:numId w:val="30"/>
        </w:numPr>
        <w:spacing w:after="120" w:line="259" w:lineRule="auto"/>
        <w:ind w:left="1276" w:hanging="283"/>
        <w:contextualSpacing/>
        <w:rPr>
          <w:rFonts w:cs="Times New Roman"/>
          <w:lang w:val="en-US"/>
        </w:rPr>
      </w:pPr>
      <w:r w:rsidRPr="000F6BA0">
        <w:rPr>
          <w:rFonts w:cs="Times New Roman"/>
          <w:lang w:val="en-US"/>
        </w:rPr>
        <w:t>ensuring fair and non-discriminatory treatment of TSOs, the Agency, regulatory authorities and market participants</w:t>
      </w:r>
      <w:r w:rsidR="007E7B5B" w:rsidRPr="000F6BA0">
        <w:rPr>
          <w:rFonts w:cs="Times New Roman"/>
          <w:lang w:val="en-US"/>
        </w:rPr>
        <w:t xml:space="preserve">, </w:t>
      </w:r>
    </w:p>
    <w:p w:rsidR="00B5458F" w:rsidRPr="000F6BA0" w:rsidRDefault="007E7B5B" w:rsidP="007768C5">
      <w:pPr>
        <w:numPr>
          <w:ilvl w:val="0"/>
          <w:numId w:val="30"/>
        </w:numPr>
        <w:spacing w:after="120" w:line="259" w:lineRule="auto"/>
        <w:ind w:left="1276" w:hanging="283"/>
        <w:contextualSpacing/>
        <w:rPr>
          <w:rFonts w:cs="Times New Roman"/>
          <w:lang w:val="en-US"/>
        </w:rPr>
      </w:pPr>
      <w:r w:rsidRPr="000F6BA0">
        <w:rPr>
          <w:rFonts w:cs="Times New Roman"/>
          <w:lang w:val="en-US"/>
        </w:rPr>
        <w:t xml:space="preserve">respecting the need for a fair and orderly forward capacity allocation and orderly price formation, </w:t>
      </w:r>
    </w:p>
    <w:p w:rsidR="00E5214D" w:rsidRPr="000F6BA0" w:rsidRDefault="00ED25D5" w:rsidP="007768C5">
      <w:pPr>
        <w:spacing w:after="120" w:line="259" w:lineRule="auto"/>
        <w:ind w:left="1134"/>
        <w:contextualSpacing/>
        <w:rPr>
          <w:rFonts w:cs="Times New Roman"/>
          <w:lang w:val="en-US"/>
        </w:rPr>
      </w:pPr>
      <w:r w:rsidRPr="000F6BA0">
        <w:rPr>
          <w:rFonts w:cs="Times New Roman"/>
          <w:lang w:val="en-US"/>
        </w:rPr>
        <w:t>a</w:t>
      </w:r>
      <w:r w:rsidR="00E5214D" w:rsidRPr="000F6BA0">
        <w:rPr>
          <w:rFonts w:cs="Times New Roman"/>
          <w:lang w:val="en-US"/>
        </w:rPr>
        <w:t>s methodology foresees long-term capacity calculation</w:t>
      </w:r>
      <w:r w:rsidR="007E7B5B" w:rsidRPr="000F6BA0">
        <w:rPr>
          <w:rFonts w:cs="Times New Roman"/>
          <w:lang w:val="en-US"/>
        </w:rPr>
        <w:t xml:space="preserve"> without setting limitations to dates of auctions</w:t>
      </w:r>
      <w:r w:rsidR="00294E93" w:rsidRPr="000F6BA0">
        <w:rPr>
          <w:rFonts w:cs="Times New Roman"/>
          <w:lang w:val="en-US"/>
        </w:rPr>
        <w:t xml:space="preserve"> and </w:t>
      </w:r>
      <w:r w:rsidR="007E7B5B" w:rsidRPr="000F6BA0">
        <w:rPr>
          <w:rFonts w:cs="Times New Roman"/>
          <w:lang w:val="en-US"/>
        </w:rPr>
        <w:t>without introduction of any limita</w:t>
      </w:r>
      <w:r w:rsidR="0000653B" w:rsidRPr="000F6BA0">
        <w:rPr>
          <w:rFonts w:cs="Times New Roman"/>
          <w:lang w:val="en-US"/>
        </w:rPr>
        <w:t>tions for auction participants.</w:t>
      </w:r>
    </w:p>
    <w:p w:rsidR="004718FB" w:rsidRPr="000F6BA0" w:rsidRDefault="004718FB" w:rsidP="0064032A">
      <w:pPr>
        <w:numPr>
          <w:ilvl w:val="0"/>
          <w:numId w:val="3"/>
        </w:numPr>
        <w:spacing w:line="259" w:lineRule="auto"/>
        <w:ind w:left="1066" w:hanging="357"/>
        <w:contextualSpacing/>
        <w:rPr>
          <w:lang w:val="en-US"/>
        </w:rPr>
      </w:pPr>
      <w:r w:rsidRPr="000F6BA0">
        <w:rPr>
          <w:rFonts w:cs="Times New Roman"/>
          <w:lang w:val="en-US"/>
        </w:rPr>
        <w:t xml:space="preserve">The goal of the FCA Regulation is the coordination and </w:t>
      </w:r>
      <w:proofErr w:type="spellStart"/>
      <w:r w:rsidRPr="000F6BA0">
        <w:rPr>
          <w:rFonts w:cs="Times New Roman"/>
          <w:lang w:val="en-US"/>
        </w:rPr>
        <w:t>harmonisation</w:t>
      </w:r>
      <w:proofErr w:type="spellEnd"/>
      <w:r w:rsidRPr="000F6BA0">
        <w:rPr>
          <w:rFonts w:cs="Times New Roman"/>
          <w:lang w:val="en-US"/>
        </w:rPr>
        <w:t xml:space="preserve"> of </w:t>
      </w:r>
      <w:r w:rsidR="000E695C" w:rsidRPr="000F6BA0">
        <w:rPr>
          <w:rFonts w:cs="Times New Roman"/>
          <w:lang w:val="en-US"/>
        </w:rPr>
        <w:t xml:space="preserve">forecasted </w:t>
      </w:r>
      <w:r w:rsidRPr="000F6BA0">
        <w:rPr>
          <w:rFonts w:cs="Times New Roman"/>
          <w:lang w:val="en-US"/>
        </w:rPr>
        <w:t>cross-zonal capacity</w:t>
      </w:r>
      <w:r w:rsidRPr="000F6BA0">
        <w:rPr>
          <w:lang w:val="en-US"/>
        </w:rPr>
        <w:t xml:space="preserve"> calculation and capacity allocation in the forward markets</w:t>
      </w:r>
      <w:r w:rsidR="00C46946" w:rsidRPr="000F6BA0">
        <w:rPr>
          <w:lang w:val="en-US"/>
        </w:rPr>
        <w:t>.</w:t>
      </w:r>
      <w:r w:rsidRPr="000F6BA0">
        <w:rPr>
          <w:lang w:val="en-US"/>
        </w:rPr>
        <w:t xml:space="preserve"> </w:t>
      </w:r>
      <w:r w:rsidR="00C46946" w:rsidRPr="000F6BA0">
        <w:rPr>
          <w:lang w:val="en-US"/>
        </w:rPr>
        <w:t xml:space="preserve">Moreover, the </w:t>
      </w:r>
      <w:r w:rsidRPr="000F6BA0">
        <w:rPr>
          <w:lang w:val="en-US"/>
        </w:rPr>
        <w:t xml:space="preserve">requirements </w:t>
      </w:r>
      <w:r w:rsidR="00C46946" w:rsidRPr="000F6BA0">
        <w:rPr>
          <w:lang w:val="en-US"/>
        </w:rPr>
        <w:t xml:space="preserve">are set </w:t>
      </w:r>
      <w:r w:rsidRPr="000F6BA0">
        <w:rPr>
          <w:lang w:val="en-US"/>
        </w:rPr>
        <w:t xml:space="preserve">for the TSOs to cooperate on the level of capacity calculation regions (hereinafter referred to as “CCRs”), on a pan-European level and across bidding zone borders. The </w:t>
      </w:r>
      <w:r w:rsidR="00434665" w:rsidRPr="000F6BA0">
        <w:rPr>
          <w:lang w:val="en-US"/>
        </w:rPr>
        <w:t xml:space="preserve">Article 10(2) of </w:t>
      </w:r>
      <w:r w:rsidRPr="000F6BA0">
        <w:rPr>
          <w:lang w:val="en-US"/>
        </w:rPr>
        <w:t xml:space="preserve">FCA Regulation also sets rules for establishing capacity calculation methodologies based either on the coordinated net transmission capacity approach (hereafter referred to as “CNTC approach”) or on the flow-based approach (hereafter referred to as “FB approach”). </w:t>
      </w:r>
    </w:p>
    <w:p w:rsidR="004718FB" w:rsidRPr="000F6BA0" w:rsidRDefault="004718FB" w:rsidP="0064032A">
      <w:pPr>
        <w:pStyle w:val="ListParagraph"/>
        <w:numPr>
          <w:ilvl w:val="0"/>
          <w:numId w:val="3"/>
        </w:numPr>
        <w:ind w:left="1066" w:hanging="357"/>
        <w:jc w:val="both"/>
        <w:rPr>
          <w:b w:val="0"/>
          <w:lang w:val="en-US"/>
        </w:rPr>
      </w:pPr>
      <w:r w:rsidRPr="000F6BA0">
        <w:rPr>
          <w:b w:val="0"/>
          <w:lang w:val="en-US"/>
        </w:rPr>
        <w:t>The objective of providing L</w:t>
      </w:r>
      <w:r w:rsidR="00285B9D" w:rsidRPr="000F6BA0">
        <w:rPr>
          <w:b w:val="0"/>
          <w:lang w:val="en-US"/>
        </w:rPr>
        <w:t>ong-term</w:t>
      </w:r>
      <w:r w:rsidRPr="000F6BA0">
        <w:rPr>
          <w:b w:val="0"/>
          <w:lang w:val="en-US"/>
        </w:rPr>
        <w:t xml:space="preserve"> CCM is two-fold. Firstly, market participants in the power market aim at forecasting future </w:t>
      </w:r>
      <w:r w:rsidR="008B484A">
        <w:rPr>
          <w:b w:val="0"/>
          <w:lang w:val="en-US"/>
        </w:rPr>
        <w:t xml:space="preserve">day-ahead </w:t>
      </w:r>
      <w:r w:rsidRPr="000F6BA0">
        <w:rPr>
          <w:b w:val="0"/>
          <w:lang w:val="en-US"/>
        </w:rPr>
        <w:t xml:space="preserve">pricing of the different bidding zones, acting as an input to the strategies for operation and investment decisions. The goal of </w:t>
      </w:r>
      <w:r w:rsidR="00285B9D" w:rsidRPr="000F6BA0">
        <w:rPr>
          <w:b w:val="0"/>
          <w:lang w:val="en-US"/>
        </w:rPr>
        <w:t xml:space="preserve">Long-term </w:t>
      </w:r>
      <w:r w:rsidRPr="000F6BA0">
        <w:rPr>
          <w:b w:val="0"/>
          <w:lang w:val="en-US"/>
        </w:rPr>
        <w:t xml:space="preserve">CCM is to provide the market participants with the information of expected capacity between bidding zones, as this information has an impact on demand and supply of electricity and hence the </w:t>
      </w:r>
      <w:r w:rsidR="008B484A">
        <w:rPr>
          <w:b w:val="0"/>
          <w:lang w:val="en-US"/>
        </w:rPr>
        <w:t>day-ahead</w:t>
      </w:r>
      <w:r w:rsidR="008B484A" w:rsidRPr="000F6BA0">
        <w:rPr>
          <w:b w:val="0"/>
          <w:lang w:val="en-US"/>
        </w:rPr>
        <w:t xml:space="preserve"> </w:t>
      </w:r>
      <w:r w:rsidRPr="000F6BA0">
        <w:rPr>
          <w:b w:val="0"/>
          <w:lang w:val="en-US"/>
        </w:rPr>
        <w:t xml:space="preserve">pricing. Secondly, the calculation of </w:t>
      </w:r>
      <w:r w:rsidR="008B484A">
        <w:rPr>
          <w:b w:val="0"/>
          <w:lang w:val="en-US"/>
        </w:rPr>
        <w:t>l</w:t>
      </w:r>
      <w:r w:rsidR="008B484A" w:rsidRPr="000F6BA0">
        <w:rPr>
          <w:b w:val="0"/>
          <w:lang w:val="en-US"/>
        </w:rPr>
        <w:t>ong</w:t>
      </w:r>
      <w:r w:rsidR="00285B9D" w:rsidRPr="000F6BA0">
        <w:rPr>
          <w:b w:val="0"/>
          <w:lang w:val="en-US"/>
        </w:rPr>
        <w:t xml:space="preserve">-term </w:t>
      </w:r>
      <w:r w:rsidRPr="000F6BA0">
        <w:rPr>
          <w:b w:val="0"/>
          <w:lang w:val="en-US"/>
        </w:rPr>
        <w:t xml:space="preserve">capacity will act as input to the issuing of </w:t>
      </w:r>
      <w:r w:rsidR="008B484A">
        <w:rPr>
          <w:b w:val="0"/>
          <w:lang w:val="en-US"/>
        </w:rPr>
        <w:t>l</w:t>
      </w:r>
      <w:r w:rsidR="008B484A" w:rsidRPr="000F6BA0">
        <w:rPr>
          <w:b w:val="0"/>
          <w:lang w:val="en-US"/>
        </w:rPr>
        <w:t>ong</w:t>
      </w:r>
      <w:r w:rsidR="00285B9D" w:rsidRPr="000F6BA0">
        <w:rPr>
          <w:b w:val="0"/>
          <w:lang w:val="en-US"/>
        </w:rPr>
        <w:t xml:space="preserve">-term </w:t>
      </w:r>
      <w:r w:rsidRPr="000F6BA0">
        <w:rPr>
          <w:b w:val="0"/>
          <w:lang w:val="en-US"/>
        </w:rPr>
        <w:t xml:space="preserve">transmission rights on bidding zone borders where </w:t>
      </w:r>
      <w:r w:rsidR="008B484A">
        <w:rPr>
          <w:b w:val="0"/>
          <w:lang w:val="en-US"/>
        </w:rPr>
        <w:t>l</w:t>
      </w:r>
      <w:r w:rsidR="008B484A" w:rsidRPr="000F6BA0">
        <w:rPr>
          <w:b w:val="0"/>
          <w:lang w:val="en-US"/>
        </w:rPr>
        <w:t>ong</w:t>
      </w:r>
      <w:r w:rsidR="00285B9D" w:rsidRPr="000F6BA0">
        <w:rPr>
          <w:b w:val="0"/>
          <w:lang w:val="en-US"/>
        </w:rPr>
        <w:t xml:space="preserve">-term </w:t>
      </w:r>
      <w:r w:rsidRPr="000F6BA0">
        <w:rPr>
          <w:b w:val="0"/>
          <w:lang w:val="en-US"/>
        </w:rPr>
        <w:t xml:space="preserve">transmissions rights are implemented. </w:t>
      </w:r>
    </w:p>
    <w:p w:rsidR="0000653B" w:rsidRPr="000F6BA0" w:rsidRDefault="00285B9D">
      <w:pPr>
        <w:numPr>
          <w:ilvl w:val="0"/>
          <w:numId w:val="3"/>
        </w:numPr>
        <w:spacing w:after="120" w:line="259" w:lineRule="auto"/>
        <w:contextualSpacing/>
        <w:rPr>
          <w:rFonts w:cs="Times New Roman"/>
          <w:lang w:val="en-US"/>
        </w:rPr>
      </w:pPr>
      <w:r w:rsidRPr="000F6BA0">
        <w:rPr>
          <w:lang w:val="en-US"/>
        </w:rPr>
        <w:t xml:space="preserve">Long-term </w:t>
      </w:r>
      <w:r w:rsidR="00BE6E76" w:rsidRPr="000F6BA0">
        <w:rPr>
          <w:rFonts w:cs="Times New Roman"/>
          <w:lang w:val="en-US"/>
        </w:rPr>
        <w:t xml:space="preserve">CCM is </w:t>
      </w:r>
      <w:r w:rsidR="0000653B" w:rsidRPr="000F6BA0">
        <w:rPr>
          <w:rFonts w:cs="Times New Roman"/>
          <w:lang w:val="en-US"/>
        </w:rPr>
        <w:t>ensuring and enhancing the transparency and reliability of information on forward capacity allocation,</w:t>
      </w:r>
      <w:r w:rsidR="0000653B" w:rsidRPr="000F6BA0">
        <w:rPr>
          <w:lang w:val="en-US"/>
        </w:rPr>
        <w:t xml:space="preserve"> </w:t>
      </w:r>
      <w:r w:rsidR="0000653B" w:rsidRPr="000F6BA0">
        <w:rPr>
          <w:rFonts w:cs="Times New Roman"/>
          <w:lang w:val="en-US"/>
        </w:rPr>
        <w:t xml:space="preserve">as the </w:t>
      </w:r>
      <w:r w:rsidRPr="000F6BA0">
        <w:rPr>
          <w:lang w:val="en-US"/>
        </w:rPr>
        <w:t xml:space="preserve">Long-term </w:t>
      </w:r>
      <w:r w:rsidR="0000653B" w:rsidRPr="000F6BA0">
        <w:rPr>
          <w:rFonts w:cs="Times New Roman"/>
          <w:lang w:val="en-US"/>
        </w:rPr>
        <w:t xml:space="preserve">CCM determines the main principles and main processes for </w:t>
      </w:r>
      <w:r w:rsidR="00BE6E76" w:rsidRPr="000F6BA0">
        <w:rPr>
          <w:rFonts w:cs="Times New Roman"/>
          <w:lang w:val="en-US"/>
        </w:rPr>
        <w:t>long-term capacity calculation</w:t>
      </w:r>
      <w:r w:rsidR="0000653B" w:rsidRPr="000F6BA0">
        <w:rPr>
          <w:rFonts w:cs="Times New Roman"/>
          <w:lang w:val="en-US"/>
        </w:rPr>
        <w:t xml:space="preserve"> timeframes. The Methodology enables </w:t>
      </w:r>
      <w:r w:rsidR="00C46946" w:rsidRPr="000F6BA0">
        <w:rPr>
          <w:rFonts w:cs="Times New Roman"/>
          <w:lang w:val="en-US"/>
        </w:rPr>
        <w:t>TSOs</w:t>
      </w:r>
      <w:r w:rsidR="0000653B" w:rsidRPr="000F6BA0">
        <w:rPr>
          <w:rFonts w:cs="Times New Roman"/>
          <w:lang w:val="en-US"/>
        </w:rPr>
        <w:t xml:space="preserve"> in a transparent way </w:t>
      </w:r>
      <w:r w:rsidR="00670E70" w:rsidRPr="000F6BA0">
        <w:rPr>
          <w:rFonts w:cs="Times New Roman"/>
          <w:lang w:val="en-US"/>
        </w:rPr>
        <w:t xml:space="preserve">to </w:t>
      </w:r>
      <w:r w:rsidR="0000653B" w:rsidRPr="000F6BA0">
        <w:rPr>
          <w:rFonts w:cs="Times New Roman"/>
          <w:lang w:val="en-US"/>
        </w:rPr>
        <w:t xml:space="preserve">provide information on </w:t>
      </w:r>
      <w:r w:rsidR="004718FB" w:rsidRPr="000F6BA0">
        <w:rPr>
          <w:rFonts w:cs="Times New Roman"/>
          <w:lang w:val="en-US"/>
        </w:rPr>
        <w:lastRenderedPageBreak/>
        <w:t xml:space="preserve">forecasted </w:t>
      </w:r>
      <w:r w:rsidR="0000653B" w:rsidRPr="000F6BA0">
        <w:rPr>
          <w:rFonts w:cs="Times New Roman"/>
          <w:lang w:val="en-US"/>
        </w:rPr>
        <w:t>cross-zonal capacities</w:t>
      </w:r>
      <w:r w:rsidR="00670E70" w:rsidRPr="000F6BA0">
        <w:rPr>
          <w:rFonts w:cs="Times New Roman"/>
          <w:lang w:val="en-US"/>
        </w:rPr>
        <w:t xml:space="preserve"> for long-term transmission rights auctions </w:t>
      </w:r>
      <w:r w:rsidR="00434665" w:rsidRPr="000F6BA0">
        <w:rPr>
          <w:rFonts w:cs="Times New Roman"/>
          <w:lang w:val="en-US"/>
        </w:rPr>
        <w:t xml:space="preserve">where </w:t>
      </w:r>
      <w:r w:rsidR="00670E70" w:rsidRPr="000F6BA0">
        <w:rPr>
          <w:rFonts w:cs="Times New Roman"/>
          <w:lang w:val="en-US"/>
        </w:rPr>
        <w:t xml:space="preserve">applicable </w:t>
      </w:r>
      <w:r w:rsidR="00C46946" w:rsidRPr="000F6BA0">
        <w:rPr>
          <w:rFonts w:cs="Times New Roman"/>
          <w:lang w:val="en-US"/>
        </w:rPr>
        <w:t xml:space="preserve">on </w:t>
      </w:r>
      <w:r w:rsidR="00670E70" w:rsidRPr="000F6BA0">
        <w:rPr>
          <w:rFonts w:cs="Times New Roman"/>
          <w:lang w:val="en-US"/>
        </w:rPr>
        <w:t>Baltic CCR borders</w:t>
      </w:r>
      <w:r w:rsidR="00294E93" w:rsidRPr="000F6BA0">
        <w:rPr>
          <w:rFonts w:cs="Times New Roman"/>
          <w:lang w:val="en-US"/>
        </w:rPr>
        <w:t>.</w:t>
      </w:r>
    </w:p>
    <w:p w:rsidR="002E6C3C" w:rsidRPr="000F6BA0" w:rsidRDefault="002E6C3C" w:rsidP="0064032A">
      <w:pPr>
        <w:numPr>
          <w:ilvl w:val="0"/>
          <w:numId w:val="3"/>
        </w:numPr>
        <w:spacing w:line="259" w:lineRule="auto"/>
        <w:ind w:left="1066" w:hanging="357"/>
        <w:contextualSpacing/>
        <w:rPr>
          <w:rFonts w:cs="Times New Roman"/>
          <w:lang w:val="en-US"/>
        </w:rPr>
      </w:pPr>
      <w:r w:rsidRPr="000F6BA0">
        <w:rPr>
          <w:rFonts w:cs="Times New Roman"/>
          <w:lang w:val="en-US"/>
        </w:rPr>
        <w:t xml:space="preserve">In this </w:t>
      </w:r>
      <w:r w:rsidR="00285B9D" w:rsidRPr="000F6BA0">
        <w:rPr>
          <w:lang w:val="en-US"/>
        </w:rPr>
        <w:t xml:space="preserve">Long-term </w:t>
      </w:r>
      <w:r w:rsidR="00B5458F" w:rsidRPr="000F6BA0">
        <w:rPr>
          <w:rFonts w:cs="Times New Roman"/>
          <w:lang w:val="en-US"/>
        </w:rPr>
        <w:t>CCM</w:t>
      </w:r>
      <w:r w:rsidRPr="000F6BA0">
        <w:rPr>
          <w:rFonts w:cs="Times New Roman"/>
          <w:lang w:val="en-US"/>
        </w:rPr>
        <w:t xml:space="preserve">, unless the context requires otherwise: </w:t>
      </w:r>
    </w:p>
    <w:p w:rsidR="002E6C3C" w:rsidRPr="000F6BA0" w:rsidRDefault="002E6C3C" w:rsidP="0064032A">
      <w:pPr>
        <w:pStyle w:val="ListParagraph"/>
        <w:numPr>
          <w:ilvl w:val="0"/>
          <w:numId w:val="12"/>
        </w:numPr>
        <w:ind w:left="1638" w:hanging="357"/>
        <w:jc w:val="both"/>
        <w:rPr>
          <w:rFonts w:cs="Times New Roman"/>
          <w:b w:val="0"/>
          <w:lang w:val="en-US"/>
        </w:rPr>
      </w:pPr>
      <w:r w:rsidRPr="000F6BA0">
        <w:rPr>
          <w:rFonts w:cs="Times New Roman"/>
          <w:b w:val="0"/>
          <w:lang w:val="en-US"/>
        </w:rPr>
        <w:t xml:space="preserve">headings are inserted for convenience only and do not affect the interpretation of this </w:t>
      </w:r>
      <w:r w:rsidR="00285B9D" w:rsidRPr="000F6BA0">
        <w:rPr>
          <w:b w:val="0"/>
          <w:lang w:val="en-US"/>
        </w:rPr>
        <w:t>Long</w:t>
      </w:r>
      <w:r w:rsidR="00285B9D" w:rsidRPr="000F6BA0">
        <w:rPr>
          <w:lang w:val="en-US"/>
        </w:rPr>
        <w:t>-</w:t>
      </w:r>
      <w:r w:rsidR="00285B9D" w:rsidRPr="000F6BA0">
        <w:rPr>
          <w:b w:val="0"/>
          <w:lang w:val="en-US"/>
        </w:rPr>
        <w:t>term</w:t>
      </w:r>
      <w:r w:rsidR="00285B9D" w:rsidRPr="000F6BA0">
        <w:rPr>
          <w:lang w:val="en-US"/>
        </w:rPr>
        <w:t xml:space="preserve"> </w:t>
      </w:r>
      <w:r w:rsidR="00D11E9F" w:rsidRPr="000F6BA0">
        <w:rPr>
          <w:rFonts w:cs="Times New Roman"/>
          <w:b w:val="0"/>
          <w:lang w:val="en-US"/>
        </w:rPr>
        <w:t>CCM</w:t>
      </w:r>
      <w:r w:rsidRPr="000F6BA0">
        <w:rPr>
          <w:rFonts w:cs="Times New Roman"/>
          <w:b w:val="0"/>
          <w:lang w:val="en-US"/>
        </w:rPr>
        <w:t>; and</w:t>
      </w:r>
    </w:p>
    <w:p w:rsidR="002E6C3C" w:rsidRPr="000F6BA0" w:rsidRDefault="002E6C3C" w:rsidP="0064032A">
      <w:pPr>
        <w:pStyle w:val="ListParagraph"/>
        <w:numPr>
          <w:ilvl w:val="0"/>
          <w:numId w:val="12"/>
        </w:numPr>
        <w:ind w:left="1638" w:hanging="357"/>
        <w:jc w:val="both"/>
        <w:rPr>
          <w:rFonts w:cs="Times New Roman"/>
          <w:b w:val="0"/>
          <w:lang w:val="en-US"/>
        </w:rPr>
      </w:pPr>
      <w:r w:rsidRPr="000F6BA0">
        <w:rPr>
          <w:rFonts w:cs="Times New Roman"/>
          <w:b w:val="0"/>
          <w:lang w:val="en-US"/>
        </w:rPr>
        <w:t>any reference to legislation, regulations, directives, orders, instruments, codes or any other enactment shall include any modification, extension or re-enactment of it when in force.</w:t>
      </w:r>
    </w:p>
    <w:p w:rsidR="002E6C3C" w:rsidRDefault="008B484A" w:rsidP="0064032A">
      <w:pPr>
        <w:pStyle w:val="ListParagraph"/>
        <w:numPr>
          <w:ilvl w:val="0"/>
          <w:numId w:val="12"/>
        </w:numPr>
        <w:ind w:left="1638" w:hanging="357"/>
        <w:jc w:val="both"/>
        <w:rPr>
          <w:rFonts w:cs="Times New Roman"/>
          <w:b w:val="0"/>
          <w:lang w:val="en-US"/>
        </w:rPr>
      </w:pPr>
      <w:r>
        <w:rPr>
          <w:rFonts w:cs="Times New Roman"/>
          <w:b w:val="0"/>
          <w:lang w:val="en-US"/>
        </w:rPr>
        <w:t>r</w:t>
      </w:r>
      <w:r w:rsidRPr="000F6BA0">
        <w:rPr>
          <w:rFonts w:cs="Times New Roman"/>
          <w:b w:val="0"/>
          <w:lang w:val="en-US"/>
        </w:rPr>
        <w:t xml:space="preserve">eferences </w:t>
      </w:r>
      <w:r w:rsidR="002E6C3C" w:rsidRPr="000F6BA0">
        <w:rPr>
          <w:rFonts w:cs="Times New Roman"/>
          <w:b w:val="0"/>
          <w:lang w:val="en-US"/>
        </w:rPr>
        <w:t xml:space="preserve">to an “Article” are, unless otherwise stated, references to an article of this </w:t>
      </w:r>
      <w:r w:rsidR="00285B9D" w:rsidRPr="000F6BA0">
        <w:rPr>
          <w:b w:val="0"/>
          <w:lang w:val="en-US"/>
        </w:rPr>
        <w:t>Long</w:t>
      </w:r>
      <w:r w:rsidR="00285B9D" w:rsidRPr="000F6BA0">
        <w:rPr>
          <w:lang w:val="en-US"/>
        </w:rPr>
        <w:t>-</w:t>
      </w:r>
      <w:r w:rsidR="00285B9D" w:rsidRPr="000F6BA0">
        <w:rPr>
          <w:b w:val="0"/>
          <w:lang w:val="en-US"/>
        </w:rPr>
        <w:t>term</w:t>
      </w:r>
      <w:r w:rsidR="00285B9D" w:rsidRPr="000F6BA0">
        <w:rPr>
          <w:lang w:val="en-US"/>
        </w:rPr>
        <w:t xml:space="preserve"> </w:t>
      </w:r>
      <w:r w:rsidR="00D11E9F" w:rsidRPr="000F6BA0">
        <w:rPr>
          <w:rFonts w:cs="Times New Roman"/>
          <w:b w:val="0"/>
          <w:lang w:val="en-US"/>
        </w:rPr>
        <w:t>CCM</w:t>
      </w:r>
      <w:r w:rsidR="002E6C3C" w:rsidRPr="000F6BA0">
        <w:rPr>
          <w:rFonts w:cs="Times New Roman"/>
          <w:b w:val="0"/>
          <w:lang w:val="en-US"/>
        </w:rPr>
        <w:t>.</w:t>
      </w:r>
    </w:p>
    <w:p w:rsidR="008B484A" w:rsidRPr="000F6BA0" w:rsidRDefault="008B484A" w:rsidP="0064032A">
      <w:pPr>
        <w:pStyle w:val="ListParagraph"/>
        <w:ind w:left="1638"/>
        <w:jc w:val="both"/>
        <w:rPr>
          <w:rFonts w:cs="Times New Roman"/>
          <w:b w:val="0"/>
          <w:lang w:val="en-US"/>
        </w:rPr>
      </w:pPr>
    </w:p>
    <w:p w:rsidR="003D52DD" w:rsidRPr="000F6BA0" w:rsidRDefault="003D52DD" w:rsidP="003D52DD">
      <w:pPr>
        <w:spacing w:after="120"/>
        <w:rPr>
          <w:rFonts w:cs="Times New Roman"/>
          <w:lang w:val="en-US"/>
        </w:rPr>
      </w:pPr>
      <w:r w:rsidRPr="000F6BA0">
        <w:rPr>
          <w:rFonts w:cs="Times New Roman"/>
          <w:lang w:val="en-US"/>
        </w:rPr>
        <w:t xml:space="preserve">SUBMIT THE FOLLOWING </w:t>
      </w:r>
      <w:r w:rsidR="00285B9D" w:rsidRPr="000F6BA0">
        <w:rPr>
          <w:lang w:val="en-US"/>
        </w:rPr>
        <w:t>LONG-TERM</w:t>
      </w:r>
      <w:r w:rsidR="00285B9D" w:rsidRPr="000F6BA0">
        <w:rPr>
          <w:rFonts w:cs="Times New Roman"/>
          <w:lang w:val="en-US"/>
        </w:rPr>
        <w:t xml:space="preserve"> </w:t>
      </w:r>
      <w:r w:rsidR="00B33148" w:rsidRPr="000F6BA0">
        <w:rPr>
          <w:rFonts w:cs="Times New Roman"/>
          <w:lang w:val="en-US"/>
        </w:rPr>
        <w:t>CCM</w:t>
      </w:r>
      <w:r w:rsidR="00DA4CF7" w:rsidRPr="000F6BA0">
        <w:rPr>
          <w:rFonts w:cs="Times New Roman"/>
          <w:lang w:val="en-US"/>
        </w:rPr>
        <w:t xml:space="preserve"> </w:t>
      </w:r>
      <w:r w:rsidRPr="000F6BA0">
        <w:rPr>
          <w:rFonts w:cs="Times New Roman"/>
          <w:lang w:val="en-US"/>
        </w:rPr>
        <w:t>TO ALL REGULATORY AUTHORITIES</w:t>
      </w:r>
      <w:r w:rsidR="00C21E3F" w:rsidRPr="000F6BA0">
        <w:rPr>
          <w:rFonts w:cs="Times New Roman"/>
          <w:lang w:val="en-US"/>
        </w:rPr>
        <w:t xml:space="preserve"> OF THE </w:t>
      </w:r>
      <w:r w:rsidR="004E0D23" w:rsidRPr="000F6BA0">
        <w:rPr>
          <w:rFonts w:cs="Times New Roman"/>
          <w:lang w:val="en-US"/>
        </w:rPr>
        <w:t>BALTIC CCR</w:t>
      </w:r>
      <w:r w:rsidRPr="000F6BA0">
        <w:rPr>
          <w:rFonts w:cs="Times New Roman"/>
          <w:lang w:val="en-US"/>
        </w:rPr>
        <w:t>:</w:t>
      </w:r>
    </w:p>
    <w:p w:rsidR="003D52DD" w:rsidRPr="000F6BA0" w:rsidRDefault="003D52DD" w:rsidP="0064032A">
      <w:pPr>
        <w:pStyle w:val="Heading1"/>
        <w:pageBreakBefore/>
        <w:rPr>
          <w:lang w:val="en-US"/>
        </w:rPr>
      </w:pPr>
      <w:bookmarkStart w:id="19" w:name="_Toc10105036"/>
      <w:r w:rsidRPr="000F6BA0">
        <w:rPr>
          <w:lang w:val="en-US"/>
        </w:rPr>
        <w:lastRenderedPageBreak/>
        <w:t>Article 1</w:t>
      </w:r>
      <w:r w:rsidRPr="000F6BA0">
        <w:rPr>
          <w:lang w:val="en-US"/>
        </w:rPr>
        <w:br/>
        <w:t>Subject matter and scope</w:t>
      </w:r>
      <w:bookmarkEnd w:id="19"/>
    </w:p>
    <w:p w:rsidR="000154C9" w:rsidRPr="000F6BA0" w:rsidRDefault="003D52DD" w:rsidP="0050342F">
      <w:pPr>
        <w:spacing w:after="120"/>
        <w:rPr>
          <w:rFonts w:cs="Times New Roman"/>
          <w:lang w:val="en-US"/>
        </w:rPr>
      </w:pPr>
      <w:r w:rsidRPr="000F6BA0">
        <w:rPr>
          <w:rFonts w:cs="Times New Roman"/>
          <w:lang w:val="en-US"/>
        </w:rPr>
        <w:t>The</w:t>
      </w:r>
      <w:r w:rsidR="0022102D" w:rsidRPr="000F6BA0">
        <w:rPr>
          <w:rFonts w:cs="Times New Roman"/>
          <w:lang w:val="en-US"/>
        </w:rPr>
        <w:t xml:space="preserve"> common </w:t>
      </w:r>
      <w:r w:rsidR="00434665" w:rsidRPr="000F6BA0">
        <w:rPr>
          <w:rFonts w:cs="Times New Roman"/>
          <w:lang w:val="en-US"/>
        </w:rPr>
        <w:t>CCM</w:t>
      </w:r>
      <w:r w:rsidR="0022102D" w:rsidRPr="000F6BA0">
        <w:rPr>
          <w:rFonts w:cs="Times New Roman"/>
          <w:lang w:val="en-US"/>
        </w:rPr>
        <w:t xml:space="preserve"> for long-term timeframes as determined in this document shall be considered as the </w:t>
      </w:r>
      <w:r w:rsidR="006C5521" w:rsidRPr="000F6BA0">
        <w:rPr>
          <w:rFonts w:cs="Times New Roman"/>
          <w:lang w:val="en-US"/>
        </w:rPr>
        <w:t xml:space="preserve">common </w:t>
      </w:r>
      <w:r w:rsidR="003B2BAD" w:rsidRPr="000F6BA0">
        <w:rPr>
          <w:rFonts w:cs="Times New Roman"/>
          <w:lang w:val="en-US"/>
        </w:rPr>
        <w:t>L</w:t>
      </w:r>
      <w:r w:rsidR="006855B0" w:rsidRPr="000F6BA0">
        <w:rPr>
          <w:rFonts w:cs="Times New Roman"/>
          <w:lang w:val="en-US"/>
        </w:rPr>
        <w:t>ong-term</w:t>
      </w:r>
      <w:r w:rsidR="003B2BAD" w:rsidRPr="000F6BA0">
        <w:rPr>
          <w:rFonts w:cs="Times New Roman"/>
          <w:lang w:val="en-US"/>
        </w:rPr>
        <w:t xml:space="preserve"> </w:t>
      </w:r>
      <w:r w:rsidR="008B484A">
        <w:rPr>
          <w:rFonts w:cs="Times New Roman"/>
          <w:lang w:val="en-US"/>
        </w:rPr>
        <w:t>M</w:t>
      </w:r>
      <w:r w:rsidR="008B484A" w:rsidRPr="000F6BA0">
        <w:rPr>
          <w:rFonts w:cs="Times New Roman"/>
          <w:lang w:val="en-US"/>
        </w:rPr>
        <w:t xml:space="preserve">ethodology </w:t>
      </w:r>
      <w:r w:rsidR="0022102D" w:rsidRPr="000F6BA0">
        <w:rPr>
          <w:rFonts w:cs="Times New Roman"/>
          <w:lang w:val="en-US"/>
        </w:rPr>
        <w:t>of Baltic CCR TSOs in accordance with Article</w:t>
      </w:r>
      <w:r w:rsidR="00B16423" w:rsidRPr="000F6BA0">
        <w:rPr>
          <w:rFonts w:cs="Times New Roman"/>
          <w:lang w:val="en-US"/>
        </w:rPr>
        <w:t xml:space="preserve"> 10</w:t>
      </w:r>
      <w:r w:rsidR="00700717" w:rsidRPr="000F6BA0">
        <w:rPr>
          <w:rFonts w:cs="Times New Roman"/>
          <w:lang w:val="en-US"/>
        </w:rPr>
        <w:t>(1)</w:t>
      </w:r>
      <w:r w:rsidR="00B16423" w:rsidRPr="000F6BA0">
        <w:rPr>
          <w:rFonts w:cs="Times New Roman"/>
          <w:lang w:val="en-US"/>
        </w:rPr>
        <w:t xml:space="preserve"> </w:t>
      </w:r>
      <w:r w:rsidR="00A4123E" w:rsidRPr="000F6BA0">
        <w:rPr>
          <w:rFonts w:cs="Times New Roman"/>
          <w:lang w:val="en-US"/>
        </w:rPr>
        <w:t xml:space="preserve">and Article 21 </w:t>
      </w:r>
      <w:r w:rsidR="00B16423" w:rsidRPr="000F6BA0">
        <w:rPr>
          <w:rFonts w:cs="Times New Roman"/>
          <w:lang w:val="en-US"/>
        </w:rPr>
        <w:t>of FCA Regulation.</w:t>
      </w:r>
    </w:p>
    <w:p w:rsidR="00E068BC" w:rsidRPr="000F6BA0" w:rsidRDefault="00E068BC" w:rsidP="00E068BC">
      <w:pPr>
        <w:autoSpaceDE w:val="0"/>
        <w:autoSpaceDN w:val="0"/>
        <w:adjustRightInd w:val="0"/>
        <w:jc w:val="left"/>
        <w:rPr>
          <w:rFonts w:cs="Times New Roman"/>
          <w:color w:val="000000"/>
          <w:szCs w:val="24"/>
          <w:lang w:val="en-US"/>
        </w:rPr>
      </w:pPr>
    </w:p>
    <w:p w:rsidR="00A4123E" w:rsidRPr="000F6BA0" w:rsidRDefault="00A4123E" w:rsidP="006855B0">
      <w:pPr>
        <w:autoSpaceDE w:val="0"/>
        <w:autoSpaceDN w:val="0"/>
        <w:adjustRightInd w:val="0"/>
        <w:rPr>
          <w:rFonts w:cs="Times New Roman"/>
          <w:lang w:val="en-US"/>
        </w:rPr>
      </w:pPr>
      <w:bookmarkStart w:id="20" w:name="_Hlk8984510"/>
      <w:r w:rsidRPr="000F6BA0">
        <w:rPr>
          <w:rFonts w:cs="Times New Roman"/>
          <w:iCs/>
          <w:lang w:val="en-US"/>
        </w:rPr>
        <w:t xml:space="preserve">Long-term CCM covers </w:t>
      </w:r>
      <w:r w:rsidR="003B0324" w:rsidRPr="000F6BA0">
        <w:rPr>
          <w:rFonts w:cs="Times New Roman"/>
          <w:iCs/>
          <w:lang w:val="en-US"/>
        </w:rPr>
        <w:t xml:space="preserve">long-term </w:t>
      </w:r>
      <w:r w:rsidRPr="000F6BA0">
        <w:rPr>
          <w:rFonts w:cs="Times New Roman"/>
          <w:iCs/>
          <w:lang w:val="en-US"/>
        </w:rPr>
        <w:t>capacity calculation timeframe</w:t>
      </w:r>
      <w:r w:rsidR="003B0324" w:rsidRPr="000F6BA0">
        <w:rPr>
          <w:rFonts w:cs="Times New Roman"/>
          <w:iCs/>
          <w:lang w:val="en-US"/>
        </w:rPr>
        <w:t>s</w:t>
      </w:r>
      <w:r w:rsidRPr="000F6BA0">
        <w:rPr>
          <w:rFonts w:cs="Times New Roman"/>
          <w:iCs/>
          <w:lang w:val="en-US"/>
        </w:rPr>
        <w:t xml:space="preserve">, </w:t>
      </w:r>
      <w:r w:rsidR="003B0324" w:rsidRPr="000F6BA0">
        <w:rPr>
          <w:rFonts w:cs="Times New Roman"/>
          <w:iCs/>
          <w:lang w:val="en-US"/>
        </w:rPr>
        <w:t>which are foreseen in</w:t>
      </w:r>
      <w:r w:rsidRPr="000F6BA0">
        <w:rPr>
          <w:rFonts w:cs="Times New Roman"/>
          <w:iCs/>
          <w:lang w:val="en-US"/>
        </w:rPr>
        <w:t xml:space="preserve"> the regional design of long-term transmission rights pursuant to Article 31 of FCA guidelines and any timeframe</w:t>
      </w:r>
      <w:r w:rsidR="0049238E" w:rsidRPr="000F6BA0">
        <w:rPr>
          <w:rFonts w:cs="Times New Roman"/>
          <w:iCs/>
          <w:lang w:val="en-US"/>
        </w:rPr>
        <w:t xml:space="preserve"> (except day-ahead and intraday timeframes)</w:t>
      </w:r>
      <w:r w:rsidRPr="000F6BA0">
        <w:rPr>
          <w:rFonts w:cs="Times New Roman"/>
          <w:iCs/>
          <w:lang w:val="en-US"/>
        </w:rPr>
        <w:t xml:space="preserve"> required according to Article 11 of Regulation 543/2013.</w:t>
      </w:r>
    </w:p>
    <w:bookmarkEnd w:id="20"/>
    <w:p w:rsidR="000D0E0D" w:rsidRPr="000F6BA0" w:rsidRDefault="000D0E0D" w:rsidP="006855B0">
      <w:pPr>
        <w:autoSpaceDE w:val="0"/>
        <w:autoSpaceDN w:val="0"/>
        <w:adjustRightInd w:val="0"/>
        <w:rPr>
          <w:rFonts w:cs="Times New Roman"/>
          <w:lang w:val="en-US"/>
        </w:rPr>
      </w:pPr>
    </w:p>
    <w:p w:rsidR="000D0E0D" w:rsidRPr="000F6BA0" w:rsidRDefault="000D0E0D" w:rsidP="000D0E0D">
      <w:pPr>
        <w:rPr>
          <w:lang w:val="en-US"/>
        </w:rPr>
      </w:pPr>
      <w:r w:rsidRPr="000F6BA0">
        <w:rPr>
          <w:lang w:val="en-US"/>
        </w:rPr>
        <w:t>No physical capacity allocation (both implicit and explicit) is made before day-ahead implicit allocation and no physical capacity is reserved (both implicitly and explicitly) for long-term capacity on the Baltic CCR borders.</w:t>
      </w:r>
    </w:p>
    <w:p w:rsidR="000D0E0D" w:rsidRPr="000F6BA0" w:rsidRDefault="000D0E0D" w:rsidP="006855B0">
      <w:pPr>
        <w:autoSpaceDE w:val="0"/>
        <w:autoSpaceDN w:val="0"/>
        <w:adjustRightInd w:val="0"/>
        <w:rPr>
          <w:rFonts w:cs="Times New Roman"/>
          <w:lang w:val="en-US"/>
        </w:rPr>
      </w:pPr>
    </w:p>
    <w:p w:rsidR="003D52DD" w:rsidRPr="000F6BA0" w:rsidRDefault="003D52DD" w:rsidP="00371B7B">
      <w:pPr>
        <w:pStyle w:val="Heading1"/>
        <w:rPr>
          <w:lang w:val="en-US"/>
        </w:rPr>
      </w:pPr>
      <w:bookmarkStart w:id="21" w:name="_Toc10105037"/>
      <w:bookmarkStart w:id="22" w:name="_Toc464485818"/>
      <w:bookmarkStart w:id="23" w:name="_Toc432586790"/>
      <w:bookmarkStart w:id="24" w:name="_Toc432586770"/>
      <w:r w:rsidRPr="000F6BA0">
        <w:rPr>
          <w:lang w:val="en-US"/>
        </w:rPr>
        <w:t>Article 2</w:t>
      </w:r>
      <w:r w:rsidRPr="000F6BA0">
        <w:rPr>
          <w:lang w:val="en-US"/>
        </w:rPr>
        <w:br/>
        <w:t>Definitions</w:t>
      </w:r>
      <w:bookmarkEnd w:id="21"/>
      <w:r w:rsidRPr="000F6BA0">
        <w:rPr>
          <w:lang w:val="en-US"/>
        </w:rPr>
        <w:t xml:space="preserve"> </w:t>
      </w:r>
      <w:bookmarkEnd w:id="22"/>
      <w:bookmarkEnd w:id="23"/>
      <w:bookmarkEnd w:id="24"/>
    </w:p>
    <w:p w:rsidR="00034F0F" w:rsidRPr="000F6BA0" w:rsidRDefault="003D52DD" w:rsidP="001257F6">
      <w:pPr>
        <w:rPr>
          <w:color w:val="FF0000"/>
          <w:lang w:val="en-US"/>
        </w:rPr>
      </w:pPr>
      <w:r w:rsidRPr="000F6BA0">
        <w:rPr>
          <w:lang w:val="en-US"/>
        </w:rPr>
        <w:t xml:space="preserve">For the purposes of the </w:t>
      </w:r>
      <w:r w:rsidR="00285B9D" w:rsidRPr="000F6BA0">
        <w:rPr>
          <w:lang w:val="en-US"/>
        </w:rPr>
        <w:t xml:space="preserve">Long-term </w:t>
      </w:r>
      <w:r w:rsidR="00B5458F" w:rsidRPr="000F6BA0">
        <w:rPr>
          <w:lang w:val="en-US"/>
        </w:rPr>
        <w:t>CCM</w:t>
      </w:r>
      <w:r w:rsidRPr="000F6BA0">
        <w:rPr>
          <w:lang w:val="en-US"/>
        </w:rPr>
        <w:t>, terms used in this document shall have the meaning of the definitions included in</w:t>
      </w:r>
      <w:r w:rsidR="00384D25" w:rsidRPr="000F6BA0">
        <w:rPr>
          <w:lang w:val="en-US"/>
        </w:rPr>
        <w:t xml:space="preserve"> Capacity </w:t>
      </w:r>
      <w:r w:rsidR="008B484A">
        <w:rPr>
          <w:lang w:val="en-US"/>
        </w:rPr>
        <w:t>C</w:t>
      </w:r>
      <w:r w:rsidR="008B484A" w:rsidRPr="000F6BA0">
        <w:rPr>
          <w:lang w:val="en-US"/>
        </w:rPr>
        <w:t xml:space="preserve">alculation </w:t>
      </w:r>
      <w:r w:rsidR="008B484A">
        <w:rPr>
          <w:lang w:val="en-US"/>
        </w:rPr>
        <w:t>M</w:t>
      </w:r>
      <w:r w:rsidR="008B484A" w:rsidRPr="000F6BA0">
        <w:rPr>
          <w:lang w:val="en-US"/>
        </w:rPr>
        <w:t xml:space="preserve">ethodology </w:t>
      </w:r>
      <w:r w:rsidR="00384D25" w:rsidRPr="000F6BA0">
        <w:rPr>
          <w:lang w:val="en-US"/>
        </w:rPr>
        <w:t>within the Baltic Capacity Calculation Region,</w:t>
      </w:r>
      <w:r w:rsidRPr="000F6BA0">
        <w:rPr>
          <w:lang w:val="en-US"/>
        </w:rPr>
        <w:t xml:space="preserve"> Article 2 of the CACM Regulation,</w:t>
      </w:r>
      <w:r w:rsidR="005C189B" w:rsidRPr="000F6BA0">
        <w:rPr>
          <w:lang w:val="en-US"/>
        </w:rPr>
        <w:t xml:space="preserve"> Article 2 of the FCA Regulation,</w:t>
      </w:r>
      <w:r w:rsidRPr="000F6BA0">
        <w:rPr>
          <w:lang w:val="en-US"/>
        </w:rPr>
        <w:t xml:space="preserve"> of Regulation (EC) 714/2009</w:t>
      </w:r>
      <w:r w:rsidR="001B2BBE" w:rsidRPr="000F6BA0">
        <w:rPr>
          <w:lang w:val="en-US"/>
        </w:rPr>
        <w:t xml:space="preserve"> and</w:t>
      </w:r>
      <w:r w:rsidRPr="000F6BA0">
        <w:rPr>
          <w:lang w:val="en-US"/>
        </w:rPr>
        <w:t xml:space="preserve"> Directive 2009/72/EC.</w:t>
      </w:r>
    </w:p>
    <w:p w:rsidR="00591968" w:rsidRPr="000F6BA0" w:rsidRDefault="00591968" w:rsidP="002E0C6D">
      <w:pPr>
        <w:rPr>
          <w:color w:val="FF0000"/>
          <w:lang w:val="en-US"/>
        </w:rPr>
      </w:pPr>
    </w:p>
    <w:p w:rsidR="0088770F" w:rsidRPr="000F6BA0" w:rsidRDefault="0088770F" w:rsidP="00371B7B">
      <w:pPr>
        <w:pStyle w:val="Heading1"/>
        <w:rPr>
          <w:lang w:val="en-US"/>
        </w:rPr>
      </w:pPr>
      <w:bookmarkStart w:id="25" w:name="_Toc10105038"/>
      <w:r w:rsidRPr="000F6BA0">
        <w:rPr>
          <w:lang w:val="en-US"/>
        </w:rPr>
        <w:t>Article 3</w:t>
      </w:r>
      <w:r w:rsidRPr="000F6BA0">
        <w:rPr>
          <w:lang w:val="en-US"/>
        </w:rPr>
        <w:br/>
      </w:r>
      <w:r w:rsidR="001F0370" w:rsidRPr="000F6BA0">
        <w:rPr>
          <w:lang w:val="en-US"/>
        </w:rPr>
        <w:t>Transmission reliability margin (TRM) calculation methodology</w:t>
      </w:r>
      <w:bookmarkEnd w:id="25"/>
    </w:p>
    <w:p w:rsidR="002866D1" w:rsidRPr="000F6BA0" w:rsidRDefault="00F35DB6" w:rsidP="001257F6">
      <w:pPr>
        <w:rPr>
          <w:lang w:val="en-US"/>
        </w:rPr>
      </w:pPr>
      <w:r w:rsidRPr="000F6BA0">
        <w:rPr>
          <w:lang w:val="en-US"/>
        </w:rPr>
        <w:t>Article 11 of FCA</w:t>
      </w:r>
      <w:r w:rsidR="00434665" w:rsidRPr="000F6BA0">
        <w:rPr>
          <w:lang w:val="en-US"/>
        </w:rPr>
        <w:t xml:space="preserve"> Regulation</w:t>
      </w:r>
      <w:r w:rsidRPr="000F6BA0">
        <w:rPr>
          <w:lang w:val="en-US"/>
        </w:rPr>
        <w:t xml:space="preserve"> sets requirement to include reliability margin methodology in Long-term CCM.</w:t>
      </w:r>
      <w:r w:rsidR="008B0430" w:rsidRPr="000F6BA0">
        <w:rPr>
          <w:lang w:val="en-US"/>
        </w:rPr>
        <w:t xml:space="preserve"> </w:t>
      </w:r>
      <w:r w:rsidR="002866D1" w:rsidRPr="000F6BA0">
        <w:rPr>
          <w:lang w:val="en-US"/>
        </w:rPr>
        <w:t xml:space="preserve">TRM </w:t>
      </w:r>
      <w:r w:rsidR="00B3520D" w:rsidRPr="000F6BA0">
        <w:rPr>
          <w:lang w:val="en-US"/>
        </w:rPr>
        <w:t xml:space="preserve">value </w:t>
      </w:r>
      <w:r w:rsidR="00E068BC" w:rsidRPr="000F6BA0">
        <w:rPr>
          <w:lang w:val="en-US"/>
        </w:rPr>
        <w:t xml:space="preserve">shall be calculated as it is defined in “Capacity </w:t>
      </w:r>
      <w:r w:rsidR="008B484A">
        <w:rPr>
          <w:lang w:val="en-US"/>
        </w:rPr>
        <w:t>C</w:t>
      </w:r>
      <w:r w:rsidR="008B484A" w:rsidRPr="000F6BA0">
        <w:rPr>
          <w:lang w:val="en-US"/>
        </w:rPr>
        <w:t xml:space="preserve">alculation </w:t>
      </w:r>
      <w:r w:rsidR="008B484A">
        <w:rPr>
          <w:lang w:val="en-US"/>
        </w:rPr>
        <w:t>M</w:t>
      </w:r>
      <w:r w:rsidR="008B484A" w:rsidRPr="000F6BA0">
        <w:rPr>
          <w:lang w:val="en-US"/>
        </w:rPr>
        <w:t xml:space="preserve">ethodology </w:t>
      </w:r>
      <w:r w:rsidR="00E068BC" w:rsidRPr="000F6BA0">
        <w:rPr>
          <w:lang w:val="en-US"/>
        </w:rPr>
        <w:t>within the Baltic Capacity Calculation Region”</w:t>
      </w:r>
      <w:r w:rsidR="000D5717" w:rsidRPr="000F6BA0">
        <w:rPr>
          <w:lang w:val="en-US"/>
        </w:rPr>
        <w:t>.</w:t>
      </w:r>
    </w:p>
    <w:p w:rsidR="00ED1EE3" w:rsidRPr="000F6BA0" w:rsidRDefault="00ED1EE3" w:rsidP="001257F6">
      <w:pPr>
        <w:rPr>
          <w:lang w:val="en-US"/>
        </w:rPr>
      </w:pPr>
    </w:p>
    <w:p w:rsidR="00ED1EE3" w:rsidRPr="000F6BA0" w:rsidRDefault="00ED1EE3" w:rsidP="00371B7B">
      <w:pPr>
        <w:pStyle w:val="Heading1"/>
        <w:rPr>
          <w:lang w:val="en-US"/>
        </w:rPr>
      </w:pPr>
      <w:bookmarkStart w:id="26" w:name="_Toc10105039"/>
      <w:r w:rsidRPr="000F6BA0">
        <w:rPr>
          <w:lang w:val="en-US"/>
        </w:rPr>
        <w:t xml:space="preserve">Article 4 </w:t>
      </w:r>
      <w:r w:rsidRPr="000F6BA0">
        <w:rPr>
          <w:lang w:val="en-US"/>
        </w:rPr>
        <w:br/>
      </w:r>
      <w:bookmarkStart w:id="27" w:name="_Toc512241361"/>
      <w:r w:rsidR="00384D25" w:rsidRPr="000F6BA0">
        <w:rPr>
          <w:lang w:val="en-US"/>
        </w:rPr>
        <w:t>Operational security limits</w:t>
      </w:r>
      <w:r w:rsidR="00F8107D">
        <w:rPr>
          <w:lang w:val="en-US"/>
        </w:rPr>
        <w:t>,</w:t>
      </w:r>
      <w:r w:rsidR="00384D25" w:rsidRPr="000F6BA0">
        <w:rPr>
          <w:lang w:val="en-US"/>
        </w:rPr>
        <w:t xml:space="preserve"> contingencies and allocation constraints</w:t>
      </w:r>
      <w:bookmarkEnd w:id="26"/>
      <w:bookmarkEnd w:id="27"/>
    </w:p>
    <w:p w:rsidR="009B56C2" w:rsidRDefault="00F35DB6">
      <w:pPr>
        <w:rPr>
          <w:lang w:val="en-US"/>
        </w:rPr>
      </w:pPr>
      <w:r w:rsidRPr="000F6BA0">
        <w:rPr>
          <w:lang w:val="en-US"/>
        </w:rPr>
        <w:t xml:space="preserve">Article 12 of FCA </w:t>
      </w:r>
      <w:r w:rsidR="00414ED7" w:rsidRPr="000F6BA0">
        <w:rPr>
          <w:lang w:val="en-US"/>
        </w:rPr>
        <w:t xml:space="preserve">Regulation </w:t>
      </w:r>
      <w:r w:rsidRPr="000F6BA0">
        <w:rPr>
          <w:lang w:val="en-US"/>
        </w:rPr>
        <w:t>sets requirement to include methodologies for operational security limits and contingencies in Long-term CCM. Therefore</w:t>
      </w:r>
      <w:r w:rsidR="00414ED7" w:rsidRPr="000F6BA0">
        <w:rPr>
          <w:lang w:val="en-US"/>
        </w:rPr>
        <w:t>,</w:t>
      </w:r>
      <w:r w:rsidRPr="000F6BA0">
        <w:rPr>
          <w:lang w:val="en-US"/>
        </w:rPr>
        <w:t xml:space="preserve"> </w:t>
      </w:r>
      <w:proofErr w:type="gramStart"/>
      <w:r w:rsidRPr="000F6BA0">
        <w:rPr>
          <w:lang w:val="en-US"/>
        </w:rPr>
        <w:t xml:space="preserve">aforementioned </w:t>
      </w:r>
      <w:r w:rsidR="00414ED7" w:rsidRPr="000F6BA0">
        <w:rPr>
          <w:lang w:val="en-US"/>
        </w:rPr>
        <w:t>lists</w:t>
      </w:r>
      <w:proofErr w:type="gramEnd"/>
      <w:r w:rsidR="00414ED7" w:rsidRPr="000F6BA0">
        <w:rPr>
          <w:lang w:val="en-US"/>
        </w:rPr>
        <w:t xml:space="preserve"> of input data </w:t>
      </w:r>
      <w:r w:rsidR="00F8107D">
        <w:rPr>
          <w:lang w:val="en-US"/>
        </w:rPr>
        <w:t xml:space="preserve">and allocation constraints </w:t>
      </w:r>
      <w:r w:rsidRPr="000F6BA0">
        <w:rPr>
          <w:lang w:val="en-US"/>
        </w:rPr>
        <w:t>s</w:t>
      </w:r>
      <w:r w:rsidR="00384D25" w:rsidRPr="000F6BA0">
        <w:rPr>
          <w:lang w:val="en-US"/>
        </w:rPr>
        <w:t xml:space="preserve">hall be calculated as it is defined in “Capacity </w:t>
      </w:r>
      <w:r w:rsidR="008B484A">
        <w:rPr>
          <w:lang w:val="en-US"/>
        </w:rPr>
        <w:t>C</w:t>
      </w:r>
      <w:r w:rsidR="008B484A" w:rsidRPr="000F6BA0">
        <w:rPr>
          <w:lang w:val="en-US"/>
        </w:rPr>
        <w:t xml:space="preserve">alculation </w:t>
      </w:r>
      <w:r w:rsidR="008B484A">
        <w:rPr>
          <w:lang w:val="en-US"/>
        </w:rPr>
        <w:t>M</w:t>
      </w:r>
      <w:r w:rsidR="008B484A" w:rsidRPr="000F6BA0">
        <w:rPr>
          <w:lang w:val="en-US"/>
        </w:rPr>
        <w:t xml:space="preserve">ethodology </w:t>
      </w:r>
      <w:r w:rsidR="00384D25" w:rsidRPr="000F6BA0">
        <w:rPr>
          <w:lang w:val="en-US"/>
        </w:rPr>
        <w:t>within the Baltic Capacity Calculation Region”</w:t>
      </w:r>
      <w:r w:rsidRPr="000F6BA0">
        <w:rPr>
          <w:lang w:val="en-US"/>
        </w:rPr>
        <w:t>.</w:t>
      </w:r>
      <w:r w:rsidR="00384D25" w:rsidRPr="000F6BA0">
        <w:rPr>
          <w:lang w:val="en-US"/>
        </w:rPr>
        <w:t xml:space="preserve"> </w:t>
      </w:r>
    </w:p>
    <w:p w:rsidR="00F8107D" w:rsidRDefault="00F8107D" w:rsidP="008B484A">
      <w:pPr>
        <w:pStyle w:val="Heading1"/>
        <w:rPr>
          <w:lang w:val="en-US"/>
        </w:rPr>
      </w:pPr>
      <w:bookmarkStart w:id="28" w:name="_Toc10105040"/>
      <w:bookmarkStart w:id="29" w:name="_Toc432586792"/>
      <w:bookmarkStart w:id="30" w:name="_Toc432586772"/>
      <w:bookmarkStart w:id="31" w:name="_Toc464485819"/>
      <w:bookmarkStart w:id="32" w:name="_GoBack"/>
    </w:p>
    <w:bookmarkEnd w:id="32"/>
    <w:p w:rsidR="00ED1EE3" w:rsidRPr="000F6BA0" w:rsidRDefault="003D52DD" w:rsidP="008B484A">
      <w:pPr>
        <w:pStyle w:val="Heading1"/>
      </w:pPr>
      <w:r w:rsidRPr="000F6BA0">
        <w:rPr>
          <w:lang w:val="en-US"/>
        </w:rPr>
        <w:t xml:space="preserve">Article </w:t>
      </w:r>
      <w:r w:rsidR="001E7680" w:rsidRPr="000F6BA0">
        <w:rPr>
          <w:lang w:val="en-US"/>
        </w:rPr>
        <w:t>5</w:t>
      </w:r>
      <w:r w:rsidR="00ED1EE3" w:rsidRPr="000F6BA0">
        <w:rPr>
          <w:lang w:val="en-US"/>
        </w:rPr>
        <w:br/>
      </w:r>
      <w:bookmarkStart w:id="33" w:name="_Toc512241362"/>
      <w:r w:rsidR="00384D25" w:rsidRPr="000F6BA0">
        <w:rPr>
          <w:lang w:val="en-US"/>
        </w:rPr>
        <w:t>Generation and load shift keys</w:t>
      </w:r>
      <w:bookmarkEnd w:id="33"/>
      <w:r w:rsidR="008B484A">
        <w:rPr>
          <w:lang w:val="en-US"/>
        </w:rPr>
        <w:t xml:space="preserve"> </w:t>
      </w:r>
      <w:r w:rsidR="00ED1EE3" w:rsidRPr="000F6BA0">
        <w:t>(GSKs)</w:t>
      </w:r>
      <w:bookmarkEnd w:id="28"/>
    </w:p>
    <w:p w:rsidR="00ED1EE3" w:rsidRPr="000F6BA0" w:rsidRDefault="00F35DB6" w:rsidP="006855B0">
      <w:pPr>
        <w:rPr>
          <w:lang w:val="en-US"/>
        </w:rPr>
      </w:pPr>
      <w:r w:rsidRPr="000F6BA0">
        <w:rPr>
          <w:lang w:val="en-US"/>
        </w:rPr>
        <w:t xml:space="preserve">Article 13 of FCA </w:t>
      </w:r>
      <w:r w:rsidR="00414ED7" w:rsidRPr="000F6BA0">
        <w:rPr>
          <w:lang w:val="en-US"/>
        </w:rPr>
        <w:t xml:space="preserve">Regulation </w:t>
      </w:r>
      <w:r w:rsidRPr="000F6BA0">
        <w:rPr>
          <w:lang w:val="en-US"/>
        </w:rPr>
        <w:t xml:space="preserve">sets requirement to include methodology to determine </w:t>
      </w:r>
      <w:r w:rsidR="008B484A">
        <w:rPr>
          <w:lang w:val="en-US"/>
        </w:rPr>
        <w:t>g</w:t>
      </w:r>
      <w:r w:rsidR="008B484A" w:rsidRPr="008B484A">
        <w:rPr>
          <w:lang w:val="en-US"/>
        </w:rPr>
        <w:t xml:space="preserve">eneration and load shift </w:t>
      </w:r>
      <w:proofErr w:type="gramStart"/>
      <w:r w:rsidR="008B484A" w:rsidRPr="008B484A">
        <w:rPr>
          <w:lang w:val="en-US"/>
        </w:rPr>
        <w:t xml:space="preserve">keys </w:t>
      </w:r>
      <w:r w:rsidRPr="000F6BA0">
        <w:rPr>
          <w:lang w:val="en-US"/>
        </w:rPr>
        <w:t xml:space="preserve"> in</w:t>
      </w:r>
      <w:proofErr w:type="gramEnd"/>
      <w:r w:rsidRPr="000F6BA0">
        <w:rPr>
          <w:lang w:val="en-US"/>
        </w:rPr>
        <w:t xml:space="preserve"> Long-term CCM. </w:t>
      </w:r>
      <w:r w:rsidR="00414ED7" w:rsidRPr="000F6BA0">
        <w:rPr>
          <w:lang w:val="en-US"/>
        </w:rPr>
        <w:t>GSK</w:t>
      </w:r>
      <w:r w:rsidR="00C838CF" w:rsidRPr="000F6BA0">
        <w:rPr>
          <w:lang w:val="en-US"/>
        </w:rPr>
        <w:t xml:space="preserve">s </w:t>
      </w:r>
      <w:r w:rsidRPr="000F6BA0">
        <w:rPr>
          <w:lang w:val="en-US"/>
        </w:rPr>
        <w:t>s</w:t>
      </w:r>
      <w:r w:rsidR="00ED1EE3" w:rsidRPr="000F6BA0">
        <w:rPr>
          <w:lang w:val="en-US"/>
        </w:rPr>
        <w:t xml:space="preserve">hall be calculated as it is defined in “Capacity </w:t>
      </w:r>
      <w:r w:rsidR="008B484A">
        <w:rPr>
          <w:lang w:val="en-US"/>
        </w:rPr>
        <w:t>C</w:t>
      </w:r>
      <w:r w:rsidR="008B484A" w:rsidRPr="000F6BA0">
        <w:rPr>
          <w:lang w:val="en-US"/>
        </w:rPr>
        <w:t xml:space="preserve">alculation </w:t>
      </w:r>
      <w:r w:rsidR="008B484A">
        <w:rPr>
          <w:lang w:val="en-US"/>
        </w:rPr>
        <w:t>M</w:t>
      </w:r>
      <w:r w:rsidR="00ED1EE3" w:rsidRPr="000F6BA0">
        <w:rPr>
          <w:lang w:val="en-US"/>
        </w:rPr>
        <w:t>ethodology within the Baltic Capacity Calculation Region”</w:t>
      </w:r>
      <w:r w:rsidRPr="000F6BA0">
        <w:rPr>
          <w:lang w:val="en-US"/>
        </w:rPr>
        <w:t>.</w:t>
      </w:r>
    </w:p>
    <w:p w:rsidR="000F6BA0" w:rsidRPr="000F6BA0" w:rsidRDefault="000F6BA0" w:rsidP="00371B7B">
      <w:pPr>
        <w:pStyle w:val="Heading1"/>
        <w:rPr>
          <w:lang w:val="en-US"/>
        </w:rPr>
      </w:pPr>
    </w:p>
    <w:p w:rsidR="00ED1EE3" w:rsidRPr="000F6BA0" w:rsidRDefault="00ED1EE3" w:rsidP="0064032A">
      <w:pPr>
        <w:pStyle w:val="Heading1"/>
      </w:pPr>
      <w:bookmarkStart w:id="34" w:name="_Toc10105041"/>
      <w:r w:rsidRPr="000F6BA0">
        <w:rPr>
          <w:lang w:val="en-US"/>
        </w:rPr>
        <w:t xml:space="preserve">Article </w:t>
      </w:r>
      <w:r w:rsidR="001E7680" w:rsidRPr="000F6BA0">
        <w:rPr>
          <w:lang w:val="en-US"/>
        </w:rPr>
        <w:t>6</w:t>
      </w:r>
      <w:r w:rsidRPr="000F6BA0">
        <w:rPr>
          <w:lang w:val="en-US"/>
        </w:rPr>
        <w:br/>
      </w:r>
      <w:bookmarkStart w:id="35" w:name="_Toc512241363"/>
      <w:r w:rsidR="00B676DE" w:rsidRPr="000F6BA0">
        <w:rPr>
          <w:lang w:val="en-US"/>
        </w:rPr>
        <w:t>Remedial actions</w:t>
      </w:r>
      <w:bookmarkEnd w:id="35"/>
      <w:r w:rsidR="008B484A">
        <w:rPr>
          <w:lang w:val="en-US"/>
        </w:rPr>
        <w:t xml:space="preserve"> </w:t>
      </w:r>
      <w:r w:rsidRPr="000F6BA0">
        <w:t>(RAs)</w:t>
      </w:r>
      <w:bookmarkEnd w:id="34"/>
    </w:p>
    <w:p w:rsidR="00B676DE" w:rsidRPr="000F6BA0" w:rsidRDefault="00F35DB6" w:rsidP="00B1242A">
      <w:pPr>
        <w:rPr>
          <w:lang w:val="en-US"/>
        </w:rPr>
      </w:pPr>
      <w:r w:rsidRPr="000F6BA0">
        <w:rPr>
          <w:lang w:val="en-US"/>
        </w:rPr>
        <w:t>Article 14 of FCA</w:t>
      </w:r>
      <w:r w:rsidR="00414ED7" w:rsidRPr="000F6BA0">
        <w:rPr>
          <w:lang w:val="en-US"/>
        </w:rPr>
        <w:t xml:space="preserve"> Regulation</w:t>
      </w:r>
      <w:r w:rsidRPr="000F6BA0">
        <w:rPr>
          <w:lang w:val="en-US"/>
        </w:rPr>
        <w:t xml:space="preserve"> sets requirement to TSO</w:t>
      </w:r>
      <w:r w:rsidR="006C5521" w:rsidRPr="000F6BA0">
        <w:rPr>
          <w:lang w:val="en-US"/>
        </w:rPr>
        <w:t>s</w:t>
      </w:r>
      <w:r w:rsidRPr="000F6BA0">
        <w:rPr>
          <w:lang w:val="en-US"/>
        </w:rPr>
        <w:t xml:space="preserve"> to ensure that those remedial actions are taken into account in the long-term capacity calculation</w:t>
      </w:r>
      <w:r w:rsidR="00414ED7" w:rsidRPr="000F6BA0">
        <w:rPr>
          <w:lang w:val="en-US"/>
        </w:rPr>
        <w:t xml:space="preserve"> process</w:t>
      </w:r>
      <w:r w:rsidRPr="000F6BA0">
        <w:rPr>
          <w:lang w:val="en-US"/>
        </w:rPr>
        <w:t xml:space="preserve">, </w:t>
      </w:r>
      <w:r w:rsidR="006C5521" w:rsidRPr="000F6BA0">
        <w:rPr>
          <w:lang w:val="en-US"/>
        </w:rPr>
        <w:t xml:space="preserve">which </w:t>
      </w:r>
      <w:r w:rsidRPr="000F6BA0">
        <w:rPr>
          <w:lang w:val="en-US"/>
        </w:rPr>
        <w:t xml:space="preserve">are technically available in </w:t>
      </w:r>
      <w:r w:rsidR="00414ED7" w:rsidRPr="000F6BA0">
        <w:rPr>
          <w:lang w:val="en-US"/>
        </w:rPr>
        <w:t xml:space="preserve">the </w:t>
      </w:r>
      <w:r w:rsidRPr="000F6BA0">
        <w:rPr>
          <w:lang w:val="en-US"/>
        </w:rPr>
        <w:t xml:space="preserve">real time operation. </w:t>
      </w:r>
      <w:r w:rsidR="00575ECB" w:rsidRPr="000F6BA0">
        <w:rPr>
          <w:lang w:val="en-US"/>
        </w:rPr>
        <w:t>Therefore,</w:t>
      </w:r>
      <w:r w:rsidR="00945A05" w:rsidRPr="000F6BA0">
        <w:rPr>
          <w:lang w:val="en-US"/>
        </w:rPr>
        <w:t xml:space="preserve"> </w:t>
      </w:r>
      <w:r w:rsidR="008B484A">
        <w:rPr>
          <w:lang w:val="en-US"/>
        </w:rPr>
        <w:t>RAs</w:t>
      </w:r>
      <w:r w:rsidR="00945A05" w:rsidRPr="000F6BA0">
        <w:rPr>
          <w:lang w:val="en-US"/>
        </w:rPr>
        <w:t xml:space="preserve"> s</w:t>
      </w:r>
      <w:r w:rsidR="00B676DE" w:rsidRPr="000F6BA0">
        <w:rPr>
          <w:lang w:val="en-US"/>
        </w:rPr>
        <w:t xml:space="preserve">hall be </w:t>
      </w:r>
      <w:r w:rsidR="00945A05" w:rsidRPr="000F6BA0">
        <w:rPr>
          <w:lang w:val="en-US"/>
        </w:rPr>
        <w:t xml:space="preserve">taken into account </w:t>
      </w:r>
      <w:r w:rsidR="00B676DE" w:rsidRPr="000F6BA0">
        <w:rPr>
          <w:lang w:val="en-US"/>
        </w:rPr>
        <w:t xml:space="preserve">as it is defined in “Capacity </w:t>
      </w:r>
      <w:r w:rsidR="008B484A">
        <w:rPr>
          <w:lang w:val="en-US"/>
        </w:rPr>
        <w:t>C</w:t>
      </w:r>
      <w:r w:rsidR="00B676DE" w:rsidRPr="000F6BA0">
        <w:rPr>
          <w:lang w:val="en-US"/>
        </w:rPr>
        <w:t xml:space="preserve">alculation </w:t>
      </w:r>
      <w:r w:rsidR="008B484A">
        <w:rPr>
          <w:lang w:val="en-US"/>
        </w:rPr>
        <w:t>M</w:t>
      </w:r>
      <w:r w:rsidR="00B676DE" w:rsidRPr="000F6BA0">
        <w:rPr>
          <w:lang w:val="en-US"/>
        </w:rPr>
        <w:t xml:space="preserve">ethodology within the </w:t>
      </w:r>
      <w:bookmarkStart w:id="36" w:name="_Hlk3847825"/>
      <w:r w:rsidR="00B676DE" w:rsidRPr="000F6BA0">
        <w:rPr>
          <w:lang w:val="en-US"/>
        </w:rPr>
        <w:t>Baltic Capacity Calculation Region</w:t>
      </w:r>
      <w:bookmarkEnd w:id="36"/>
      <w:r w:rsidR="00B676DE" w:rsidRPr="000F6BA0">
        <w:rPr>
          <w:lang w:val="en-US"/>
        </w:rPr>
        <w:t>”</w:t>
      </w:r>
    </w:p>
    <w:p w:rsidR="00B1242A" w:rsidRPr="000F6BA0" w:rsidRDefault="00B1242A" w:rsidP="00B1242A">
      <w:pPr>
        <w:pStyle w:val="ListParagraph"/>
        <w:jc w:val="both"/>
        <w:rPr>
          <w:lang w:val="en-US"/>
        </w:rPr>
      </w:pPr>
    </w:p>
    <w:p w:rsidR="00145DF9" w:rsidRPr="000F6BA0" w:rsidRDefault="00ED1EE3" w:rsidP="00371B7B">
      <w:pPr>
        <w:pStyle w:val="Heading1"/>
        <w:rPr>
          <w:lang w:val="en-US"/>
        </w:rPr>
      </w:pPr>
      <w:bookmarkStart w:id="37" w:name="_Toc10105042"/>
      <w:r w:rsidRPr="000F6BA0">
        <w:rPr>
          <w:lang w:val="en-US"/>
        </w:rPr>
        <w:t>Article</w:t>
      </w:r>
      <w:r w:rsidRPr="000F6BA0" w:rsidDel="00ED1EE3">
        <w:rPr>
          <w:lang w:val="en-US"/>
        </w:rPr>
        <w:t xml:space="preserve"> </w:t>
      </w:r>
      <w:r w:rsidR="001E7680" w:rsidRPr="000F6BA0">
        <w:rPr>
          <w:lang w:val="en-US"/>
        </w:rPr>
        <w:t>7</w:t>
      </w:r>
      <w:r w:rsidR="003D52DD" w:rsidRPr="000F6BA0">
        <w:rPr>
          <w:lang w:val="en-US"/>
        </w:rPr>
        <w:br/>
      </w:r>
      <w:bookmarkEnd w:id="29"/>
      <w:bookmarkEnd w:id="30"/>
      <w:bookmarkEnd w:id="31"/>
      <w:r w:rsidR="003E17E7" w:rsidRPr="000F6BA0">
        <w:rPr>
          <w:lang w:val="en-US"/>
        </w:rPr>
        <w:t xml:space="preserve">Common </w:t>
      </w:r>
      <w:r w:rsidR="00514E3D" w:rsidRPr="000F6BA0">
        <w:rPr>
          <w:lang w:val="en-US"/>
        </w:rPr>
        <w:t>capacity calculation methodology for long-term time frames</w:t>
      </w:r>
      <w:bookmarkEnd w:id="37"/>
    </w:p>
    <w:p w:rsidR="00D4797E" w:rsidRPr="000F6BA0" w:rsidRDefault="001B334E" w:rsidP="001257F6">
      <w:pPr>
        <w:rPr>
          <w:lang w:val="en-US"/>
        </w:rPr>
      </w:pPr>
      <w:r w:rsidRPr="000F6BA0">
        <w:rPr>
          <w:lang w:val="en-US"/>
        </w:rPr>
        <w:t xml:space="preserve">Long-term cross-zonal capacity </w:t>
      </w:r>
      <w:r w:rsidR="00575ECB" w:rsidRPr="000F6BA0">
        <w:rPr>
          <w:rFonts w:cs="Times New Roman"/>
          <w:iCs/>
          <w:lang w:val="en-US"/>
        </w:rPr>
        <w:t xml:space="preserve">shall be calculated for each </w:t>
      </w:r>
      <w:r w:rsidR="00FC06CE" w:rsidRPr="000F6BA0">
        <w:rPr>
          <w:rFonts w:cs="Times New Roman"/>
          <w:iCs/>
          <w:lang w:val="en-US"/>
        </w:rPr>
        <w:t xml:space="preserve">timeframe </w:t>
      </w:r>
      <w:r w:rsidR="00AF072D" w:rsidRPr="000F6BA0">
        <w:rPr>
          <w:rFonts w:cs="Times New Roman"/>
          <w:iCs/>
          <w:lang w:val="en-US"/>
        </w:rPr>
        <w:t>which are</w:t>
      </w:r>
      <w:r w:rsidR="00414ED7" w:rsidRPr="000F6BA0">
        <w:rPr>
          <w:rFonts w:cs="Times New Roman"/>
          <w:iCs/>
          <w:lang w:val="en-US"/>
        </w:rPr>
        <w:t xml:space="preserve"> </w:t>
      </w:r>
      <w:r w:rsidR="00FC06CE" w:rsidRPr="000F6BA0">
        <w:rPr>
          <w:rFonts w:cs="Times New Roman"/>
          <w:iCs/>
          <w:lang w:val="en-US"/>
        </w:rPr>
        <w:t xml:space="preserve">foreseen in </w:t>
      </w:r>
      <w:r w:rsidR="00575ECB" w:rsidRPr="000F6BA0">
        <w:rPr>
          <w:rFonts w:cs="Times New Roman"/>
          <w:iCs/>
          <w:lang w:val="en-US"/>
        </w:rPr>
        <w:t>the regional design of long-term transmission rights pursuant to Article 3</w:t>
      </w:r>
      <w:r w:rsidR="00414ED7" w:rsidRPr="000F6BA0">
        <w:rPr>
          <w:rFonts w:cs="Times New Roman"/>
          <w:iCs/>
          <w:lang w:val="en-US"/>
        </w:rPr>
        <w:t>1</w:t>
      </w:r>
      <w:r w:rsidR="00575ECB" w:rsidRPr="000F6BA0">
        <w:rPr>
          <w:rFonts w:cs="Times New Roman"/>
          <w:iCs/>
          <w:lang w:val="en-US"/>
        </w:rPr>
        <w:t xml:space="preserve"> of FCA guidelines and any timeframe</w:t>
      </w:r>
      <w:r w:rsidR="0049238E" w:rsidRPr="000F6BA0">
        <w:rPr>
          <w:lang w:val="en-US"/>
        </w:rPr>
        <w:t xml:space="preserve"> </w:t>
      </w:r>
      <w:r w:rsidR="0049238E" w:rsidRPr="000F6BA0">
        <w:rPr>
          <w:rFonts w:cs="Times New Roman"/>
          <w:iCs/>
          <w:lang w:val="en-US"/>
        </w:rPr>
        <w:t>(except day-ahead and intraday timeframes)</w:t>
      </w:r>
      <w:r w:rsidR="00575ECB" w:rsidRPr="000F6BA0">
        <w:rPr>
          <w:rFonts w:cs="Times New Roman"/>
          <w:iCs/>
          <w:lang w:val="en-US"/>
        </w:rPr>
        <w:t xml:space="preserve"> required according to Article 11 of Regulation 543/2013.</w:t>
      </w:r>
      <w:r w:rsidR="00B62D5A" w:rsidRPr="000F6BA0">
        <w:rPr>
          <w:rFonts w:cs="Times New Roman"/>
          <w:iCs/>
          <w:lang w:val="en-US"/>
        </w:rPr>
        <w:t xml:space="preserve"> </w:t>
      </w:r>
      <w:r w:rsidR="00414ED7" w:rsidRPr="000F6BA0">
        <w:rPr>
          <w:lang w:val="en-US"/>
        </w:rPr>
        <w:t>Capacity calculation process</w:t>
      </w:r>
      <w:r w:rsidR="005F4EC1" w:rsidRPr="000F6BA0">
        <w:rPr>
          <w:lang w:val="en-US"/>
        </w:rPr>
        <w:t xml:space="preserve"> </w:t>
      </w:r>
      <w:r w:rsidR="00414ED7" w:rsidRPr="000F6BA0">
        <w:rPr>
          <w:lang w:val="en-US"/>
        </w:rPr>
        <w:t xml:space="preserve">shall be performed as </w:t>
      </w:r>
      <w:r w:rsidR="00F8496B" w:rsidRPr="000F6BA0">
        <w:rPr>
          <w:lang w:val="en-US"/>
        </w:rPr>
        <w:t xml:space="preserve">separate calculation </w:t>
      </w:r>
      <w:r w:rsidR="00414ED7" w:rsidRPr="000F6BA0">
        <w:rPr>
          <w:lang w:val="en-US"/>
        </w:rPr>
        <w:t>for each long</w:t>
      </w:r>
      <w:r w:rsidR="00AF072D" w:rsidRPr="000F6BA0">
        <w:rPr>
          <w:lang w:val="en-US"/>
        </w:rPr>
        <w:t>-</w:t>
      </w:r>
      <w:r w:rsidR="00414ED7" w:rsidRPr="000F6BA0">
        <w:rPr>
          <w:lang w:val="en-US"/>
        </w:rPr>
        <w:t>term timeframe.</w:t>
      </w:r>
    </w:p>
    <w:p w:rsidR="000A02A7" w:rsidRPr="000F6BA0" w:rsidRDefault="000A02A7" w:rsidP="001257F6">
      <w:pPr>
        <w:rPr>
          <w:lang w:val="en-US"/>
        </w:rPr>
      </w:pPr>
    </w:p>
    <w:p w:rsidR="00AF072D" w:rsidRDefault="00AF072D" w:rsidP="00AF072D">
      <w:pPr>
        <w:rPr>
          <w:lang w:val="en-US"/>
        </w:rPr>
      </w:pPr>
      <w:r w:rsidRPr="000F6BA0">
        <w:rPr>
          <w:lang w:val="en-US"/>
        </w:rPr>
        <w:t>Taking into account provisions of Article 97 of Commission Regulation (EU) 2017/1485 of 2 August 2017 establishing a guideline on electricity transmission system operation (SO GL), TSOs shall not start long-term capacity calculation process for any of the upcoming year's timeframes before 1</w:t>
      </w:r>
      <w:r w:rsidRPr="000F6BA0">
        <w:rPr>
          <w:vertAlign w:val="superscript"/>
          <w:lang w:val="en-US"/>
        </w:rPr>
        <w:t>st</w:t>
      </w:r>
      <w:r w:rsidRPr="000F6BA0">
        <w:rPr>
          <w:lang w:val="en-US"/>
        </w:rPr>
        <w:t xml:space="preserve"> of November of current year.</w:t>
      </w:r>
    </w:p>
    <w:p w:rsidR="000F6BA0" w:rsidRPr="000F6BA0" w:rsidRDefault="000F6BA0" w:rsidP="00AF072D">
      <w:pPr>
        <w:rPr>
          <w:lang w:val="en-US"/>
        </w:rPr>
      </w:pPr>
    </w:p>
    <w:p w:rsidR="00AF072D" w:rsidRPr="000F6BA0" w:rsidRDefault="00D4797E" w:rsidP="00717C6B">
      <w:pPr>
        <w:rPr>
          <w:lang w:val="en-US"/>
        </w:rPr>
      </w:pPr>
      <w:r w:rsidRPr="000F6BA0">
        <w:rPr>
          <w:lang w:val="en-US"/>
        </w:rPr>
        <w:t>Long-term cross-zonal capacity shall be calculated for all Baltic CCR borders</w:t>
      </w:r>
      <w:r w:rsidR="00C74664" w:rsidRPr="000F6BA0">
        <w:rPr>
          <w:lang w:val="en-US"/>
        </w:rPr>
        <w:t xml:space="preserve"> as soon as possible</w:t>
      </w:r>
      <w:r w:rsidR="000B3129" w:rsidRPr="000F6BA0">
        <w:rPr>
          <w:lang w:val="en-US"/>
        </w:rPr>
        <w:t xml:space="preserve"> </w:t>
      </w:r>
      <w:r w:rsidR="00C74664" w:rsidRPr="000F6BA0">
        <w:rPr>
          <w:lang w:val="en-US"/>
        </w:rPr>
        <w:t xml:space="preserve">from the time when TSOs and </w:t>
      </w:r>
      <w:r w:rsidR="00AF4BAB">
        <w:rPr>
          <w:lang w:val="en-US"/>
        </w:rPr>
        <w:t xml:space="preserve">Common Capacity Calculator </w:t>
      </w:r>
      <w:r w:rsidR="00AF4BAB" w:rsidRPr="00AF4BAB">
        <w:rPr>
          <w:lang w:val="en-US"/>
        </w:rPr>
        <w:t>(hereafter referred to as “</w:t>
      </w:r>
      <w:r w:rsidR="00C74664" w:rsidRPr="000F6BA0">
        <w:rPr>
          <w:lang w:val="en-US"/>
        </w:rPr>
        <w:t>CCC</w:t>
      </w:r>
      <w:r w:rsidR="00963528">
        <w:rPr>
          <w:lang w:val="en-US"/>
        </w:rPr>
        <w:t>”)</w:t>
      </w:r>
      <w:r w:rsidR="00C74664" w:rsidRPr="000F6BA0">
        <w:rPr>
          <w:lang w:val="en-US"/>
        </w:rPr>
        <w:t xml:space="preserve"> have all information (</w:t>
      </w:r>
      <w:r w:rsidR="003B1E1B" w:rsidRPr="000F6BA0">
        <w:rPr>
          <w:lang w:val="en-US"/>
        </w:rPr>
        <w:t>at least preliminary</w:t>
      </w:r>
      <w:r w:rsidR="00C74664" w:rsidRPr="000F6BA0">
        <w:rPr>
          <w:lang w:val="en-US"/>
        </w:rPr>
        <w:t>) needed for calculations</w:t>
      </w:r>
      <w:r w:rsidRPr="000F6BA0">
        <w:rPr>
          <w:lang w:val="en-US"/>
        </w:rPr>
        <w:t>.</w:t>
      </w:r>
      <w:r w:rsidR="000B3129" w:rsidRPr="000F6BA0">
        <w:rPr>
          <w:lang w:val="en-US"/>
        </w:rPr>
        <w:t xml:space="preserve"> </w:t>
      </w:r>
      <w:r w:rsidR="00EF7646" w:rsidRPr="000F6BA0">
        <w:rPr>
          <w:lang w:val="en-US"/>
        </w:rPr>
        <w:t>Usage of preliminary or final information depends on</w:t>
      </w:r>
      <w:r w:rsidR="00717C6B" w:rsidRPr="000F6BA0">
        <w:rPr>
          <w:lang w:val="en-US"/>
        </w:rPr>
        <w:t xml:space="preserve"> dates of</w:t>
      </w:r>
      <w:r w:rsidR="00EF7646" w:rsidRPr="000F6BA0">
        <w:rPr>
          <w:lang w:val="en-US"/>
        </w:rPr>
        <w:t xml:space="preserve"> </w:t>
      </w:r>
      <w:r w:rsidR="00717C6B" w:rsidRPr="000F6BA0">
        <w:rPr>
          <w:lang w:val="en-US"/>
        </w:rPr>
        <w:t>L</w:t>
      </w:r>
      <w:r w:rsidR="00EF7646" w:rsidRPr="000F6BA0">
        <w:rPr>
          <w:lang w:val="en-US"/>
        </w:rPr>
        <w:t>ong</w:t>
      </w:r>
      <w:r w:rsidR="00414ED7" w:rsidRPr="000F6BA0">
        <w:rPr>
          <w:lang w:val="en-US"/>
        </w:rPr>
        <w:t>-t</w:t>
      </w:r>
      <w:r w:rsidR="00EF7646" w:rsidRPr="000F6BA0">
        <w:rPr>
          <w:lang w:val="en-US"/>
        </w:rPr>
        <w:t xml:space="preserve">erm </w:t>
      </w:r>
      <w:r w:rsidR="00717C6B" w:rsidRPr="000F6BA0">
        <w:rPr>
          <w:lang w:val="en-US"/>
        </w:rPr>
        <w:t>T</w:t>
      </w:r>
      <w:r w:rsidR="00EF7646" w:rsidRPr="000F6BA0">
        <w:rPr>
          <w:lang w:val="en-US"/>
        </w:rPr>
        <w:t xml:space="preserve">ransmission </w:t>
      </w:r>
      <w:r w:rsidR="00717C6B" w:rsidRPr="000F6BA0">
        <w:rPr>
          <w:lang w:val="en-US"/>
        </w:rPr>
        <w:t>R</w:t>
      </w:r>
      <w:r w:rsidR="00EF7646" w:rsidRPr="000F6BA0">
        <w:rPr>
          <w:lang w:val="en-US"/>
        </w:rPr>
        <w:t>ights auctions.</w:t>
      </w:r>
    </w:p>
    <w:p w:rsidR="000B3129" w:rsidRPr="000F6BA0" w:rsidRDefault="000B3129" w:rsidP="00717C6B">
      <w:pPr>
        <w:rPr>
          <w:lang w:val="en-US"/>
        </w:rPr>
      </w:pPr>
    </w:p>
    <w:p w:rsidR="007D7545" w:rsidRPr="000F6BA0" w:rsidRDefault="000B3129" w:rsidP="001257F6">
      <w:pPr>
        <w:rPr>
          <w:lang w:val="en-US"/>
        </w:rPr>
      </w:pPr>
      <w:r w:rsidRPr="000F6BA0">
        <w:rPr>
          <w:lang w:val="en-US"/>
        </w:rPr>
        <w:lastRenderedPageBreak/>
        <w:t>TSOs and CCC shall strive to perform calculations in 5 working days after all information (</w:t>
      </w:r>
      <w:r w:rsidR="00FD5731" w:rsidRPr="000F6BA0">
        <w:rPr>
          <w:lang w:val="en-US"/>
        </w:rPr>
        <w:t>at least preliminary</w:t>
      </w:r>
      <w:r w:rsidRPr="000F6BA0">
        <w:rPr>
          <w:lang w:val="en-US"/>
        </w:rPr>
        <w:t>) needed for calculations is available. For yearly timeframe long-term capacity calculation process shall provide results by 15</w:t>
      </w:r>
      <w:r w:rsidRPr="000F6BA0">
        <w:rPr>
          <w:vertAlign w:val="superscript"/>
          <w:lang w:val="en-US"/>
        </w:rPr>
        <w:t>th</w:t>
      </w:r>
      <w:r w:rsidRPr="000F6BA0">
        <w:rPr>
          <w:lang w:val="en-US"/>
        </w:rPr>
        <w:t xml:space="preserve"> of November as the latest.</w:t>
      </w:r>
    </w:p>
    <w:p w:rsidR="000A02A7" w:rsidRPr="000F6BA0" w:rsidRDefault="000A02A7" w:rsidP="001257F6">
      <w:pPr>
        <w:rPr>
          <w:lang w:val="en-US"/>
        </w:rPr>
      </w:pPr>
    </w:p>
    <w:p w:rsidR="00B83305" w:rsidRPr="000F6BA0" w:rsidRDefault="00936172" w:rsidP="00936172">
      <w:pPr>
        <w:rPr>
          <w:lang w:val="en-US"/>
        </w:rPr>
      </w:pPr>
      <w:r w:rsidRPr="000F6BA0">
        <w:rPr>
          <w:lang w:val="en-US"/>
        </w:rPr>
        <w:t xml:space="preserve">To increase the efficiency of calculating the capacity and the economic efficiency with the same level of system security </w:t>
      </w:r>
      <w:r w:rsidR="00ED1EE3" w:rsidRPr="000F6BA0">
        <w:rPr>
          <w:lang w:val="en-US"/>
        </w:rPr>
        <w:t>while</w:t>
      </w:r>
      <w:r w:rsidRPr="000F6BA0">
        <w:rPr>
          <w:lang w:val="en-US"/>
        </w:rPr>
        <w:t xml:space="preserve"> tak</w:t>
      </w:r>
      <w:r w:rsidR="00ED1EE3" w:rsidRPr="000F6BA0">
        <w:rPr>
          <w:lang w:val="en-US"/>
        </w:rPr>
        <w:t>ing</w:t>
      </w:r>
      <w:r w:rsidRPr="000F6BA0">
        <w:rPr>
          <w:lang w:val="en-US"/>
        </w:rPr>
        <w:t xml:space="preserve"> into account the uncertainties in long-term cross-zonal capacity calculation, the long-term cross-zonal capacity for respective border and respective timeframe is calculated</w:t>
      </w:r>
      <w:r w:rsidR="00ED1EE3" w:rsidRPr="000F6BA0">
        <w:rPr>
          <w:lang w:val="en-US"/>
        </w:rPr>
        <w:t xml:space="preserve"> according to Article 23(</w:t>
      </w:r>
      <w:r w:rsidR="009E5F14" w:rsidRPr="000F6BA0">
        <w:rPr>
          <w:lang w:val="en-US"/>
        </w:rPr>
        <w:t>2</w:t>
      </w:r>
      <w:r w:rsidR="00ED1EE3" w:rsidRPr="000F6BA0">
        <w:rPr>
          <w:lang w:val="en-US"/>
        </w:rPr>
        <w:t>)</w:t>
      </w:r>
      <w:r w:rsidR="009E5F14" w:rsidRPr="000F6BA0">
        <w:rPr>
          <w:lang w:val="en-US"/>
        </w:rPr>
        <w:t xml:space="preserve"> of FCA</w:t>
      </w:r>
      <w:r w:rsidR="00F26B50" w:rsidRPr="000F6BA0">
        <w:rPr>
          <w:lang w:val="en-US"/>
        </w:rPr>
        <w:t xml:space="preserve"> Regulation</w:t>
      </w:r>
      <w:r w:rsidR="00A8050A" w:rsidRPr="000F6BA0">
        <w:rPr>
          <w:lang w:val="en-US"/>
        </w:rPr>
        <w:t xml:space="preserve">. </w:t>
      </w:r>
    </w:p>
    <w:p w:rsidR="00D10CD9" w:rsidRPr="000F6BA0" w:rsidRDefault="00D10CD9" w:rsidP="00D7480E">
      <w:pPr>
        <w:rPr>
          <w:lang w:val="en-US"/>
        </w:rPr>
      </w:pPr>
    </w:p>
    <w:p w:rsidR="00FA5B73" w:rsidRPr="000F6BA0" w:rsidRDefault="00384D25" w:rsidP="00D7480E">
      <w:pPr>
        <w:rPr>
          <w:lang w:val="en-US"/>
        </w:rPr>
      </w:pPr>
      <w:r w:rsidRPr="000F6BA0">
        <w:rPr>
          <w:lang w:val="en-US"/>
        </w:rPr>
        <w:t>Long</w:t>
      </w:r>
      <w:r w:rsidR="006855B0" w:rsidRPr="000F6BA0">
        <w:rPr>
          <w:lang w:val="en-US"/>
        </w:rPr>
        <w:t>-t</w:t>
      </w:r>
      <w:r w:rsidRPr="000F6BA0">
        <w:rPr>
          <w:lang w:val="en-US"/>
        </w:rPr>
        <w:t xml:space="preserve">erm </w:t>
      </w:r>
      <w:r w:rsidR="009D025F" w:rsidRPr="000F6BA0">
        <w:rPr>
          <w:lang w:val="en-US"/>
        </w:rPr>
        <w:t xml:space="preserve">cross-zonal </w:t>
      </w:r>
      <w:r w:rsidR="00B10C7A" w:rsidRPr="000F6BA0">
        <w:rPr>
          <w:lang w:val="en-US"/>
        </w:rPr>
        <w:t>CCM</w:t>
      </w:r>
      <w:r w:rsidR="00FA5B73" w:rsidRPr="000F6BA0">
        <w:rPr>
          <w:lang w:val="en-US"/>
        </w:rPr>
        <w:t xml:space="preserve"> for each Baltic CCR border is given below</w:t>
      </w:r>
      <w:r w:rsidR="00674A01" w:rsidRPr="000F6BA0">
        <w:rPr>
          <w:lang w:val="en-US"/>
        </w:rPr>
        <w:t xml:space="preserve"> in sections 7.1 – 7.5</w:t>
      </w:r>
      <w:r w:rsidR="009D025F" w:rsidRPr="000F6BA0">
        <w:rPr>
          <w:lang w:val="en-US"/>
        </w:rPr>
        <w:t xml:space="preserve">. </w:t>
      </w:r>
      <w:r w:rsidR="00316AD4" w:rsidRPr="000F6BA0">
        <w:rPr>
          <w:lang w:val="en-US"/>
        </w:rPr>
        <w:t>Long-</w:t>
      </w:r>
      <w:r w:rsidR="008B484A">
        <w:rPr>
          <w:lang w:val="en-US"/>
        </w:rPr>
        <w:t>t</w:t>
      </w:r>
      <w:r w:rsidR="008B484A" w:rsidRPr="000F6BA0">
        <w:rPr>
          <w:lang w:val="en-US"/>
        </w:rPr>
        <w:t xml:space="preserve">erm </w:t>
      </w:r>
      <w:r w:rsidR="009D025F" w:rsidRPr="000F6BA0">
        <w:rPr>
          <w:lang w:val="en-US"/>
        </w:rPr>
        <w:t xml:space="preserve">cross-zonal capacity </w:t>
      </w:r>
      <w:r w:rsidR="00FA5B73" w:rsidRPr="000F6BA0">
        <w:rPr>
          <w:lang w:val="en-US"/>
        </w:rPr>
        <w:t xml:space="preserve">calculation process </w:t>
      </w:r>
      <w:r w:rsidR="004502D6" w:rsidRPr="000F6BA0">
        <w:rPr>
          <w:lang w:val="en-US"/>
        </w:rPr>
        <w:t>shall be performed by CCC and TSOs following requirements of Section 4 of FCA.</w:t>
      </w:r>
      <w:r w:rsidR="002C01D6" w:rsidRPr="000F6BA0">
        <w:rPr>
          <w:lang w:val="en-US"/>
        </w:rPr>
        <w:t xml:space="preserve"> </w:t>
      </w:r>
      <w:r w:rsidR="00AF4BAB" w:rsidRPr="00AF4BAB">
        <w:rPr>
          <w:lang w:val="en-US"/>
        </w:rPr>
        <w:t xml:space="preserve">Total Transfer Capacity </w:t>
      </w:r>
      <w:r w:rsidR="00AF4BAB">
        <w:rPr>
          <w:lang w:val="en-US"/>
        </w:rPr>
        <w:t>(</w:t>
      </w:r>
      <w:r w:rsidR="002C01D6" w:rsidRPr="000F6BA0">
        <w:rPr>
          <w:lang w:val="en-US"/>
        </w:rPr>
        <w:t>TTC</w:t>
      </w:r>
      <w:r w:rsidR="00AF4BAB">
        <w:rPr>
          <w:lang w:val="en-US"/>
        </w:rPr>
        <w:t>)</w:t>
      </w:r>
      <w:r w:rsidR="002C01D6" w:rsidRPr="000F6BA0">
        <w:rPr>
          <w:lang w:val="en-US"/>
        </w:rPr>
        <w:t xml:space="preserve"> values used in sections 7.1-7.5 of this methodology shall be calculated as it is defined in “Capacity </w:t>
      </w:r>
      <w:r w:rsidR="008B484A">
        <w:rPr>
          <w:lang w:val="en-US"/>
        </w:rPr>
        <w:t>C</w:t>
      </w:r>
      <w:r w:rsidR="008B484A" w:rsidRPr="000F6BA0">
        <w:rPr>
          <w:lang w:val="en-US"/>
        </w:rPr>
        <w:t xml:space="preserve">alculation </w:t>
      </w:r>
      <w:r w:rsidR="008B484A">
        <w:rPr>
          <w:lang w:val="en-US"/>
        </w:rPr>
        <w:t>M</w:t>
      </w:r>
      <w:r w:rsidR="008B484A" w:rsidRPr="000F6BA0">
        <w:rPr>
          <w:lang w:val="en-US"/>
        </w:rPr>
        <w:t xml:space="preserve">ethodology </w:t>
      </w:r>
      <w:r w:rsidR="002C01D6" w:rsidRPr="000F6BA0">
        <w:rPr>
          <w:lang w:val="en-US"/>
        </w:rPr>
        <w:t>within the Baltic Capacity Calculation Region".</w:t>
      </w:r>
    </w:p>
    <w:p w:rsidR="00084B7F" w:rsidRPr="000F6BA0" w:rsidRDefault="00084B7F" w:rsidP="00D7480E">
      <w:pPr>
        <w:rPr>
          <w:lang w:val="en-US"/>
        </w:rPr>
      </w:pPr>
    </w:p>
    <w:p w:rsidR="003B457E" w:rsidRDefault="003B457E" w:rsidP="00316AD4">
      <w:pPr>
        <w:rPr>
          <w:lang w:val="en-US"/>
        </w:rPr>
      </w:pPr>
      <w:r w:rsidRPr="000F6BA0">
        <w:rPr>
          <w:lang w:val="en-US"/>
        </w:rPr>
        <w:t xml:space="preserve">Until </w:t>
      </w:r>
      <w:r w:rsidR="00B10C7A" w:rsidRPr="000F6BA0">
        <w:rPr>
          <w:lang w:val="en-US"/>
        </w:rPr>
        <w:t>CCC</w:t>
      </w:r>
      <w:r w:rsidRPr="000F6BA0">
        <w:rPr>
          <w:lang w:val="en-US"/>
        </w:rPr>
        <w:t xml:space="preserve"> </w:t>
      </w:r>
      <w:r w:rsidR="00B10C7A" w:rsidRPr="000F6BA0">
        <w:rPr>
          <w:lang w:val="en-US"/>
        </w:rPr>
        <w:t>is</w:t>
      </w:r>
      <w:r w:rsidRPr="000F6BA0">
        <w:rPr>
          <w:lang w:val="en-US"/>
        </w:rPr>
        <w:t xml:space="preserve"> established and </w:t>
      </w:r>
      <w:r w:rsidR="00B10C7A" w:rsidRPr="000F6BA0">
        <w:rPr>
          <w:lang w:val="en-US"/>
        </w:rPr>
        <w:t>is ready to</w:t>
      </w:r>
      <w:r w:rsidRPr="000F6BA0">
        <w:rPr>
          <w:lang w:val="en-US"/>
        </w:rPr>
        <w:t xml:space="preserve"> perform their functions, capacity calculation and coordination is performed by TSOs related to respective borders.</w:t>
      </w:r>
    </w:p>
    <w:p w:rsidR="000F6BA0" w:rsidRPr="000F6BA0" w:rsidRDefault="000F6BA0" w:rsidP="00316AD4">
      <w:pPr>
        <w:rPr>
          <w:lang w:val="en-US"/>
        </w:rPr>
      </w:pPr>
    </w:p>
    <w:p w:rsidR="00887790" w:rsidRPr="000F6BA0" w:rsidRDefault="00887790" w:rsidP="00887790">
      <w:pPr>
        <w:rPr>
          <w:lang w:val="en-US"/>
        </w:rPr>
      </w:pPr>
      <w:r w:rsidRPr="000F6BA0">
        <w:rPr>
          <w:lang w:val="en-US"/>
        </w:rPr>
        <w:t xml:space="preserve">Long-term cross-zonal capacity splitting shall be performed according to methodology developed under Article 16 of FCA Regulation and shall be applied only for borders where long-term capacity auctions are being </w:t>
      </w:r>
      <w:r w:rsidR="00B10C7A" w:rsidRPr="000F6BA0">
        <w:rPr>
          <w:lang w:val="en-US"/>
        </w:rPr>
        <w:t>used</w:t>
      </w:r>
      <w:r w:rsidRPr="000F6BA0">
        <w:rPr>
          <w:lang w:val="en-US"/>
        </w:rPr>
        <w:t>.</w:t>
      </w:r>
    </w:p>
    <w:p w:rsidR="00887790" w:rsidRPr="000F6BA0" w:rsidRDefault="00887790" w:rsidP="00316AD4">
      <w:pPr>
        <w:rPr>
          <w:lang w:val="en-US"/>
        </w:rPr>
      </w:pPr>
    </w:p>
    <w:p w:rsidR="007F1888" w:rsidRPr="000F6BA0" w:rsidRDefault="00BC3437" w:rsidP="00061630">
      <w:pPr>
        <w:pStyle w:val="HeadingforCross-zone"/>
        <w:numPr>
          <w:ilvl w:val="0"/>
          <w:numId w:val="0"/>
        </w:numPr>
        <w:ind w:left="360"/>
        <w:rPr>
          <w:lang w:val="en-US"/>
        </w:rPr>
      </w:pPr>
      <w:r w:rsidRPr="000F6BA0">
        <w:rPr>
          <w:lang w:val="en-US"/>
        </w:rPr>
        <w:t>7.1</w:t>
      </w:r>
      <w:r w:rsidR="000A02A7" w:rsidRPr="000F6BA0">
        <w:rPr>
          <w:lang w:val="en-US"/>
        </w:rPr>
        <w:t xml:space="preserve"> </w:t>
      </w:r>
      <w:r w:rsidR="007650EB" w:rsidRPr="000F6BA0">
        <w:rPr>
          <w:lang w:val="en-US"/>
        </w:rPr>
        <w:t>Long</w:t>
      </w:r>
      <w:r w:rsidR="006855B0" w:rsidRPr="000F6BA0">
        <w:rPr>
          <w:lang w:val="en-US"/>
        </w:rPr>
        <w:t>-t</w:t>
      </w:r>
      <w:r w:rsidR="007650EB" w:rsidRPr="000F6BA0">
        <w:rPr>
          <w:lang w:val="en-US"/>
        </w:rPr>
        <w:t xml:space="preserve">erm </w:t>
      </w:r>
      <w:r w:rsidR="007F1888" w:rsidRPr="000F6BA0">
        <w:rPr>
          <w:lang w:val="en-US"/>
        </w:rPr>
        <w:t>Capacity Calculation Rules Between Estonian and Latvian Power Systems</w:t>
      </w:r>
    </w:p>
    <w:p w:rsidR="000A02A7" w:rsidRPr="000F6BA0" w:rsidRDefault="000A02A7" w:rsidP="00D7480E">
      <w:pPr>
        <w:rPr>
          <w:lang w:val="en-US"/>
        </w:rPr>
      </w:pPr>
    </w:p>
    <w:p w:rsidR="000A02A7" w:rsidRPr="000F6BA0" w:rsidRDefault="00BC3437" w:rsidP="00D7480E">
      <w:pPr>
        <w:rPr>
          <w:lang w:val="en-US"/>
        </w:rPr>
      </w:pPr>
      <w:r w:rsidRPr="000F6BA0">
        <w:rPr>
          <w:lang w:val="en-US"/>
        </w:rPr>
        <w:t>7</w:t>
      </w:r>
      <w:r w:rsidR="000A02A7" w:rsidRPr="000F6BA0">
        <w:rPr>
          <w:lang w:val="en-US"/>
        </w:rPr>
        <w:t>.1.</w:t>
      </w:r>
      <w:r w:rsidR="002F336C" w:rsidRPr="000F6BA0">
        <w:rPr>
          <w:lang w:val="en-US"/>
        </w:rPr>
        <w:t>1</w:t>
      </w:r>
      <w:r w:rsidR="000A02A7" w:rsidRPr="000F6BA0">
        <w:rPr>
          <w:lang w:val="en-US"/>
        </w:rPr>
        <w:t xml:space="preserve"> TSOs and </w:t>
      </w:r>
      <w:r w:rsidR="00B10C7A" w:rsidRPr="000F6BA0">
        <w:rPr>
          <w:lang w:val="en-US"/>
        </w:rPr>
        <w:t>CCC</w:t>
      </w:r>
      <w:r w:rsidR="000A02A7" w:rsidRPr="000F6BA0">
        <w:rPr>
          <w:lang w:val="en-US"/>
        </w:rPr>
        <w:t xml:space="preserve"> calculate </w:t>
      </w:r>
      <w:r w:rsidR="00B676DE" w:rsidRPr="000F6BA0">
        <w:rPr>
          <w:lang w:val="en-US"/>
        </w:rPr>
        <w:t>Long</w:t>
      </w:r>
      <w:r w:rsidR="006855B0" w:rsidRPr="000F6BA0">
        <w:rPr>
          <w:lang w:val="en-US"/>
        </w:rPr>
        <w:t>-t</w:t>
      </w:r>
      <w:r w:rsidR="00B676DE" w:rsidRPr="000F6BA0">
        <w:rPr>
          <w:lang w:val="en-US"/>
        </w:rPr>
        <w:t xml:space="preserve">erm </w:t>
      </w:r>
      <w:r w:rsidR="00AF4BAB">
        <w:rPr>
          <w:lang w:val="en-US"/>
        </w:rPr>
        <w:t>Net Transmission Capacity (</w:t>
      </w:r>
      <w:r w:rsidR="000A02A7" w:rsidRPr="000F6BA0">
        <w:rPr>
          <w:lang w:val="en-US"/>
        </w:rPr>
        <w:t>NTC</w:t>
      </w:r>
      <w:r w:rsidR="00AF4BAB">
        <w:rPr>
          <w:lang w:val="en-US"/>
        </w:rPr>
        <w:t>)</w:t>
      </w:r>
      <w:r w:rsidR="000A02A7" w:rsidRPr="000F6BA0">
        <w:rPr>
          <w:lang w:val="en-US"/>
        </w:rPr>
        <w:t xml:space="preserve"> value for Estonia-Latvia Cross-Border Interconnection using following equation: </w:t>
      </w:r>
    </w:p>
    <w:p w:rsidR="000A02A7" w:rsidRPr="000F6BA0" w:rsidRDefault="000A02A7" w:rsidP="00D7480E">
      <w:pPr>
        <w:rPr>
          <w:lang w:val="en-US"/>
        </w:rPr>
      </w:pPr>
    </w:p>
    <w:p w:rsidR="000A02A7" w:rsidRPr="000F6BA0" w:rsidRDefault="009B7F44" w:rsidP="006855B0">
      <w:pPr>
        <w:jc w:val="right"/>
        <w:rPr>
          <w:lang w:val="en-US"/>
        </w:rPr>
      </w:pPr>
      <w:r w:rsidRPr="000F6BA0">
        <w:rPr>
          <w:rFonts w:ascii="Arial" w:hAnsi="Arial" w:cs="Arial"/>
          <w:sz w:val="22"/>
          <w:lang w:val="en-US"/>
        </w:rPr>
        <w:t xml:space="preserve">NTC = </w:t>
      </w:r>
      <w:proofErr w:type="gramStart"/>
      <w:r w:rsidRPr="000F6BA0">
        <w:rPr>
          <w:rFonts w:ascii="Arial" w:hAnsi="Arial" w:cs="Arial"/>
          <w:sz w:val="22"/>
          <w:lang w:val="en-US"/>
        </w:rPr>
        <w:t>min(</w:t>
      </w:r>
      <w:proofErr w:type="gramEnd"/>
      <w:r w:rsidRPr="000F6BA0">
        <w:rPr>
          <w:rFonts w:ascii="Arial" w:hAnsi="Arial" w:cs="Arial"/>
          <w:sz w:val="22"/>
          <w:lang w:val="en-US"/>
        </w:rPr>
        <w:t>((TTC</w:t>
      </w:r>
      <w:r w:rsidRPr="000F6BA0">
        <w:rPr>
          <w:rFonts w:ascii="Arial" w:hAnsi="Arial" w:cs="Arial"/>
          <w:sz w:val="22"/>
          <w:vertAlign w:val="subscript"/>
          <w:lang w:val="en-US"/>
        </w:rPr>
        <w:t>1</w:t>
      </w:r>
      <w:r w:rsidRPr="000F6BA0">
        <w:rPr>
          <w:rFonts w:ascii="Arial" w:hAnsi="Arial" w:cs="Arial"/>
          <w:sz w:val="22"/>
          <w:lang w:val="en-US"/>
        </w:rPr>
        <w:t xml:space="preserve"> + </w:t>
      </w:r>
      <m:oMath>
        <m:nary>
          <m:naryPr>
            <m:chr m:val="∑"/>
            <m:limLoc m:val="undOvr"/>
            <m:ctrlPr>
              <w:rPr>
                <w:rFonts w:ascii="Cambria Math" w:hAnsi="Cambria Math" w:cs="Arial"/>
                <w:i/>
                <w:sz w:val="22"/>
                <w:lang w:val="en-US"/>
              </w:rPr>
            </m:ctrlPr>
          </m:naryPr>
          <m:sub>
            <m:r>
              <w:rPr>
                <w:rFonts w:ascii="Cambria Math" w:hAnsi="Cambria Math" w:cs="Arial"/>
                <w:sz w:val="22"/>
                <w:lang w:val="en-US"/>
              </w:rPr>
              <m:t>i=1</m:t>
            </m:r>
          </m:sub>
          <m:sup>
            <m:r>
              <w:rPr>
                <w:rFonts w:ascii="Cambria Math" w:hAnsi="Cambria Math" w:cs="Arial"/>
                <w:sz w:val="22"/>
                <w:lang w:val="en-US"/>
              </w:rPr>
              <m:t>n</m:t>
            </m:r>
          </m:sup>
          <m:e>
            <m:sSub>
              <m:sSubPr>
                <m:ctrlPr>
                  <w:rPr>
                    <w:rFonts w:ascii="Cambria Math" w:hAnsi="Cambria Math" w:cs="Arial"/>
                    <w:sz w:val="22"/>
                    <w:lang w:val="en-US"/>
                  </w:rPr>
                </m:ctrlPr>
              </m:sSubPr>
              <m:e>
                <m:r>
                  <m:rPr>
                    <m:sty m:val="p"/>
                  </m:rPr>
                  <w:rPr>
                    <w:rFonts w:ascii="Cambria Math" w:hAnsi="Cambria Math" w:cs="Arial"/>
                    <w:sz w:val="22"/>
                    <w:lang w:val="en-US"/>
                  </w:rPr>
                  <m:t>K</m:t>
                </m:r>
              </m:e>
              <m:sub>
                <m:r>
                  <w:rPr>
                    <w:rFonts w:ascii="Cambria Math" w:hAnsi="Cambria Math" w:cs="Arial"/>
                    <w:sz w:val="22"/>
                    <w:lang w:val="en-US"/>
                  </w:rPr>
                  <m:t>i</m:t>
                </m:r>
              </m:sub>
            </m:sSub>
            <m:r>
              <m:rPr>
                <m:sty m:val="p"/>
              </m:rPr>
              <w:rPr>
                <w:rFonts w:ascii="Cambria Math" w:hAnsi="Cambria Math" w:cs="Arial"/>
                <w:sz w:val="22"/>
                <w:lang w:val="en-US"/>
              </w:rPr>
              <m:t>∙</m:t>
            </m:r>
            <m:sSub>
              <m:sSubPr>
                <m:ctrlPr>
                  <w:rPr>
                    <w:rFonts w:ascii="Cambria Math" w:hAnsi="Cambria Math" w:cs="Arial"/>
                    <w:sz w:val="22"/>
                    <w:lang w:val="en-US"/>
                  </w:rPr>
                </m:ctrlPr>
              </m:sSubPr>
              <m:e>
                <m:r>
                  <w:rPr>
                    <w:rFonts w:ascii="Cambria Math" w:hAnsi="Cambria Math" w:cs="Arial"/>
                    <w:sz w:val="22"/>
                    <w:lang w:val="en-US"/>
                  </w:rPr>
                  <m:t>P</m:t>
                </m:r>
              </m:e>
              <m:sub>
                <m:r>
                  <w:rPr>
                    <w:rFonts w:ascii="Cambria Math" w:hAnsi="Cambria Math" w:cs="Arial"/>
                    <w:sz w:val="22"/>
                    <w:lang w:val="en-US"/>
                  </w:rPr>
                  <m:t>i</m:t>
                </m:r>
              </m:sub>
            </m:sSub>
          </m:e>
        </m:nary>
      </m:oMath>
      <w:r w:rsidRPr="000F6BA0">
        <w:rPr>
          <w:rFonts w:ascii="Arial" w:hAnsi="Arial" w:cs="Arial"/>
          <w:sz w:val="22"/>
          <w:lang w:val="en-US"/>
        </w:rPr>
        <w:t xml:space="preserve">) – TRM); </w:t>
      </w:r>
      <w:r w:rsidRPr="000F6BA0">
        <w:rPr>
          <w:rFonts w:ascii="Arial" w:eastAsia="Calibri" w:hAnsi="Arial" w:cs="Arial"/>
          <w:sz w:val="22"/>
          <w:lang w:val="en-US"/>
        </w:rPr>
        <w:t>TTC</w:t>
      </w:r>
      <w:r w:rsidRPr="000F6BA0">
        <w:rPr>
          <w:rFonts w:ascii="Arial" w:eastAsia="Calibri" w:hAnsi="Arial" w:cs="Arial"/>
          <w:sz w:val="22"/>
          <w:vertAlign w:val="subscript"/>
          <w:lang w:val="en-US"/>
        </w:rPr>
        <w:t>2</w:t>
      </w:r>
      <w:r w:rsidRPr="000F6BA0">
        <w:rPr>
          <w:rFonts w:ascii="Arial" w:eastAsia="Calibri" w:hAnsi="Arial" w:cs="Arial"/>
          <w:sz w:val="22"/>
          <w:lang w:val="en-US"/>
        </w:rPr>
        <w:t xml:space="preserve"> – TRM)</w:t>
      </w:r>
      <w:r w:rsidR="000A02A7" w:rsidRPr="000F6BA0">
        <w:rPr>
          <w:lang w:val="en-US"/>
        </w:rPr>
        <w:tab/>
      </w:r>
      <w:r w:rsidR="00887790" w:rsidRPr="000F6BA0">
        <w:rPr>
          <w:lang w:val="en-US"/>
        </w:rPr>
        <w:tab/>
      </w:r>
      <w:r w:rsidR="000A02A7" w:rsidRPr="000F6BA0">
        <w:rPr>
          <w:lang w:val="en-US"/>
        </w:rPr>
        <w:tab/>
        <w:t>(</w:t>
      </w:r>
      <w:r w:rsidR="00693C72" w:rsidRPr="000F6BA0">
        <w:rPr>
          <w:lang w:val="en-US"/>
        </w:rPr>
        <w:t>1</w:t>
      </w:r>
      <w:r w:rsidR="000A02A7" w:rsidRPr="000F6BA0">
        <w:rPr>
          <w:lang w:val="en-US"/>
        </w:rPr>
        <w:t>)</w:t>
      </w:r>
    </w:p>
    <w:p w:rsidR="000A02A7" w:rsidRPr="000F6BA0" w:rsidRDefault="000A02A7" w:rsidP="00D7480E">
      <w:pPr>
        <w:rPr>
          <w:lang w:val="en-US"/>
        </w:rPr>
      </w:pPr>
    </w:p>
    <w:p w:rsidR="000A02A7" w:rsidRPr="000F6BA0" w:rsidRDefault="000A02A7" w:rsidP="00D7480E">
      <w:pPr>
        <w:rPr>
          <w:lang w:val="en-US"/>
        </w:rPr>
      </w:pPr>
      <w:r w:rsidRPr="000F6BA0">
        <w:rPr>
          <w:lang w:val="en-US"/>
        </w:rPr>
        <w:t xml:space="preserve">where: </w:t>
      </w:r>
    </w:p>
    <w:p w:rsidR="000A02A7" w:rsidRPr="000F6BA0" w:rsidRDefault="000A02A7" w:rsidP="00D7480E">
      <w:pPr>
        <w:rPr>
          <w:lang w:val="en-US"/>
        </w:rPr>
      </w:pPr>
      <w:r w:rsidRPr="000F6BA0">
        <w:rPr>
          <w:lang w:val="en-US"/>
        </w:rPr>
        <w:t>TTC</w:t>
      </w:r>
      <w:r w:rsidRPr="000F6BA0">
        <w:rPr>
          <w:vertAlign w:val="subscript"/>
          <w:lang w:val="en-US"/>
        </w:rPr>
        <w:t>1</w:t>
      </w:r>
      <w:r w:rsidRPr="000F6BA0">
        <w:rPr>
          <w:lang w:val="en-US"/>
        </w:rPr>
        <w:t xml:space="preserve"> – Total Transfer Capacity after (N-1) Situation has occurred from actual power system network status according to Instruction for parallel operation in the Cross-Border Interconnection between Estonian, Russian and Latvian power systems. The value of TTC</w:t>
      </w:r>
      <w:r w:rsidRPr="000F6BA0">
        <w:rPr>
          <w:vertAlign w:val="subscript"/>
          <w:lang w:val="en-US"/>
        </w:rPr>
        <w:t>1</w:t>
      </w:r>
      <w:r w:rsidRPr="000F6BA0">
        <w:rPr>
          <w:lang w:val="en-US"/>
        </w:rPr>
        <w:t xml:space="preserve"> is independent on influence of ambient temperatures – values at 0 (zero) temperature shall be used; </w:t>
      </w:r>
    </w:p>
    <w:p w:rsidR="00862A22" w:rsidRPr="000F6BA0" w:rsidRDefault="00862A22" w:rsidP="00D7480E">
      <w:pPr>
        <w:rPr>
          <w:lang w:val="en-US"/>
        </w:rPr>
      </w:pPr>
    </w:p>
    <w:p w:rsidR="000A02A7" w:rsidRPr="000F6BA0" w:rsidRDefault="000A02A7" w:rsidP="00D7480E">
      <w:pPr>
        <w:rPr>
          <w:lang w:val="en-US"/>
        </w:rPr>
      </w:pPr>
      <w:r w:rsidRPr="000F6BA0">
        <w:rPr>
          <w:lang w:val="en-US"/>
        </w:rPr>
        <w:t>TTC</w:t>
      </w:r>
      <w:r w:rsidRPr="000F6BA0">
        <w:rPr>
          <w:vertAlign w:val="subscript"/>
          <w:lang w:val="en-US"/>
        </w:rPr>
        <w:t>2</w:t>
      </w:r>
      <w:r w:rsidRPr="000F6BA0">
        <w:rPr>
          <w:lang w:val="en-US"/>
        </w:rPr>
        <w:t xml:space="preserve"> – Total Transfer Capacity value for actual power system network status, according to Instruction for parallel operation in the Cross-Border Interconnection between Estonian, Russian and Latvian power systems. The value of TTC</w:t>
      </w:r>
      <w:r w:rsidRPr="000F6BA0">
        <w:rPr>
          <w:vertAlign w:val="subscript"/>
          <w:lang w:val="en-US"/>
        </w:rPr>
        <w:t>2</w:t>
      </w:r>
      <w:r w:rsidRPr="000F6BA0">
        <w:rPr>
          <w:lang w:val="en-US"/>
        </w:rPr>
        <w:t xml:space="preserve"> is dependent from the influence of ambient temperature of particular capacity calculation time period to transmission line conductors; </w:t>
      </w:r>
    </w:p>
    <w:p w:rsidR="000A02A7" w:rsidRPr="000F6BA0" w:rsidRDefault="000A02A7" w:rsidP="00D7480E">
      <w:pPr>
        <w:rPr>
          <w:lang w:val="en-US"/>
        </w:rPr>
      </w:pPr>
      <w:r w:rsidRPr="000F6BA0">
        <w:rPr>
          <w:rFonts w:ascii="Cambria Math" w:hAnsi="Cambria Math" w:cs="Cambria Math"/>
          <w:lang w:val="en-US"/>
        </w:rPr>
        <w:t>𝑃</w:t>
      </w:r>
      <w:r w:rsidRPr="000F6BA0">
        <w:rPr>
          <w:rFonts w:ascii="Cambria Math" w:hAnsi="Cambria Math" w:cs="Cambria Math"/>
          <w:vertAlign w:val="subscript"/>
          <w:lang w:val="en-US"/>
        </w:rPr>
        <w:t>𝑖</w:t>
      </w:r>
      <w:r w:rsidRPr="000F6BA0">
        <w:rPr>
          <w:lang w:val="en-US"/>
        </w:rPr>
        <w:t xml:space="preserve"> – all available amount of assured emergency power reserves for respective power system </w:t>
      </w:r>
      <w:r w:rsidR="000F6BA0">
        <w:rPr>
          <w:i/>
          <w:lang w:val="en-US"/>
        </w:rPr>
        <w:t xml:space="preserve">I </w:t>
      </w:r>
      <w:r w:rsidRPr="000F6BA0">
        <w:rPr>
          <w:i/>
          <w:lang w:val="en-US"/>
        </w:rPr>
        <w:t>(shall be provided by respective TSO</w:t>
      </w:r>
      <w:r w:rsidR="009B7F44" w:rsidRPr="000F6BA0">
        <w:rPr>
          <w:i/>
          <w:lang w:val="en-US"/>
        </w:rPr>
        <w:t>s)</w:t>
      </w:r>
      <w:r w:rsidR="003729CB" w:rsidRPr="000F6BA0">
        <w:rPr>
          <w:i/>
          <w:lang w:val="en-US"/>
        </w:rPr>
        <w:t>.</w:t>
      </w:r>
      <w:r w:rsidRPr="000F6BA0">
        <w:rPr>
          <w:i/>
          <w:lang w:val="en-US"/>
        </w:rPr>
        <w:t xml:space="preserve"> </w:t>
      </w:r>
    </w:p>
    <w:p w:rsidR="000A02A7" w:rsidRPr="000F6BA0" w:rsidRDefault="000A02A7" w:rsidP="00D7480E">
      <w:pPr>
        <w:rPr>
          <w:lang w:val="en-US"/>
        </w:rPr>
      </w:pPr>
    </w:p>
    <w:p w:rsidR="000A02A7" w:rsidRPr="000F6BA0" w:rsidRDefault="000A02A7" w:rsidP="00D7480E">
      <w:pPr>
        <w:rPr>
          <w:lang w:val="en-US"/>
        </w:rPr>
      </w:pPr>
      <w:r w:rsidRPr="000F6BA0">
        <w:rPr>
          <w:rFonts w:ascii="Cambria Math" w:hAnsi="Cambria Math" w:cs="Cambria Math"/>
          <w:lang w:val="en-US"/>
        </w:rPr>
        <w:t>𝑛</w:t>
      </w:r>
      <w:r w:rsidRPr="000F6BA0">
        <w:rPr>
          <w:lang w:val="en-US"/>
        </w:rPr>
        <w:t xml:space="preserve"> – number of power systems; </w:t>
      </w:r>
    </w:p>
    <w:p w:rsidR="000A02A7" w:rsidRPr="000F6BA0" w:rsidRDefault="000A02A7" w:rsidP="00D7480E">
      <w:pPr>
        <w:rPr>
          <w:lang w:val="en-US"/>
        </w:rPr>
      </w:pPr>
    </w:p>
    <w:p w:rsidR="000A02A7" w:rsidRPr="000F6BA0" w:rsidRDefault="000A02A7" w:rsidP="00D7480E">
      <w:pPr>
        <w:rPr>
          <w:lang w:val="en-US"/>
        </w:rPr>
      </w:pPr>
      <w:r w:rsidRPr="000F6BA0">
        <w:rPr>
          <w:lang w:val="en-US"/>
        </w:rPr>
        <w:t>K</w:t>
      </w:r>
      <w:r w:rsidRPr="000F6BA0">
        <w:rPr>
          <w:rFonts w:ascii="Cambria Math" w:hAnsi="Cambria Math" w:cs="Cambria Math"/>
          <w:vertAlign w:val="subscript"/>
          <w:lang w:val="en-US"/>
        </w:rPr>
        <w:t>𝑖</w:t>
      </w:r>
      <w:r w:rsidRPr="000F6BA0">
        <w:rPr>
          <w:lang w:val="en-US"/>
        </w:rPr>
        <w:t xml:space="preserve"> – reserve power distribution coefficients considering location of the assured emergency power reserve </w:t>
      </w:r>
      <w:r w:rsidRPr="000F6BA0">
        <w:rPr>
          <w:rFonts w:ascii="Cambria Math" w:hAnsi="Cambria Math" w:cs="Cambria Math"/>
          <w:lang w:val="en-US"/>
        </w:rPr>
        <w:t>𝑃</w:t>
      </w:r>
      <w:r w:rsidRPr="000F6BA0">
        <w:rPr>
          <w:rFonts w:ascii="Cambria Math" w:hAnsi="Cambria Math" w:cs="Cambria Math"/>
          <w:vertAlign w:val="subscript"/>
          <w:lang w:val="en-US"/>
        </w:rPr>
        <w:t>𝑖</w:t>
      </w:r>
      <w:r w:rsidRPr="000F6BA0">
        <w:rPr>
          <w:lang w:val="en-US"/>
        </w:rPr>
        <w:t xml:space="preserve"> and down regulation according to </w:t>
      </w:r>
      <w:r w:rsidR="009F227C" w:rsidRPr="000F6BA0">
        <w:rPr>
          <w:lang w:val="en-US"/>
        </w:rPr>
        <w:fldChar w:fldCharType="begin"/>
      </w:r>
      <w:r w:rsidR="009F227C" w:rsidRPr="000F6BA0">
        <w:rPr>
          <w:lang w:val="en-US"/>
        </w:rPr>
        <w:instrText xml:space="preserve"> REF _Ref3386204 \h </w:instrText>
      </w:r>
      <w:r w:rsidR="009F227C" w:rsidRPr="000F6BA0">
        <w:rPr>
          <w:lang w:val="en-US"/>
        </w:rPr>
      </w:r>
      <w:r w:rsidR="009F227C" w:rsidRPr="000F6BA0">
        <w:rPr>
          <w:lang w:val="en-US"/>
        </w:rPr>
        <w:fldChar w:fldCharType="separate"/>
      </w:r>
      <w:r w:rsidR="009F227C" w:rsidRPr="000F6BA0">
        <w:rPr>
          <w:lang w:val="en-US"/>
        </w:rPr>
        <w:t>Table 1</w:t>
      </w:r>
      <w:r w:rsidR="009F227C" w:rsidRPr="000F6BA0">
        <w:rPr>
          <w:lang w:val="en-US"/>
        </w:rPr>
        <w:fldChar w:fldCharType="end"/>
      </w:r>
      <w:r w:rsidRPr="000F6BA0">
        <w:rPr>
          <w:lang w:val="en-US"/>
        </w:rPr>
        <w:t xml:space="preserve"> of this Methodology; </w:t>
      </w:r>
    </w:p>
    <w:p w:rsidR="000A02A7" w:rsidRPr="000F6BA0" w:rsidRDefault="000A02A7" w:rsidP="00D7480E">
      <w:pPr>
        <w:rPr>
          <w:lang w:val="en-US"/>
        </w:rPr>
      </w:pPr>
    </w:p>
    <w:p w:rsidR="000A02A7" w:rsidRPr="000F6BA0" w:rsidRDefault="000A02A7" w:rsidP="00D7480E">
      <w:pPr>
        <w:rPr>
          <w:lang w:val="en-US"/>
        </w:rPr>
      </w:pPr>
      <w:r w:rsidRPr="000F6BA0">
        <w:rPr>
          <w:lang w:val="en-US"/>
        </w:rPr>
        <w:t xml:space="preserve">TRM – </w:t>
      </w:r>
      <w:r w:rsidR="00F34C11" w:rsidRPr="000F6BA0">
        <w:rPr>
          <w:lang w:val="en-US"/>
        </w:rPr>
        <w:t xml:space="preserve">shall be calculated according to the methodology described in </w:t>
      </w:r>
      <w:r w:rsidR="000F6BA0">
        <w:rPr>
          <w:lang w:val="en-US"/>
        </w:rPr>
        <w:t>Article</w:t>
      </w:r>
      <w:r w:rsidR="00F34C11" w:rsidRPr="000F6BA0">
        <w:rPr>
          <w:lang w:val="en-US"/>
        </w:rPr>
        <w:t xml:space="preserve"> 3 of this Methodology.</w:t>
      </w:r>
      <w:r w:rsidRPr="000F6BA0">
        <w:rPr>
          <w:lang w:val="en-US"/>
        </w:rPr>
        <w:t xml:space="preserve"> </w:t>
      </w:r>
    </w:p>
    <w:p w:rsidR="000A02A7" w:rsidRPr="000F6BA0" w:rsidRDefault="000A02A7" w:rsidP="00D7480E">
      <w:pPr>
        <w:rPr>
          <w:lang w:val="en-US"/>
        </w:rPr>
      </w:pPr>
    </w:p>
    <w:p w:rsidR="00316AD4" w:rsidRPr="000F6BA0" w:rsidRDefault="00BC3437" w:rsidP="00D7480E">
      <w:pPr>
        <w:rPr>
          <w:lang w:val="en-US"/>
        </w:rPr>
      </w:pPr>
      <w:r w:rsidRPr="000F6BA0">
        <w:rPr>
          <w:lang w:val="en-US"/>
        </w:rPr>
        <w:t>7</w:t>
      </w:r>
      <w:r w:rsidR="000A02A7" w:rsidRPr="000F6BA0">
        <w:rPr>
          <w:lang w:val="en-US"/>
        </w:rPr>
        <w:t>.1.</w:t>
      </w:r>
      <w:r w:rsidR="002F336C" w:rsidRPr="000F6BA0">
        <w:rPr>
          <w:lang w:val="en-US"/>
        </w:rPr>
        <w:t>2</w:t>
      </w:r>
      <w:r w:rsidR="000A02A7" w:rsidRPr="000F6BA0">
        <w:rPr>
          <w:lang w:val="en-US"/>
        </w:rPr>
        <w:t xml:space="preserve"> In case if during capacity validation process </w:t>
      </w:r>
      <w:proofErr w:type="spellStart"/>
      <w:r w:rsidR="000A02A7" w:rsidRPr="000F6BA0">
        <w:rPr>
          <w:lang w:val="en-US"/>
        </w:rPr>
        <w:t>neighbouring</w:t>
      </w:r>
      <w:proofErr w:type="spellEnd"/>
      <w:r w:rsidR="000A02A7" w:rsidRPr="000F6BA0">
        <w:rPr>
          <w:lang w:val="en-US"/>
        </w:rPr>
        <w:t xml:space="preserve"> TSOs determine different </w:t>
      </w:r>
      <w:r w:rsidR="00B676DE" w:rsidRPr="000F6BA0">
        <w:rPr>
          <w:lang w:val="en-US"/>
        </w:rPr>
        <w:t>Long</w:t>
      </w:r>
      <w:r w:rsidR="006855B0" w:rsidRPr="000F6BA0">
        <w:rPr>
          <w:lang w:val="en-US"/>
        </w:rPr>
        <w:t>-</w:t>
      </w:r>
      <w:r w:rsidR="00B676DE" w:rsidRPr="000F6BA0">
        <w:rPr>
          <w:lang w:val="en-US"/>
        </w:rPr>
        <w:t xml:space="preserve">term </w:t>
      </w:r>
      <w:r w:rsidR="000A02A7" w:rsidRPr="000F6BA0">
        <w:rPr>
          <w:lang w:val="en-US"/>
        </w:rPr>
        <w:t xml:space="preserve">NTC </w:t>
      </w:r>
      <w:r w:rsidR="003B457E" w:rsidRPr="000F6BA0">
        <w:rPr>
          <w:lang w:val="en-US"/>
        </w:rPr>
        <w:t xml:space="preserve">(cross-zonal capacity) </w:t>
      </w:r>
      <w:r w:rsidR="000A02A7" w:rsidRPr="000F6BA0">
        <w:rPr>
          <w:lang w:val="en-US"/>
        </w:rPr>
        <w:t>values for the same Cross-Border Interconnection the lowest value shall be used as a coordinated value.</w:t>
      </w:r>
    </w:p>
    <w:p w:rsidR="009F227C" w:rsidRPr="000F6BA0" w:rsidRDefault="009F227C" w:rsidP="00D7480E">
      <w:pPr>
        <w:rPr>
          <w:lang w:val="en-US"/>
        </w:rPr>
      </w:pPr>
    </w:p>
    <w:p w:rsidR="009F227C" w:rsidRPr="000F6BA0" w:rsidRDefault="009F227C" w:rsidP="006855B0">
      <w:pPr>
        <w:pStyle w:val="Caption"/>
        <w:rPr>
          <w:lang w:val="en-US"/>
        </w:rPr>
      </w:pPr>
      <w:bookmarkStart w:id="38" w:name="_Ref3386204"/>
      <w:r w:rsidRPr="000F6BA0">
        <w:rPr>
          <w:lang w:val="en-US"/>
        </w:rPr>
        <w:t xml:space="preserve">Table </w:t>
      </w:r>
      <w:r w:rsidR="00C71F65" w:rsidRPr="000F6BA0">
        <w:rPr>
          <w:lang w:val="en-US"/>
        </w:rPr>
        <w:fldChar w:fldCharType="begin"/>
      </w:r>
      <w:r w:rsidR="00C71F65" w:rsidRPr="000F6BA0">
        <w:rPr>
          <w:lang w:val="en-US"/>
        </w:rPr>
        <w:instrText xml:space="preserve"> SEQ Table \* ARABIC </w:instrText>
      </w:r>
      <w:r w:rsidR="00C71F65" w:rsidRPr="000F6BA0">
        <w:rPr>
          <w:lang w:val="en-US"/>
        </w:rPr>
        <w:fldChar w:fldCharType="separate"/>
      </w:r>
      <w:r w:rsidRPr="000F6BA0">
        <w:rPr>
          <w:lang w:val="en-US"/>
        </w:rPr>
        <w:t>1</w:t>
      </w:r>
      <w:r w:rsidR="00C71F65" w:rsidRPr="000F6BA0">
        <w:rPr>
          <w:lang w:val="en-US"/>
        </w:rPr>
        <w:fldChar w:fldCharType="end"/>
      </w:r>
      <w:bookmarkEnd w:id="38"/>
      <w:r w:rsidRPr="000F6BA0">
        <w:rPr>
          <w:lang w:val="en-US"/>
        </w:rPr>
        <w:t>. Reserve power distribution coefficients</w:t>
      </w:r>
    </w:p>
    <w:tbl>
      <w:tblPr>
        <w:tblStyle w:val="TableGrid"/>
        <w:tblW w:w="9142" w:type="dxa"/>
        <w:jc w:val="center"/>
        <w:tblLook w:val="04A0" w:firstRow="1" w:lastRow="0" w:firstColumn="1" w:lastColumn="0" w:noHBand="0" w:noVBand="1"/>
      </w:tblPr>
      <w:tblGrid>
        <w:gridCol w:w="1407"/>
        <w:gridCol w:w="2718"/>
        <w:gridCol w:w="1399"/>
        <w:gridCol w:w="1066"/>
        <w:gridCol w:w="1278"/>
        <w:gridCol w:w="1274"/>
      </w:tblGrid>
      <w:tr w:rsidR="009F227C" w:rsidRPr="000F6BA0" w:rsidTr="009F227C">
        <w:trPr>
          <w:jc w:val="center"/>
        </w:trPr>
        <w:tc>
          <w:tcPr>
            <w:tcW w:w="1407" w:type="dxa"/>
            <w:vMerge w:val="restart"/>
            <w:vAlign w:val="center"/>
          </w:tcPr>
          <w:p w:rsidR="009F227C" w:rsidRPr="000F6BA0" w:rsidRDefault="009F227C" w:rsidP="00F02A0E">
            <w:pPr>
              <w:rPr>
                <w:b/>
                <w:lang w:val="en-US"/>
              </w:rPr>
            </w:pPr>
            <w:r w:rsidRPr="000F6BA0">
              <w:rPr>
                <w:b/>
                <w:lang w:val="en-US"/>
              </w:rPr>
              <w:t>Amount of down regulation power, %</w:t>
            </w:r>
          </w:p>
        </w:tc>
        <w:tc>
          <w:tcPr>
            <w:tcW w:w="2718" w:type="dxa"/>
            <w:vMerge w:val="restart"/>
            <w:vAlign w:val="center"/>
          </w:tcPr>
          <w:p w:rsidR="009F227C" w:rsidRPr="000F6BA0" w:rsidRDefault="009F227C" w:rsidP="00F02A0E">
            <w:pPr>
              <w:rPr>
                <w:b/>
                <w:lang w:val="en-US"/>
              </w:rPr>
            </w:pPr>
            <w:r w:rsidRPr="000F6BA0">
              <w:rPr>
                <w:b/>
                <w:lang w:val="en-US"/>
              </w:rPr>
              <w:t>Cross-Border Interconnections</w:t>
            </w:r>
          </w:p>
        </w:tc>
        <w:tc>
          <w:tcPr>
            <w:tcW w:w="5017" w:type="dxa"/>
            <w:gridSpan w:val="4"/>
            <w:vAlign w:val="center"/>
          </w:tcPr>
          <w:p w:rsidR="009F227C" w:rsidRPr="000F6BA0" w:rsidRDefault="009F227C" w:rsidP="00F02A0E">
            <w:pPr>
              <w:jc w:val="center"/>
              <w:rPr>
                <w:b/>
                <w:lang w:val="en-US"/>
              </w:rPr>
            </w:pPr>
            <w:r w:rsidRPr="000F6BA0">
              <w:rPr>
                <w:b/>
                <w:lang w:val="en-US"/>
              </w:rPr>
              <w:t>Reserves location</w:t>
            </w:r>
          </w:p>
        </w:tc>
      </w:tr>
      <w:tr w:rsidR="009F227C" w:rsidRPr="000F6BA0" w:rsidTr="006855B0">
        <w:trPr>
          <w:jc w:val="center"/>
        </w:trPr>
        <w:tc>
          <w:tcPr>
            <w:tcW w:w="1407" w:type="dxa"/>
            <w:vMerge/>
            <w:vAlign w:val="center"/>
          </w:tcPr>
          <w:p w:rsidR="009F227C" w:rsidRPr="000F6BA0" w:rsidRDefault="009F227C" w:rsidP="00F02A0E">
            <w:pPr>
              <w:rPr>
                <w:b/>
                <w:lang w:val="en-US"/>
              </w:rPr>
            </w:pPr>
          </w:p>
        </w:tc>
        <w:tc>
          <w:tcPr>
            <w:tcW w:w="2718" w:type="dxa"/>
            <w:vMerge/>
            <w:vAlign w:val="center"/>
          </w:tcPr>
          <w:p w:rsidR="009F227C" w:rsidRPr="000F6BA0" w:rsidRDefault="009F227C" w:rsidP="00F02A0E">
            <w:pPr>
              <w:rPr>
                <w:b/>
                <w:lang w:val="en-US"/>
              </w:rPr>
            </w:pPr>
          </w:p>
        </w:tc>
        <w:tc>
          <w:tcPr>
            <w:tcW w:w="1399" w:type="dxa"/>
            <w:vAlign w:val="center"/>
          </w:tcPr>
          <w:p w:rsidR="009F227C" w:rsidRPr="000F6BA0" w:rsidRDefault="009F227C" w:rsidP="00F02A0E">
            <w:pPr>
              <w:rPr>
                <w:b/>
                <w:lang w:val="en-US"/>
              </w:rPr>
            </w:pPr>
            <w:r w:rsidRPr="000F6BA0">
              <w:rPr>
                <w:b/>
                <w:lang w:val="en-US"/>
              </w:rPr>
              <w:t>Lithuania</w:t>
            </w:r>
          </w:p>
        </w:tc>
        <w:tc>
          <w:tcPr>
            <w:tcW w:w="1066" w:type="dxa"/>
            <w:vAlign w:val="center"/>
          </w:tcPr>
          <w:p w:rsidR="009F227C" w:rsidRPr="000F6BA0" w:rsidRDefault="009F227C" w:rsidP="00F02A0E">
            <w:pPr>
              <w:rPr>
                <w:b/>
                <w:lang w:val="en-US"/>
              </w:rPr>
            </w:pPr>
            <w:r w:rsidRPr="000F6BA0">
              <w:rPr>
                <w:b/>
                <w:lang w:val="en-US"/>
              </w:rPr>
              <w:t>Latvia</w:t>
            </w:r>
          </w:p>
        </w:tc>
        <w:tc>
          <w:tcPr>
            <w:tcW w:w="1278" w:type="dxa"/>
            <w:vAlign w:val="center"/>
          </w:tcPr>
          <w:p w:rsidR="009F227C" w:rsidRPr="000F6BA0" w:rsidRDefault="009F227C" w:rsidP="00F02A0E">
            <w:pPr>
              <w:jc w:val="center"/>
              <w:rPr>
                <w:b/>
                <w:lang w:val="en-US"/>
              </w:rPr>
            </w:pPr>
            <w:r w:rsidRPr="000F6BA0">
              <w:rPr>
                <w:b/>
                <w:lang w:val="en-US"/>
              </w:rPr>
              <w:t>Belarus</w:t>
            </w:r>
          </w:p>
        </w:tc>
        <w:tc>
          <w:tcPr>
            <w:tcW w:w="1274" w:type="dxa"/>
            <w:vAlign w:val="center"/>
          </w:tcPr>
          <w:p w:rsidR="009F227C" w:rsidRPr="000F6BA0" w:rsidRDefault="009F227C" w:rsidP="00F02A0E">
            <w:pPr>
              <w:rPr>
                <w:b/>
                <w:lang w:val="en-US"/>
              </w:rPr>
            </w:pPr>
            <w:r w:rsidRPr="000F6BA0">
              <w:rPr>
                <w:b/>
                <w:lang w:val="en-US"/>
              </w:rPr>
              <w:t>Estonia</w:t>
            </w:r>
          </w:p>
        </w:tc>
      </w:tr>
      <w:tr w:rsidR="009F227C" w:rsidRPr="000F6BA0" w:rsidTr="006855B0">
        <w:trPr>
          <w:jc w:val="center"/>
        </w:trPr>
        <w:tc>
          <w:tcPr>
            <w:tcW w:w="1407" w:type="dxa"/>
            <w:vMerge w:val="restart"/>
          </w:tcPr>
          <w:p w:rsidR="009F227C" w:rsidRPr="000F6BA0" w:rsidRDefault="009F227C" w:rsidP="00F02A0E">
            <w:pPr>
              <w:rPr>
                <w:lang w:val="en-US"/>
              </w:rPr>
            </w:pPr>
            <w:r w:rsidRPr="000F6BA0">
              <w:rPr>
                <w:lang w:val="en-US"/>
              </w:rPr>
              <w:t>100</w:t>
            </w:r>
          </w:p>
        </w:tc>
        <w:tc>
          <w:tcPr>
            <w:tcW w:w="2718" w:type="dxa"/>
          </w:tcPr>
          <w:p w:rsidR="009F227C" w:rsidRPr="000F6BA0" w:rsidRDefault="009F227C" w:rsidP="00F02A0E">
            <w:pPr>
              <w:rPr>
                <w:lang w:val="en-US"/>
              </w:rPr>
            </w:pPr>
            <w:r w:rsidRPr="000F6BA0">
              <w:rPr>
                <w:lang w:val="en-US"/>
              </w:rPr>
              <w:t>Estonia-Russia → Latvia</w:t>
            </w:r>
          </w:p>
        </w:tc>
        <w:tc>
          <w:tcPr>
            <w:tcW w:w="1399" w:type="dxa"/>
          </w:tcPr>
          <w:p w:rsidR="009F227C" w:rsidRPr="000F6BA0" w:rsidRDefault="009F227C" w:rsidP="00F02A0E">
            <w:pPr>
              <w:rPr>
                <w:lang w:val="en-US"/>
              </w:rPr>
            </w:pPr>
            <w:r w:rsidRPr="000F6BA0">
              <w:rPr>
                <w:lang w:val="en-US"/>
              </w:rPr>
              <w:t>0,62</w:t>
            </w:r>
          </w:p>
        </w:tc>
        <w:tc>
          <w:tcPr>
            <w:tcW w:w="1066" w:type="dxa"/>
          </w:tcPr>
          <w:p w:rsidR="009F227C" w:rsidRPr="000F6BA0" w:rsidRDefault="009F227C" w:rsidP="00F02A0E">
            <w:pPr>
              <w:rPr>
                <w:lang w:val="en-US"/>
              </w:rPr>
            </w:pPr>
            <w:r w:rsidRPr="000F6BA0">
              <w:rPr>
                <w:lang w:val="en-US"/>
              </w:rPr>
              <w:t>0,74</w:t>
            </w:r>
          </w:p>
        </w:tc>
        <w:tc>
          <w:tcPr>
            <w:tcW w:w="1278" w:type="dxa"/>
          </w:tcPr>
          <w:p w:rsidR="009F227C" w:rsidRPr="000F6BA0" w:rsidRDefault="009F227C">
            <w:pPr>
              <w:rPr>
                <w:lang w:val="en-US"/>
              </w:rPr>
            </w:pPr>
            <w:r w:rsidRPr="000F6BA0">
              <w:rPr>
                <w:lang w:val="en-US"/>
              </w:rPr>
              <w:t>0,45</w:t>
            </w:r>
          </w:p>
        </w:tc>
        <w:tc>
          <w:tcPr>
            <w:tcW w:w="1274" w:type="dxa"/>
          </w:tcPr>
          <w:p w:rsidR="009F227C" w:rsidRPr="000F6BA0" w:rsidRDefault="009F227C" w:rsidP="00F02A0E">
            <w:pPr>
              <w:rPr>
                <w:lang w:val="en-US"/>
              </w:rPr>
            </w:pPr>
          </w:p>
        </w:tc>
      </w:tr>
      <w:tr w:rsidR="009F227C" w:rsidRPr="000F6BA0" w:rsidTr="006855B0">
        <w:trPr>
          <w:jc w:val="center"/>
        </w:trPr>
        <w:tc>
          <w:tcPr>
            <w:tcW w:w="1407" w:type="dxa"/>
            <w:vMerge/>
          </w:tcPr>
          <w:p w:rsidR="009F227C" w:rsidRPr="000F6BA0" w:rsidRDefault="009F227C" w:rsidP="00F02A0E">
            <w:pPr>
              <w:rPr>
                <w:lang w:val="en-US"/>
              </w:rPr>
            </w:pPr>
          </w:p>
        </w:tc>
        <w:tc>
          <w:tcPr>
            <w:tcW w:w="2718" w:type="dxa"/>
          </w:tcPr>
          <w:p w:rsidR="009F227C" w:rsidRPr="000F6BA0" w:rsidRDefault="009F227C" w:rsidP="00F02A0E">
            <w:pPr>
              <w:rPr>
                <w:lang w:val="en-US"/>
              </w:rPr>
            </w:pPr>
            <w:r w:rsidRPr="000F6BA0">
              <w:rPr>
                <w:lang w:val="en-US"/>
              </w:rPr>
              <w:t>Latvia →Russia-Estonia</w:t>
            </w:r>
          </w:p>
        </w:tc>
        <w:tc>
          <w:tcPr>
            <w:tcW w:w="1399" w:type="dxa"/>
          </w:tcPr>
          <w:p w:rsidR="009F227C" w:rsidRPr="000F6BA0" w:rsidRDefault="009F227C" w:rsidP="00F02A0E">
            <w:pPr>
              <w:rPr>
                <w:lang w:val="en-US"/>
              </w:rPr>
            </w:pPr>
          </w:p>
        </w:tc>
        <w:tc>
          <w:tcPr>
            <w:tcW w:w="1066" w:type="dxa"/>
          </w:tcPr>
          <w:p w:rsidR="009F227C" w:rsidRPr="000F6BA0" w:rsidRDefault="009F227C" w:rsidP="00F02A0E">
            <w:pPr>
              <w:rPr>
                <w:lang w:val="en-US"/>
              </w:rPr>
            </w:pPr>
          </w:p>
        </w:tc>
        <w:tc>
          <w:tcPr>
            <w:tcW w:w="1278" w:type="dxa"/>
          </w:tcPr>
          <w:p w:rsidR="009F227C" w:rsidRPr="000F6BA0" w:rsidRDefault="009F227C" w:rsidP="00F02A0E">
            <w:pPr>
              <w:rPr>
                <w:lang w:val="en-US"/>
              </w:rPr>
            </w:pPr>
          </w:p>
        </w:tc>
        <w:tc>
          <w:tcPr>
            <w:tcW w:w="1274" w:type="dxa"/>
          </w:tcPr>
          <w:p w:rsidR="009F227C" w:rsidRPr="000F6BA0" w:rsidRDefault="009F227C" w:rsidP="00F02A0E">
            <w:pPr>
              <w:rPr>
                <w:lang w:val="en-US"/>
              </w:rPr>
            </w:pPr>
            <w:r w:rsidRPr="000F6BA0">
              <w:rPr>
                <w:lang w:val="en-US"/>
              </w:rPr>
              <w:t>0,74</w:t>
            </w:r>
          </w:p>
        </w:tc>
      </w:tr>
      <w:tr w:rsidR="009F227C" w:rsidRPr="000F6BA0" w:rsidTr="006855B0">
        <w:trPr>
          <w:jc w:val="center"/>
        </w:trPr>
        <w:tc>
          <w:tcPr>
            <w:tcW w:w="1407" w:type="dxa"/>
            <w:vMerge w:val="restart"/>
          </w:tcPr>
          <w:p w:rsidR="009F227C" w:rsidRPr="000F6BA0" w:rsidRDefault="009F227C" w:rsidP="00F02A0E">
            <w:pPr>
              <w:rPr>
                <w:lang w:val="en-US"/>
              </w:rPr>
            </w:pPr>
            <w:r w:rsidRPr="000F6BA0">
              <w:rPr>
                <w:lang w:val="en-US"/>
              </w:rPr>
              <w:t>50</w:t>
            </w:r>
          </w:p>
        </w:tc>
        <w:tc>
          <w:tcPr>
            <w:tcW w:w="2718" w:type="dxa"/>
          </w:tcPr>
          <w:p w:rsidR="009F227C" w:rsidRPr="000F6BA0" w:rsidRDefault="009F227C" w:rsidP="00F02A0E">
            <w:pPr>
              <w:rPr>
                <w:lang w:val="en-US"/>
              </w:rPr>
            </w:pPr>
            <w:r w:rsidRPr="000F6BA0">
              <w:rPr>
                <w:lang w:val="en-US"/>
              </w:rPr>
              <w:t>Estonia-Russia → Latvia</w:t>
            </w:r>
          </w:p>
        </w:tc>
        <w:tc>
          <w:tcPr>
            <w:tcW w:w="1399" w:type="dxa"/>
          </w:tcPr>
          <w:p w:rsidR="009F227C" w:rsidRPr="000F6BA0" w:rsidRDefault="009F227C" w:rsidP="00F02A0E">
            <w:pPr>
              <w:rPr>
                <w:lang w:val="en-US"/>
              </w:rPr>
            </w:pPr>
            <w:r w:rsidRPr="000F6BA0">
              <w:rPr>
                <w:lang w:val="en-US"/>
              </w:rPr>
              <w:t>0,48</w:t>
            </w:r>
          </w:p>
        </w:tc>
        <w:tc>
          <w:tcPr>
            <w:tcW w:w="1066" w:type="dxa"/>
          </w:tcPr>
          <w:p w:rsidR="009F227C" w:rsidRPr="000F6BA0" w:rsidRDefault="009F227C" w:rsidP="00F02A0E">
            <w:pPr>
              <w:rPr>
                <w:lang w:val="en-US"/>
              </w:rPr>
            </w:pPr>
            <w:r w:rsidRPr="000F6BA0">
              <w:rPr>
                <w:lang w:val="en-US"/>
              </w:rPr>
              <w:t>0,60</w:t>
            </w:r>
          </w:p>
        </w:tc>
        <w:tc>
          <w:tcPr>
            <w:tcW w:w="1278" w:type="dxa"/>
          </w:tcPr>
          <w:p w:rsidR="009F227C" w:rsidRPr="000F6BA0" w:rsidRDefault="009F227C" w:rsidP="00F02A0E">
            <w:pPr>
              <w:rPr>
                <w:lang w:val="en-US"/>
              </w:rPr>
            </w:pPr>
            <w:r w:rsidRPr="000F6BA0">
              <w:rPr>
                <w:lang w:val="en-US"/>
              </w:rPr>
              <w:t>0,31</w:t>
            </w:r>
          </w:p>
        </w:tc>
        <w:tc>
          <w:tcPr>
            <w:tcW w:w="1274" w:type="dxa"/>
          </w:tcPr>
          <w:p w:rsidR="009F227C" w:rsidRPr="000F6BA0" w:rsidRDefault="009F227C" w:rsidP="00F02A0E">
            <w:pPr>
              <w:rPr>
                <w:lang w:val="en-US"/>
              </w:rPr>
            </w:pPr>
          </w:p>
        </w:tc>
      </w:tr>
      <w:tr w:rsidR="009F227C" w:rsidRPr="000F6BA0" w:rsidTr="006855B0">
        <w:trPr>
          <w:jc w:val="center"/>
        </w:trPr>
        <w:tc>
          <w:tcPr>
            <w:tcW w:w="1407" w:type="dxa"/>
            <w:vMerge/>
          </w:tcPr>
          <w:p w:rsidR="009F227C" w:rsidRPr="000F6BA0" w:rsidRDefault="009F227C" w:rsidP="00F02A0E">
            <w:pPr>
              <w:rPr>
                <w:lang w:val="en-US"/>
              </w:rPr>
            </w:pPr>
          </w:p>
        </w:tc>
        <w:tc>
          <w:tcPr>
            <w:tcW w:w="2718" w:type="dxa"/>
          </w:tcPr>
          <w:p w:rsidR="009F227C" w:rsidRPr="000F6BA0" w:rsidRDefault="009F227C" w:rsidP="00F02A0E">
            <w:pPr>
              <w:rPr>
                <w:lang w:val="en-US"/>
              </w:rPr>
            </w:pPr>
            <w:r w:rsidRPr="000F6BA0">
              <w:rPr>
                <w:lang w:val="en-US"/>
              </w:rPr>
              <w:t>Latvia →Russia-Estonia</w:t>
            </w:r>
          </w:p>
        </w:tc>
        <w:tc>
          <w:tcPr>
            <w:tcW w:w="1399" w:type="dxa"/>
          </w:tcPr>
          <w:p w:rsidR="009F227C" w:rsidRPr="000F6BA0" w:rsidRDefault="009F227C" w:rsidP="00F02A0E">
            <w:pPr>
              <w:rPr>
                <w:lang w:val="en-US"/>
              </w:rPr>
            </w:pPr>
          </w:p>
        </w:tc>
        <w:tc>
          <w:tcPr>
            <w:tcW w:w="1066" w:type="dxa"/>
          </w:tcPr>
          <w:p w:rsidR="009F227C" w:rsidRPr="000F6BA0" w:rsidRDefault="009F227C" w:rsidP="00F02A0E">
            <w:pPr>
              <w:rPr>
                <w:lang w:val="en-US"/>
              </w:rPr>
            </w:pPr>
          </w:p>
        </w:tc>
        <w:tc>
          <w:tcPr>
            <w:tcW w:w="1278" w:type="dxa"/>
          </w:tcPr>
          <w:p w:rsidR="009F227C" w:rsidRPr="000F6BA0" w:rsidRDefault="009F227C" w:rsidP="00F02A0E">
            <w:pPr>
              <w:rPr>
                <w:lang w:val="en-US"/>
              </w:rPr>
            </w:pPr>
          </w:p>
        </w:tc>
        <w:tc>
          <w:tcPr>
            <w:tcW w:w="1274" w:type="dxa"/>
          </w:tcPr>
          <w:p w:rsidR="009F227C" w:rsidRPr="000F6BA0" w:rsidRDefault="009F227C" w:rsidP="00F02A0E">
            <w:pPr>
              <w:rPr>
                <w:lang w:val="en-US"/>
              </w:rPr>
            </w:pPr>
            <w:r w:rsidRPr="000F6BA0">
              <w:rPr>
                <w:lang w:val="en-US"/>
              </w:rPr>
              <w:t>0,52</w:t>
            </w:r>
          </w:p>
        </w:tc>
      </w:tr>
      <w:tr w:rsidR="009F227C" w:rsidRPr="000F6BA0" w:rsidTr="006855B0">
        <w:trPr>
          <w:jc w:val="center"/>
        </w:trPr>
        <w:tc>
          <w:tcPr>
            <w:tcW w:w="1407" w:type="dxa"/>
            <w:vMerge w:val="restart"/>
          </w:tcPr>
          <w:p w:rsidR="009F227C" w:rsidRPr="000F6BA0" w:rsidRDefault="009F227C" w:rsidP="00F02A0E">
            <w:pPr>
              <w:rPr>
                <w:lang w:val="en-US"/>
              </w:rPr>
            </w:pPr>
            <w:r w:rsidRPr="000F6BA0">
              <w:rPr>
                <w:lang w:val="en-US"/>
              </w:rPr>
              <w:t>0</w:t>
            </w:r>
          </w:p>
        </w:tc>
        <w:tc>
          <w:tcPr>
            <w:tcW w:w="2718" w:type="dxa"/>
          </w:tcPr>
          <w:p w:rsidR="009F227C" w:rsidRPr="000F6BA0" w:rsidRDefault="009F227C" w:rsidP="00F02A0E">
            <w:pPr>
              <w:rPr>
                <w:lang w:val="en-US"/>
              </w:rPr>
            </w:pPr>
            <w:r w:rsidRPr="000F6BA0">
              <w:rPr>
                <w:lang w:val="en-US"/>
              </w:rPr>
              <w:t>Estonia-Russia → Latvia</w:t>
            </w:r>
          </w:p>
        </w:tc>
        <w:tc>
          <w:tcPr>
            <w:tcW w:w="1399" w:type="dxa"/>
          </w:tcPr>
          <w:p w:rsidR="009F227C" w:rsidRPr="000F6BA0" w:rsidRDefault="009F227C" w:rsidP="00F02A0E">
            <w:pPr>
              <w:rPr>
                <w:lang w:val="en-US"/>
              </w:rPr>
            </w:pPr>
            <w:r w:rsidRPr="000F6BA0">
              <w:rPr>
                <w:lang w:val="en-US"/>
              </w:rPr>
              <w:t>0,34</w:t>
            </w:r>
          </w:p>
        </w:tc>
        <w:tc>
          <w:tcPr>
            <w:tcW w:w="1066" w:type="dxa"/>
          </w:tcPr>
          <w:p w:rsidR="009F227C" w:rsidRPr="000F6BA0" w:rsidRDefault="009F227C" w:rsidP="00F02A0E">
            <w:pPr>
              <w:rPr>
                <w:lang w:val="en-US"/>
              </w:rPr>
            </w:pPr>
            <w:r w:rsidRPr="000F6BA0">
              <w:rPr>
                <w:lang w:val="en-US"/>
              </w:rPr>
              <w:t>0,45</w:t>
            </w:r>
          </w:p>
        </w:tc>
        <w:tc>
          <w:tcPr>
            <w:tcW w:w="1278" w:type="dxa"/>
          </w:tcPr>
          <w:p w:rsidR="009F227C" w:rsidRPr="000F6BA0" w:rsidRDefault="009F227C" w:rsidP="00F02A0E">
            <w:pPr>
              <w:rPr>
                <w:lang w:val="en-US"/>
              </w:rPr>
            </w:pPr>
            <w:r w:rsidRPr="000F6BA0">
              <w:rPr>
                <w:lang w:val="en-US"/>
              </w:rPr>
              <w:t>0,16</w:t>
            </w:r>
          </w:p>
        </w:tc>
        <w:tc>
          <w:tcPr>
            <w:tcW w:w="1274" w:type="dxa"/>
          </w:tcPr>
          <w:p w:rsidR="009F227C" w:rsidRPr="000F6BA0" w:rsidRDefault="009F227C" w:rsidP="00F02A0E">
            <w:pPr>
              <w:rPr>
                <w:lang w:val="en-US"/>
              </w:rPr>
            </w:pPr>
          </w:p>
        </w:tc>
      </w:tr>
      <w:tr w:rsidR="009F227C" w:rsidRPr="000F6BA0" w:rsidTr="006855B0">
        <w:trPr>
          <w:jc w:val="center"/>
        </w:trPr>
        <w:tc>
          <w:tcPr>
            <w:tcW w:w="1407" w:type="dxa"/>
            <w:vMerge/>
          </w:tcPr>
          <w:p w:rsidR="009F227C" w:rsidRPr="000F6BA0" w:rsidRDefault="009F227C" w:rsidP="00F02A0E">
            <w:pPr>
              <w:rPr>
                <w:lang w:val="en-US"/>
              </w:rPr>
            </w:pPr>
          </w:p>
        </w:tc>
        <w:tc>
          <w:tcPr>
            <w:tcW w:w="2718" w:type="dxa"/>
          </w:tcPr>
          <w:p w:rsidR="009F227C" w:rsidRPr="000F6BA0" w:rsidRDefault="009F227C" w:rsidP="00F02A0E">
            <w:pPr>
              <w:rPr>
                <w:lang w:val="en-US"/>
              </w:rPr>
            </w:pPr>
            <w:r w:rsidRPr="000F6BA0">
              <w:rPr>
                <w:lang w:val="en-US"/>
              </w:rPr>
              <w:t>Latvia →Russia-Estonia</w:t>
            </w:r>
          </w:p>
        </w:tc>
        <w:tc>
          <w:tcPr>
            <w:tcW w:w="1399" w:type="dxa"/>
          </w:tcPr>
          <w:p w:rsidR="009F227C" w:rsidRPr="000F6BA0" w:rsidRDefault="009F227C" w:rsidP="00F02A0E">
            <w:pPr>
              <w:rPr>
                <w:lang w:val="en-US"/>
              </w:rPr>
            </w:pPr>
          </w:p>
        </w:tc>
        <w:tc>
          <w:tcPr>
            <w:tcW w:w="1066" w:type="dxa"/>
          </w:tcPr>
          <w:p w:rsidR="009F227C" w:rsidRPr="000F6BA0" w:rsidRDefault="009F227C" w:rsidP="00F02A0E">
            <w:pPr>
              <w:rPr>
                <w:lang w:val="en-US"/>
              </w:rPr>
            </w:pPr>
          </w:p>
        </w:tc>
        <w:tc>
          <w:tcPr>
            <w:tcW w:w="1278" w:type="dxa"/>
          </w:tcPr>
          <w:p w:rsidR="009F227C" w:rsidRPr="000F6BA0" w:rsidRDefault="009F227C" w:rsidP="00F02A0E">
            <w:pPr>
              <w:rPr>
                <w:lang w:val="en-US"/>
              </w:rPr>
            </w:pPr>
          </w:p>
        </w:tc>
        <w:tc>
          <w:tcPr>
            <w:tcW w:w="1274" w:type="dxa"/>
          </w:tcPr>
          <w:p w:rsidR="009F227C" w:rsidRPr="000F6BA0" w:rsidRDefault="009F227C" w:rsidP="00F02A0E">
            <w:pPr>
              <w:rPr>
                <w:lang w:val="en-US"/>
              </w:rPr>
            </w:pPr>
            <w:r w:rsidRPr="000F6BA0">
              <w:rPr>
                <w:lang w:val="en-US"/>
              </w:rPr>
              <w:t>0,29</w:t>
            </w:r>
          </w:p>
        </w:tc>
      </w:tr>
    </w:tbl>
    <w:p w:rsidR="009F227C" w:rsidRPr="000F6BA0" w:rsidRDefault="009F227C" w:rsidP="00D7480E">
      <w:pPr>
        <w:rPr>
          <w:lang w:val="en-US"/>
        </w:rPr>
      </w:pPr>
    </w:p>
    <w:p w:rsidR="00316AD4" w:rsidRPr="000F6BA0" w:rsidRDefault="00316AD4" w:rsidP="00D7480E">
      <w:pPr>
        <w:rPr>
          <w:lang w:val="en-US"/>
        </w:rPr>
      </w:pPr>
    </w:p>
    <w:p w:rsidR="00316AD4" w:rsidRPr="000F6BA0" w:rsidRDefault="00BC3437" w:rsidP="00061630">
      <w:pPr>
        <w:pStyle w:val="HeadingforCross-zone"/>
        <w:numPr>
          <w:ilvl w:val="0"/>
          <w:numId w:val="0"/>
        </w:numPr>
        <w:ind w:left="360"/>
        <w:rPr>
          <w:lang w:val="en-US"/>
        </w:rPr>
      </w:pPr>
      <w:r w:rsidRPr="000F6BA0">
        <w:rPr>
          <w:lang w:val="en-US"/>
        </w:rPr>
        <w:t>7.2.</w:t>
      </w:r>
      <w:r w:rsidR="00693C72" w:rsidRPr="000F6BA0">
        <w:rPr>
          <w:lang w:val="en-US"/>
        </w:rPr>
        <w:t xml:space="preserve"> </w:t>
      </w:r>
      <w:r w:rsidR="00D30A9E" w:rsidRPr="000F6BA0">
        <w:rPr>
          <w:lang w:val="en-US"/>
        </w:rPr>
        <w:t>Long</w:t>
      </w:r>
      <w:r w:rsidR="006855B0" w:rsidRPr="000F6BA0">
        <w:rPr>
          <w:lang w:val="en-US"/>
        </w:rPr>
        <w:t>-</w:t>
      </w:r>
      <w:r w:rsidR="00D30A9E" w:rsidRPr="000F6BA0">
        <w:rPr>
          <w:lang w:val="en-US"/>
        </w:rPr>
        <w:t xml:space="preserve">term </w:t>
      </w:r>
      <w:r w:rsidR="00693C72" w:rsidRPr="000F6BA0">
        <w:rPr>
          <w:lang w:val="en-US"/>
        </w:rPr>
        <w:t>Capacity Calculation Rules Between Lithuanian and Latvian Power Systems</w:t>
      </w:r>
    </w:p>
    <w:p w:rsidR="00693C72" w:rsidRPr="000F6BA0" w:rsidRDefault="00BC3437" w:rsidP="00693C72">
      <w:pPr>
        <w:rPr>
          <w:lang w:val="en-US"/>
        </w:rPr>
      </w:pPr>
      <w:r w:rsidRPr="000F6BA0">
        <w:rPr>
          <w:lang w:val="en-US"/>
        </w:rPr>
        <w:t>7</w:t>
      </w:r>
      <w:r w:rsidR="00693C72" w:rsidRPr="000F6BA0">
        <w:rPr>
          <w:lang w:val="en-US"/>
        </w:rPr>
        <w:t xml:space="preserve">.2.1 TSOs and Capacity calculator calculate </w:t>
      </w:r>
      <w:r w:rsidR="00B676DE" w:rsidRPr="000F6BA0">
        <w:rPr>
          <w:lang w:val="en-US"/>
        </w:rPr>
        <w:t>Long</w:t>
      </w:r>
      <w:r w:rsidR="006855B0" w:rsidRPr="000F6BA0">
        <w:rPr>
          <w:lang w:val="en-US"/>
        </w:rPr>
        <w:t>-</w:t>
      </w:r>
      <w:r w:rsidR="00B676DE" w:rsidRPr="000F6BA0">
        <w:rPr>
          <w:lang w:val="en-US"/>
        </w:rPr>
        <w:t xml:space="preserve">term </w:t>
      </w:r>
      <w:r w:rsidR="00693C72" w:rsidRPr="000F6BA0">
        <w:rPr>
          <w:lang w:val="en-US"/>
        </w:rPr>
        <w:t xml:space="preserve">NTC </w:t>
      </w:r>
      <w:r w:rsidR="003B457E" w:rsidRPr="000F6BA0">
        <w:rPr>
          <w:lang w:val="en-US"/>
        </w:rPr>
        <w:t xml:space="preserve">(cross-zonal </w:t>
      </w:r>
      <w:r w:rsidR="007A67DF" w:rsidRPr="000F6BA0">
        <w:rPr>
          <w:lang w:val="en-US"/>
        </w:rPr>
        <w:t>capacity</w:t>
      </w:r>
      <w:r w:rsidR="003B457E" w:rsidRPr="000F6BA0">
        <w:rPr>
          <w:lang w:val="en-US"/>
        </w:rPr>
        <w:t xml:space="preserve">) </w:t>
      </w:r>
      <w:r w:rsidR="00693C72" w:rsidRPr="000F6BA0">
        <w:rPr>
          <w:lang w:val="en-US"/>
        </w:rPr>
        <w:t>values for Lithuania-Latvia Cross-Border Interconnection, taking into account assured emergency power reserves for TSOs to ensure readiness for normal operation after (N-1) Situation has occurred, by using following formula:</w:t>
      </w:r>
    </w:p>
    <w:p w:rsidR="00693C72" w:rsidRPr="000F6BA0" w:rsidRDefault="00693C72" w:rsidP="00693C72">
      <w:pPr>
        <w:rPr>
          <w:lang w:val="en-US"/>
        </w:rPr>
      </w:pPr>
    </w:p>
    <w:p w:rsidR="00693C72" w:rsidRPr="000F6BA0" w:rsidRDefault="00693C72" w:rsidP="006855B0">
      <w:pPr>
        <w:jc w:val="right"/>
        <w:rPr>
          <w:lang w:val="en-US"/>
        </w:rPr>
      </w:pPr>
      <w:r w:rsidRPr="000F6BA0">
        <w:rPr>
          <w:lang w:val="en-US"/>
        </w:rPr>
        <w:t xml:space="preserve">             </w:t>
      </w:r>
      <w:r w:rsidR="009B7F44" w:rsidRPr="000F6BA0">
        <w:rPr>
          <w:rFonts w:ascii="Arial" w:hAnsi="Arial" w:cs="Arial"/>
          <w:sz w:val="22"/>
          <w:lang w:val="en-US"/>
        </w:rPr>
        <w:t>NTC = (TTC</w:t>
      </w:r>
      <w:r w:rsidR="009B7F44" w:rsidRPr="000F6BA0">
        <w:rPr>
          <w:rFonts w:ascii="Arial" w:hAnsi="Arial" w:cs="Arial"/>
          <w:sz w:val="22"/>
          <w:vertAlign w:val="subscript"/>
          <w:lang w:val="en-US"/>
        </w:rPr>
        <w:t xml:space="preserve">1 </w:t>
      </w:r>
      <w:r w:rsidR="009B7F44" w:rsidRPr="000F6BA0">
        <w:rPr>
          <w:rFonts w:ascii="Arial" w:hAnsi="Arial" w:cs="Arial"/>
          <w:sz w:val="22"/>
          <w:lang w:val="en-US"/>
        </w:rPr>
        <w:t xml:space="preserve">+ </w:t>
      </w:r>
      <m:oMath>
        <m:nary>
          <m:naryPr>
            <m:chr m:val="∑"/>
            <m:limLoc m:val="undOvr"/>
            <m:ctrlPr>
              <w:rPr>
                <w:rFonts w:ascii="Cambria Math" w:hAnsi="Cambria Math" w:cs="Arial"/>
                <w:i/>
                <w:sz w:val="22"/>
                <w:lang w:val="en-US"/>
              </w:rPr>
            </m:ctrlPr>
          </m:naryPr>
          <m:sub>
            <m:r>
              <w:rPr>
                <w:rFonts w:ascii="Cambria Math" w:hAnsi="Cambria Math" w:cs="Arial"/>
                <w:sz w:val="22"/>
                <w:lang w:val="en-US"/>
              </w:rPr>
              <m:t>i=1</m:t>
            </m:r>
          </m:sub>
          <m:sup>
            <m:r>
              <w:rPr>
                <w:rFonts w:ascii="Cambria Math" w:hAnsi="Cambria Math" w:cs="Arial"/>
                <w:sz w:val="22"/>
                <w:lang w:val="en-US"/>
              </w:rPr>
              <m:t>n</m:t>
            </m:r>
          </m:sup>
          <m:e>
            <m:sSub>
              <m:sSubPr>
                <m:ctrlPr>
                  <w:rPr>
                    <w:rFonts w:ascii="Cambria Math" w:hAnsi="Cambria Math" w:cs="Arial"/>
                    <w:sz w:val="22"/>
                    <w:lang w:val="en-US"/>
                  </w:rPr>
                </m:ctrlPr>
              </m:sSubPr>
              <m:e>
                <m:r>
                  <m:rPr>
                    <m:sty m:val="p"/>
                  </m:rPr>
                  <w:rPr>
                    <w:rFonts w:ascii="Cambria Math" w:hAnsi="Cambria Math" w:cs="Arial"/>
                    <w:sz w:val="22"/>
                    <w:lang w:val="en-US"/>
                  </w:rPr>
                  <m:t>K</m:t>
                </m:r>
              </m:e>
              <m:sub>
                <m:r>
                  <w:rPr>
                    <w:rFonts w:ascii="Cambria Math" w:hAnsi="Cambria Math" w:cs="Arial"/>
                    <w:sz w:val="22"/>
                    <w:lang w:val="en-US"/>
                  </w:rPr>
                  <m:t>i</m:t>
                </m:r>
              </m:sub>
            </m:sSub>
            <m:r>
              <m:rPr>
                <m:sty m:val="p"/>
              </m:rPr>
              <w:rPr>
                <w:rFonts w:ascii="Cambria Math" w:hAnsi="Cambria Math" w:cs="Arial"/>
                <w:sz w:val="22"/>
                <w:lang w:val="en-US"/>
              </w:rPr>
              <m:t>∙</m:t>
            </m:r>
            <m:sSub>
              <m:sSubPr>
                <m:ctrlPr>
                  <w:rPr>
                    <w:rFonts w:ascii="Cambria Math" w:hAnsi="Cambria Math" w:cs="Arial"/>
                    <w:sz w:val="22"/>
                    <w:lang w:val="en-US"/>
                  </w:rPr>
                </m:ctrlPr>
              </m:sSubPr>
              <m:e>
                <m:r>
                  <w:rPr>
                    <w:rFonts w:ascii="Cambria Math" w:hAnsi="Cambria Math" w:cs="Arial"/>
                    <w:sz w:val="22"/>
                    <w:lang w:val="en-US"/>
                  </w:rPr>
                  <m:t>P</m:t>
                </m:r>
              </m:e>
              <m:sub>
                <m:r>
                  <w:rPr>
                    <w:rFonts w:ascii="Cambria Math" w:hAnsi="Cambria Math" w:cs="Arial"/>
                    <w:sz w:val="22"/>
                    <w:lang w:val="en-US"/>
                  </w:rPr>
                  <m:t>i</m:t>
                </m:r>
              </m:sub>
            </m:sSub>
          </m:e>
        </m:nary>
      </m:oMath>
      <w:r w:rsidR="009B7F44" w:rsidRPr="000F6BA0">
        <w:rPr>
          <w:rFonts w:ascii="Arial" w:hAnsi="Arial" w:cs="Arial"/>
          <w:sz w:val="22"/>
          <w:lang w:val="en-US"/>
        </w:rPr>
        <w:t>) – TRM</w:t>
      </w:r>
      <w:r w:rsidRPr="000F6BA0">
        <w:rPr>
          <w:lang w:val="en-US"/>
        </w:rPr>
        <w:tab/>
      </w:r>
      <w:r w:rsidRPr="000F6BA0">
        <w:rPr>
          <w:lang w:val="en-US"/>
        </w:rPr>
        <w:tab/>
      </w:r>
      <w:r w:rsidRPr="000F6BA0">
        <w:rPr>
          <w:lang w:val="en-US"/>
        </w:rPr>
        <w:tab/>
      </w:r>
      <w:r w:rsidRPr="000F6BA0">
        <w:rPr>
          <w:lang w:val="en-US"/>
        </w:rPr>
        <w:tab/>
        <w:t xml:space="preserve"> (2)</w:t>
      </w:r>
    </w:p>
    <w:p w:rsidR="00693C72" w:rsidRPr="000F6BA0" w:rsidRDefault="00693C72" w:rsidP="00693C72">
      <w:pPr>
        <w:jc w:val="left"/>
        <w:rPr>
          <w:lang w:val="en-US"/>
        </w:rPr>
      </w:pPr>
      <w:r w:rsidRPr="000F6BA0">
        <w:rPr>
          <w:lang w:val="en-US"/>
        </w:rPr>
        <w:t>where:</w:t>
      </w:r>
    </w:p>
    <w:p w:rsidR="00693C72" w:rsidRPr="000F6BA0" w:rsidRDefault="009B7F44" w:rsidP="00693C72">
      <w:pPr>
        <w:ind w:left="1440" w:firstLine="720"/>
        <w:jc w:val="right"/>
        <w:rPr>
          <w:lang w:val="en-US"/>
        </w:rPr>
      </w:pPr>
      <w:r w:rsidRPr="000F6BA0">
        <w:rPr>
          <w:rFonts w:ascii="Arial" w:hAnsi="Arial" w:cs="Arial"/>
          <w:sz w:val="22"/>
          <w:lang w:val="en-US"/>
        </w:rPr>
        <w:t xml:space="preserve">(TTC1 + </w:t>
      </w:r>
      <m:oMath>
        <m:nary>
          <m:naryPr>
            <m:chr m:val="∑"/>
            <m:limLoc m:val="undOvr"/>
            <m:ctrlPr>
              <w:rPr>
                <w:rFonts w:ascii="Cambria Math" w:hAnsi="Cambria Math" w:cs="Arial"/>
                <w:i/>
                <w:sz w:val="22"/>
                <w:lang w:val="en-US"/>
              </w:rPr>
            </m:ctrlPr>
          </m:naryPr>
          <m:sub>
            <m:r>
              <w:rPr>
                <w:rFonts w:ascii="Cambria Math" w:hAnsi="Cambria Math" w:cs="Arial"/>
                <w:sz w:val="22"/>
                <w:lang w:val="en-US"/>
              </w:rPr>
              <m:t>i=1</m:t>
            </m:r>
          </m:sub>
          <m:sup>
            <m:r>
              <w:rPr>
                <w:rFonts w:ascii="Cambria Math" w:hAnsi="Cambria Math" w:cs="Arial"/>
                <w:sz w:val="22"/>
                <w:lang w:val="en-US"/>
              </w:rPr>
              <m:t>n</m:t>
            </m:r>
          </m:sup>
          <m:e>
            <m:sSub>
              <m:sSubPr>
                <m:ctrlPr>
                  <w:rPr>
                    <w:rFonts w:ascii="Cambria Math" w:hAnsi="Cambria Math" w:cs="Arial"/>
                    <w:sz w:val="22"/>
                    <w:lang w:val="en-US"/>
                  </w:rPr>
                </m:ctrlPr>
              </m:sSubPr>
              <m:e>
                <m:r>
                  <m:rPr>
                    <m:sty m:val="p"/>
                  </m:rPr>
                  <w:rPr>
                    <w:rFonts w:ascii="Cambria Math" w:hAnsi="Cambria Math" w:cs="Arial"/>
                    <w:sz w:val="22"/>
                    <w:lang w:val="en-US"/>
                  </w:rPr>
                  <m:t>K</m:t>
                </m:r>
              </m:e>
              <m:sub>
                <m:r>
                  <w:rPr>
                    <w:rFonts w:ascii="Cambria Math" w:hAnsi="Cambria Math" w:cs="Arial"/>
                    <w:sz w:val="22"/>
                    <w:lang w:val="en-US"/>
                  </w:rPr>
                  <m:t>i</m:t>
                </m:r>
              </m:sub>
            </m:sSub>
            <m:r>
              <m:rPr>
                <m:sty m:val="p"/>
              </m:rPr>
              <w:rPr>
                <w:rFonts w:ascii="Cambria Math" w:hAnsi="Cambria Math" w:cs="Arial"/>
                <w:sz w:val="22"/>
                <w:lang w:val="en-US"/>
              </w:rPr>
              <m:t>∙</m:t>
            </m:r>
            <m:sSub>
              <m:sSubPr>
                <m:ctrlPr>
                  <w:rPr>
                    <w:rFonts w:ascii="Cambria Math" w:hAnsi="Cambria Math" w:cs="Arial"/>
                    <w:sz w:val="22"/>
                    <w:lang w:val="en-US"/>
                  </w:rPr>
                </m:ctrlPr>
              </m:sSubPr>
              <m:e>
                <m:r>
                  <w:rPr>
                    <w:rFonts w:ascii="Cambria Math" w:hAnsi="Cambria Math" w:cs="Arial"/>
                    <w:sz w:val="22"/>
                    <w:lang w:val="en-US"/>
                  </w:rPr>
                  <m:t>P</m:t>
                </m:r>
              </m:e>
              <m:sub>
                <m:r>
                  <w:rPr>
                    <w:rFonts w:ascii="Cambria Math" w:hAnsi="Cambria Math" w:cs="Arial"/>
                    <w:sz w:val="22"/>
                    <w:lang w:val="en-US"/>
                  </w:rPr>
                  <m:t>i</m:t>
                </m:r>
              </m:sub>
            </m:sSub>
          </m:e>
        </m:nary>
      </m:oMath>
      <w:r w:rsidRPr="000F6BA0">
        <w:rPr>
          <w:rFonts w:ascii="Arial" w:hAnsi="Arial" w:cs="Arial"/>
          <w:sz w:val="22"/>
          <w:lang w:val="en-US"/>
        </w:rPr>
        <w:t>) ≤ TTC</w:t>
      </w:r>
      <w:r w:rsidR="00693C72" w:rsidRPr="000F6BA0">
        <w:rPr>
          <w:lang w:val="en-US"/>
        </w:rPr>
        <w:tab/>
      </w:r>
      <w:r w:rsidR="00693C72" w:rsidRPr="000F6BA0">
        <w:rPr>
          <w:lang w:val="en-US"/>
        </w:rPr>
        <w:tab/>
      </w:r>
      <w:r w:rsidR="00693C72" w:rsidRPr="000F6BA0">
        <w:rPr>
          <w:lang w:val="en-US"/>
        </w:rPr>
        <w:tab/>
      </w:r>
      <w:r w:rsidR="00693C72" w:rsidRPr="000F6BA0">
        <w:rPr>
          <w:lang w:val="en-US"/>
        </w:rPr>
        <w:tab/>
      </w:r>
      <w:r w:rsidR="00693C72" w:rsidRPr="000F6BA0">
        <w:rPr>
          <w:lang w:val="en-US"/>
        </w:rPr>
        <w:tab/>
        <w:t>(3)</w:t>
      </w:r>
    </w:p>
    <w:p w:rsidR="00693C72" w:rsidRPr="000F6BA0" w:rsidRDefault="00693C72" w:rsidP="00693C72">
      <w:pPr>
        <w:jc w:val="left"/>
        <w:rPr>
          <w:lang w:val="en-US"/>
        </w:rPr>
      </w:pPr>
      <w:r w:rsidRPr="000F6BA0">
        <w:rPr>
          <w:lang w:val="en-US"/>
        </w:rPr>
        <w:t>where:</w:t>
      </w:r>
    </w:p>
    <w:p w:rsidR="00693C72" w:rsidRPr="000F6BA0" w:rsidRDefault="00693C72" w:rsidP="00693C72">
      <w:pPr>
        <w:jc w:val="left"/>
        <w:rPr>
          <w:lang w:val="en-US"/>
        </w:rPr>
      </w:pPr>
    </w:p>
    <w:p w:rsidR="00693C72" w:rsidRPr="000F6BA0" w:rsidRDefault="00693C72" w:rsidP="006855B0">
      <w:pPr>
        <w:rPr>
          <w:lang w:val="en-US"/>
        </w:rPr>
      </w:pPr>
      <w:r w:rsidRPr="000F6BA0">
        <w:rPr>
          <w:lang w:val="en-US"/>
        </w:rPr>
        <w:t>TTC</w:t>
      </w:r>
      <w:r w:rsidRPr="000F6BA0">
        <w:rPr>
          <w:vertAlign w:val="subscript"/>
          <w:lang w:val="en-US"/>
        </w:rPr>
        <w:t>1</w:t>
      </w:r>
      <w:r w:rsidRPr="000F6BA0">
        <w:rPr>
          <w:lang w:val="en-US"/>
        </w:rPr>
        <w:t xml:space="preserve"> – Total Transfer Capacity after (N-1) Situation has occurred from actual power system network status according to Instruction for parallel operation in the Lithuania-Latvia Cross</w:t>
      </w:r>
      <w:r w:rsidR="00DA5BA8" w:rsidRPr="000F6BA0">
        <w:rPr>
          <w:lang w:val="en-US"/>
        </w:rPr>
        <w:t>-</w:t>
      </w:r>
      <w:r w:rsidRPr="000F6BA0">
        <w:rPr>
          <w:lang w:val="en-US"/>
        </w:rPr>
        <w:t>Border Interconnection;</w:t>
      </w:r>
    </w:p>
    <w:p w:rsidR="00693C72" w:rsidRPr="000F6BA0" w:rsidRDefault="00693C72" w:rsidP="006855B0">
      <w:pPr>
        <w:ind w:left="1440" w:firstLine="720"/>
        <w:jc w:val="left"/>
        <w:rPr>
          <w:lang w:val="en-US"/>
        </w:rPr>
      </w:pPr>
    </w:p>
    <w:p w:rsidR="00316AD4" w:rsidRPr="000F6BA0" w:rsidRDefault="00693C72" w:rsidP="00D7480E">
      <w:pPr>
        <w:rPr>
          <w:lang w:val="en-US"/>
        </w:rPr>
      </w:pPr>
      <w:r w:rsidRPr="000F6BA0">
        <w:rPr>
          <w:rFonts w:ascii="Cambria Math" w:hAnsi="Cambria Math" w:cs="Cambria Math"/>
          <w:lang w:val="en-US"/>
        </w:rPr>
        <w:t>𝑃</w:t>
      </w:r>
      <w:r w:rsidRPr="000F6BA0">
        <w:rPr>
          <w:rFonts w:ascii="Cambria Math" w:hAnsi="Cambria Math" w:cs="Cambria Math"/>
          <w:vertAlign w:val="subscript"/>
          <w:lang w:val="en-US"/>
        </w:rPr>
        <w:t>𝑖</w:t>
      </w:r>
      <w:r w:rsidRPr="000F6BA0">
        <w:rPr>
          <w:lang w:val="en-US"/>
        </w:rPr>
        <w:t xml:space="preserve"> – all available amount of assured emergency power reserves for respective power system </w:t>
      </w:r>
      <w:r w:rsidRPr="000F6BA0">
        <w:rPr>
          <w:i/>
          <w:lang w:val="en-US"/>
        </w:rPr>
        <w:t>i</w:t>
      </w:r>
      <w:r w:rsidR="00DA5BA8" w:rsidRPr="000F6BA0">
        <w:rPr>
          <w:lang w:val="en-US"/>
        </w:rPr>
        <w:t xml:space="preserve"> </w:t>
      </w:r>
      <w:r w:rsidRPr="000F6BA0">
        <w:rPr>
          <w:lang w:val="en-US"/>
        </w:rPr>
        <w:t>(shall be provided by respective TSO</w:t>
      </w:r>
      <w:r w:rsidR="00DA5BA8" w:rsidRPr="000F6BA0">
        <w:rPr>
          <w:lang w:val="en-US"/>
        </w:rPr>
        <w:t>)</w:t>
      </w:r>
      <w:r w:rsidR="003729CB" w:rsidRPr="000F6BA0">
        <w:rPr>
          <w:lang w:val="en-US"/>
        </w:rPr>
        <w:t>.</w:t>
      </w:r>
    </w:p>
    <w:p w:rsidR="00693C72" w:rsidRPr="000F6BA0" w:rsidRDefault="00693C72" w:rsidP="00D7480E">
      <w:pPr>
        <w:rPr>
          <w:lang w:val="en-US"/>
        </w:rPr>
      </w:pPr>
    </w:p>
    <w:p w:rsidR="00693C72" w:rsidRPr="000F6BA0" w:rsidRDefault="00693C72" w:rsidP="00D7480E">
      <w:pPr>
        <w:rPr>
          <w:lang w:val="en-US"/>
        </w:rPr>
      </w:pPr>
      <w:r w:rsidRPr="000F6BA0">
        <w:rPr>
          <w:lang w:val="en-US"/>
        </w:rPr>
        <w:t>K</w:t>
      </w:r>
      <w:r w:rsidRPr="000F6BA0">
        <w:rPr>
          <w:rFonts w:ascii="Cambria Math" w:hAnsi="Cambria Math" w:cs="Cambria Math"/>
          <w:vertAlign w:val="subscript"/>
          <w:lang w:val="en-US"/>
        </w:rPr>
        <w:t>𝑖</w:t>
      </w:r>
      <w:r w:rsidRPr="000F6BA0">
        <w:rPr>
          <w:lang w:val="en-US"/>
        </w:rPr>
        <w:t xml:space="preserve"> – reserve power distribution coefficients considering location of the assured emergency power reserve </w:t>
      </w:r>
      <w:r w:rsidRPr="000F6BA0">
        <w:rPr>
          <w:rFonts w:ascii="Cambria Math" w:hAnsi="Cambria Math" w:cs="Cambria Math"/>
          <w:lang w:val="en-US"/>
        </w:rPr>
        <w:t>𝑃𝑖</w:t>
      </w:r>
      <w:r w:rsidRPr="000F6BA0">
        <w:rPr>
          <w:lang w:val="en-US"/>
        </w:rPr>
        <w:t xml:space="preserve"> and down regulation according to </w:t>
      </w:r>
      <w:r w:rsidR="009F227C" w:rsidRPr="000F6BA0">
        <w:rPr>
          <w:lang w:val="en-US"/>
        </w:rPr>
        <w:fldChar w:fldCharType="begin"/>
      </w:r>
      <w:r w:rsidR="009F227C" w:rsidRPr="000F6BA0">
        <w:rPr>
          <w:lang w:val="en-US"/>
        </w:rPr>
        <w:instrText xml:space="preserve"> REF _Ref3386006 \h </w:instrText>
      </w:r>
      <w:r w:rsidR="009F227C" w:rsidRPr="000F6BA0">
        <w:rPr>
          <w:lang w:val="en-US"/>
        </w:rPr>
      </w:r>
      <w:r w:rsidR="009F227C" w:rsidRPr="000F6BA0">
        <w:rPr>
          <w:lang w:val="en-US"/>
        </w:rPr>
        <w:fldChar w:fldCharType="separate"/>
      </w:r>
      <w:r w:rsidR="009F227C" w:rsidRPr="000F6BA0">
        <w:rPr>
          <w:lang w:val="en-US"/>
        </w:rPr>
        <w:t>Table 2</w:t>
      </w:r>
      <w:r w:rsidR="009F227C" w:rsidRPr="000F6BA0">
        <w:rPr>
          <w:lang w:val="en-US"/>
        </w:rPr>
        <w:fldChar w:fldCharType="end"/>
      </w:r>
      <w:r w:rsidRPr="000F6BA0">
        <w:rPr>
          <w:lang w:val="en-US"/>
        </w:rPr>
        <w:t xml:space="preserve"> of this Methodology</w:t>
      </w:r>
    </w:p>
    <w:p w:rsidR="00693C72" w:rsidRPr="000F6BA0" w:rsidRDefault="00693C72" w:rsidP="00D7480E">
      <w:pPr>
        <w:rPr>
          <w:lang w:val="en-US"/>
        </w:rPr>
      </w:pPr>
    </w:p>
    <w:p w:rsidR="00693C72" w:rsidRPr="000F6BA0" w:rsidRDefault="00693C72" w:rsidP="00D7480E">
      <w:pPr>
        <w:rPr>
          <w:lang w:val="en-US"/>
        </w:rPr>
      </w:pPr>
      <w:r w:rsidRPr="000F6BA0">
        <w:rPr>
          <w:rFonts w:ascii="Cambria Math" w:hAnsi="Cambria Math" w:cs="Cambria Math"/>
          <w:lang w:val="en-US"/>
        </w:rPr>
        <w:t>𝑛</w:t>
      </w:r>
      <w:r w:rsidRPr="000F6BA0">
        <w:rPr>
          <w:lang w:val="en-US"/>
        </w:rPr>
        <w:t xml:space="preserve"> – number of power systems;</w:t>
      </w:r>
    </w:p>
    <w:p w:rsidR="00693C72" w:rsidRPr="000F6BA0" w:rsidRDefault="00693C72" w:rsidP="00D7480E">
      <w:pPr>
        <w:rPr>
          <w:lang w:val="en-US"/>
        </w:rPr>
      </w:pPr>
    </w:p>
    <w:p w:rsidR="00693C72" w:rsidRPr="000F6BA0" w:rsidRDefault="00693C72" w:rsidP="00D7480E">
      <w:pPr>
        <w:rPr>
          <w:lang w:val="en-US"/>
        </w:rPr>
      </w:pPr>
      <w:r w:rsidRPr="000F6BA0">
        <w:rPr>
          <w:lang w:val="en-US"/>
        </w:rPr>
        <w:t>TTC – Total Transfer Capacity in actual power system network status according to Instruction for parallel operation in the Lithuania-Latvia Cross-Border Interconnection;</w:t>
      </w:r>
    </w:p>
    <w:p w:rsidR="00693C72" w:rsidRPr="000F6BA0" w:rsidRDefault="00693C72" w:rsidP="00D7480E">
      <w:pPr>
        <w:rPr>
          <w:lang w:val="en-US"/>
        </w:rPr>
      </w:pPr>
    </w:p>
    <w:p w:rsidR="00693C72" w:rsidRPr="000F6BA0" w:rsidRDefault="00693C72" w:rsidP="00D7480E">
      <w:pPr>
        <w:rPr>
          <w:lang w:val="en-US"/>
        </w:rPr>
      </w:pPr>
      <w:r w:rsidRPr="000F6BA0">
        <w:rPr>
          <w:lang w:val="en-US"/>
        </w:rPr>
        <w:lastRenderedPageBreak/>
        <w:t>TRM –</w:t>
      </w:r>
      <w:r w:rsidR="00F34C11" w:rsidRPr="000F6BA0">
        <w:rPr>
          <w:lang w:val="en-US"/>
        </w:rPr>
        <w:t xml:space="preserve">shall be </w:t>
      </w:r>
      <w:r w:rsidRPr="000F6BA0">
        <w:rPr>
          <w:lang w:val="en-US"/>
        </w:rPr>
        <w:t xml:space="preserve">calculated according to the methodology described in </w:t>
      </w:r>
      <w:r w:rsidR="000F6BA0">
        <w:rPr>
          <w:lang w:val="en-US"/>
        </w:rPr>
        <w:t>Article</w:t>
      </w:r>
      <w:r w:rsidRPr="000F6BA0">
        <w:rPr>
          <w:lang w:val="en-US"/>
        </w:rPr>
        <w:t xml:space="preserve"> </w:t>
      </w:r>
      <w:r w:rsidR="001C440B" w:rsidRPr="000F6BA0">
        <w:rPr>
          <w:lang w:val="en-US"/>
        </w:rPr>
        <w:t xml:space="preserve">3 </w:t>
      </w:r>
      <w:r w:rsidRPr="000F6BA0">
        <w:rPr>
          <w:lang w:val="en-US"/>
        </w:rPr>
        <w:t>of this Methodology.</w:t>
      </w:r>
    </w:p>
    <w:p w:rsidR="00693C72" w:rsidRPr="000F6BA0" w:rsidRDefault="00693C72" w:rsidP="00D7480E">
      <w:pPr>
        <w:rPr>
          <w:lang w:val="en-US"/>
        </w:rPr>
      </w:pPr>
    </w:p>
    <w:p w:rsidR="00693C72" w:rsidRPr="000F6BA0" w:rsidRDefault="00052DB8" w:rsidP="00D7480E">
      <w:pPr>
        <w:rPr>
          <w:lang w:val="en-US"/>
        </w:rPr>
      </w:pPr>
      <w:r w:rsidRPr="000F6BA0">
        <w:rPr>
          <w:lang w:val="en-US"/>
        </w:rPr>
        <w:t>7</w:t>
      </w:r>
      <w:r w:rsidR="00693C72" w:rsidRPr="000F6BA0">
        <w:rPr>
          <w:lang w:val="en-US"/>
        </w:rPr>
        <w:t xml:space="preserve">.2.2 In case if during capacity validation process </w:t>
      </w:r>
      <w:proofErr w:type="spellStart"/>
      <w:r w:rsidR="00693C72" w:rsidRPr="000F6BA0">
        <w:rPr>
          <w:lang w:val="en-US"/>
        </w:rPr>
        <w:t>neighbouring</w:t>
      </w:r>
      <w:proofErr w:type="spellEnd"/>
      <w:r w:rsidR="00693C72" w:rsidRPr="000F6BA0">
        <w:rPr>
          <w:lang w:val="en-US"/>
        </w:rPr>
        <w:t xml:space="preserve"> TSOs determine different </w:t>
      </w:r>
      <w:r w:rsidR="00DA5BA8" w:rsidRPr="000F6BA0">
        <w:rPr>
          <w:lang w:val="en-US"/>
        </w:rPr>
        <w:t xml:space="preserve">Long-term </w:t>
      </w:r>
      <w:r w:rsidR="00693C72" w:rsidRPr="000F6BA0">
        <w:rPr>
          <w:lang w:val="en-US"/>
        </w:rPr>
        <w:t xml:space="preserve">NTC </w:t>
      </w:r>
      <w:r w:rsidR="003B457E" w:rsidRPr="000F6BA0">
        <w:rPr>
          <w:lang w:val="en-US"/>
        </w:rPr>
        <w:t xml:space="preserve">(cross-zonal capacity) </w:t>
      </w:r>
      <w:r w:rsidR="00693C72" w:rsidRPr="000F6BA0">
        <w:rPr>
          <w:lang w:val="en-US"/>
        </w:rPr>
        <w:t>values for the same Cross-Border Interconnection the lowest value shall be used as a coordinated value.</w:t>
      </w:r>
    </w:p>
    <w:p w:rsidR="009F227C" w:rsidRPr="000F6BA0" w:rsidRDefault="009F227C" w:rsidP="00D7480E">
      <w:pPr>
        <w:rPr>
          <w:lang w:val="en-US"/>
        </w:rPr>
      </w:pPr>
    </w:p>
    <w:p w:rsidR="009F227C" w:rsidRPr="000F6BA0" w:rsidRDefault="009F227C" w:rsidP="006855B0">
      <w:pPr>
        <w:pStyle w:val="Caption"/>
        <w:rPr>
          <w:lang w:val="en-US"/>
        </w:rPr>
      </w:pPr>
      <w:bookmarkStart w:id="39" w:name="_Ref3386006"/>
      <w:bookmarkStart w:id="40" w:name="_Ref3385999"/>
      <w:r w:rsidRPr="000F6BA0">
        <w:rPr>
          <w:lang w:val="en-US"/>
        </w:rPr>
        <w:t xml:space="preserve">Table </w:t>
      </w:r>
      <w:r w:rsidRPr="000F6BA0">
        <w:rPr>
          <w:lang w:val="en-US"/>
        </w:rPr>
        <w:fldChar w:fldCharType="begin"/>
      </w:r>
      <w:r w:rsidRPr="000F6BA0">
        <w:rPr>
          <w:lang w:val="en-US"/>
        </w:rPr>
        <w:instrText xml:space="preserve"> SEQ Table \* ARABIC </w:instrText>
      </w:r>
      <w:r w:rsidRPr="000F6BA0">
        <w:rPr>
          <w:lang w:val="en-US"/>
        </w:rPr>
        <w:fldChar w:fldCharType="separate"/>
      </w:r>
      <w:r w:rsidRPr="000F6BA0">
        <w:rPr>
          <w:lang w:val="en-US"/>
        </w:rPr>
        <w:t>2</w:t>
      </w:r>
      <w:r w:rsidRPr="000F6BA0">
        <w:rPr>
          <w:lang w:val="en-US"/>
        </w:rPr>
        <w:fldChar w:fldCharType="end"/>
      </w:r>
      <w:bookmarkEnd w:id="39"/>
      <w:r w:rsidRPr="000F6BA0">
        <w:rPr>
          <w:lang w:val="en-US"/>
        </w:rPr>
        <w:t>. Reserve power distribution coefficients</w:t>
      </w:r>
      <w:bookmarkEnd w:id="40"/>
    </w:p>
    <w:tbl>
      <w:tblPr>
        <w:tblStyle w:val="TableGrid"/>
        <w:tblW w:w="9142" w:type="dxa"/>
        <w:jc w:val="center"/>
        <w:tblLook w:val="04A0" w:firstRow="1" w:lastRow="0" w:firstColumn="1" w:lastColumn="0" w:noHBand="0" w:noVBand="1"/>
      </w:tblPr>
      <w:tblGrid>
        <w:gridCol w:w="1468"/>
        <w:gridCol w:w="2071"/>
        <w:gridCol w:w="1414"/>
        <w:gridCol w:w="1390"/>
        <w:gridCol w:w="1400"/>
        <w:gridCol w:w="1399"/>
      </w:tblGrid>
      <w:tr w:rsidR="009F227C" w:rsidRPr="000F6BA0" w:rsidTr="006855B0">
        <w:trPr>
          <w:jc w:val="center"/>
        </w:trPr>
        <w:tc>
          <w:tcPr>
            <w:tcW w:w="1468" w:type="dxa"/>
            <w:vMerge w:val="restart"/>
            <w:vAlign w:val="center"/>
          </w:tcPr>
          <w:p w:rsidR="009F227C" w:rsidRPr="000F6BA0" w:rsidRDefault="009F227C" w:rsidP="00D7480E">
            <w:pPr>
              <w:rPr>
                <w:b/>
                <w:lang w:val="en-US"/>
              </w:rPr>
            </w:pPr>
            <w:r w:rsidRPr="000F6BA0">
              <w:rPr>
                <w:b/>
                <w:lang w:val="en-US"/>
              </w:rPr>
              <w:t>Amount of down regulation power, %</w:t>
            </w:r>
          </w:p>
        </w:tc>
        <w:tc>
          <w:tcPr>
            <w:tcW w:w="2071" w:type="dxa"/>
            <w:vMerge w:val="restart"/>
            <w:vAlign w:val="center"/>
          </w:tcPr>
          <w:p w:rsidR="009F227C" w:rsidRPr="000F6BA0" w:rsidRDefault="009F227C" w:rsidP="00D7480E">
            <w:pPr>
              <w:rPr>
                <w:b/>
                <w:lang w:val="en-US"/>
              </w:rPr>
            </w:pPr>
            <w:r w:rsidRPr="000F6BA0">
              <w:rPr>
                <w:b/>
                <w:lang w:val="en-US"/>
              </w:rPr>
              <w:t>Cross-Border Interconnections</w:t>
            </w:r>
          </w:p>
        </w:tc>
        <w:tc>
          <w:tcPr>
            <w:tcW w:w="5603" w:type="dxa"/>
            <w:gridSpan w:val="4"/>
            <w:vAlign w:val="center"/>
          </w:tcPr>
          <w:p w:rsidR="009F227C" w:rsidRPr="000F6BA0" w:rsidRDefault="009F227C" w:rsidP="006855B0">
            <w:pPr>
              <w:jc w:val="center"/>
              <w:rPr>
                <w:b/>
                <w:lang w:val="en-US"/>
              </w:rPr>
            </w:pPr>
            <w:r w:rsidRPr="000F6BA0">
              <w:rPr>
                <w:b/>
                <w:lang w:val="en-US"/>
              </w:rPr>
              <w:t>Reserves location</w:t>
            </w:r>
          </w:p>
        </w:tc>
      </w:tr>
      <w:tr w:rsidR="009F227C" w:rsidRPr="000F6BA0" w:rsidTr="006855B0">
        <w:trPr>
          <w:jc w:val="center"/>
        </w:trPr>
        <w:tc>
          <w:tcPr>
            <w:tcW w:w="1468" w:type="dxa"/>
            <w:vMerge/>
            <w:vAlign w:val="center"/>
          </w:tcPr>
          <w:p w:rsidR="009F227C" w:rsidRPr="000F6BA0" w:rsidRDefault="009F227C" w:rsidP="00D7480E">
            <w:pPr>
              <w:rPr>
                <w:b/>
                <w:lang w:val="en-US"/>
              </w:rPr>
            </w:pPr>
          </w:p>
        </w:tc>
        <w:tc>
          <w:tcPr>
            <w:tcW w:w="2071" w:type="dxa"/>
            <w:vMerge/>
            <w:vAlign w:val="center"/>
          </w:tcPr>
          <w:p w:rsidR="009F227C" w:rsidRPr="000F6BA0" w:rsidRDefault="009F227C" w:rsidP="00D7480E">
            <w:pPr>
              <w:rPr>
                <w:b/>
                <w:lang w:val="en-US"/>
              </w:rPr>
            </w:pPr>
          </w:p>
        </w:tc>
        <w:tc>
          <w:tcPr>
            <w:tcW w:w="1414" w:type="dxa"/>
            <w:vAlign w:val="center"/>
          </w:tcPr>
          <w:p w:rsidR="009F227C" w:rsidRPr="000F6BA0" w:rsidRDefault="009F227C" w:rsidP="00D7480E">
            <w:pPr>
              <w:rPr>
                <w:b/>
                <w:lang w:val="en-US"/>
              </w:rPr>
            </w:pPr>
            <w:r w:rsidRPr="000F6BA0">
              <w:rPr>
                <w:b/>
                <w:lang w:val="en-US"/>
              </w:rPr>
              <w:t>Lithuania</w:t>
            </w:r>
          </w:p>
        </w:tc>
        <w:tc>
          <w:tcPr>
            <w:tcW w:w="1390" w:type="dxa"/>
            <w:vAlign w:val="center"/>
          </w:tcPr>
          <w:p w:rsidR="009F227C" w:rsidRPr="000F6BA0" w:rsidRDefault="009F227C" w:rsidP="00D7480E">
            <w:pPr>
              <w:rPr>
                <w:b/>
                <w:lang w:val="en-US"/>
              </w:rPr>
            </w:pPr>
            <w:r w:rsidRPr="000F6BA0">
              <w:rPr>
                <w:b/>
                <w:lang w:val="en-US"/>
              </w:rPr>
              <w:t>Latvia</w:t>
            </w:r>
          </w:p>
        </w:tc>
        <w:tc>
          <w:tcPr>
            <w:tcW w:w="1400" w:type="dxa"/>
            <w:vAlign w:val="center"/>
          </w:tcPr>
          <w:p w:rsidR="009F227C" w:rsidRPr="000F6BA0" w:rsidRDefault="009F227C" w:rsidP="006855B0">
            <w:pPr>
              <w:jc w:val="center"/>
              <w:rPr>
                <w:b/>
                <w:lang w:val="en-US"/>
              </w:rPr>
            </w:pPr>
            <w:r w:rsidRPr="000F6BA0">
              <w:rPr>
                <w:b/>
                <w:lang w:val="en-US"/>
              </w:rPr>
              <w:t>Belarus</w:t>
            </w:r>
          </w:p>
        </w:tc>
        <w:tc>
          <w:tcPr>
            <w:tcW w:w="1399" w:type="dxa"/>
            <w:vAlign w:val="center"/>
          </w:tcPr>
          <w:p w:rsidR="009F227C" w:rsidRPr="000F6BA0" w:rsidRDefault="009F227C" w:rsidP="00D7480E">
            <w:pPr>
              <w:rPr>
                <w:b/>
                <w:lang w:val="en-US"/>
              </w:rPr>
            </w:pPr>
            <w:r w:rsidRPr="000F6BA0">
              <w:rPr>
                <w:b/>
                <w:lang w:val="en-US"/>
              </w:rPr>
              <w:t>Estonia</w:t>
            </w:r>
          </w:p>
        </w:tc>
      </w:tr>
      <w:tr w:rsidR="009F227C" w:rsidRPr="000F6BA0" w:rsidTr="006855B0">
        <w:trPr>
          <w:jc w:val="center"/>
        </w:trPr>
        <w:tc>
          <w:tcPr>
            <w:tcW w:w="1468" w:type="dxa"/>
            <w:vMerge w:val="restart"/>
          </w:tcPr>
          <w:p w:rsidR="009F227C" w:rsidRPr="000F6BA0" w:rsidRDefault="009F227C" w:rsidP="00D7480E">
            <w:pPr>
              <w:rPr>
                <w:lang w:val="en-US"/>
              </w:rPr>
            </w:pPr>
            <w:r w:rsidRPr="000F6BA0">
              <w:rPr>
                <w:lang w:val="en-US"/>
              </w:rPr>
              <w:t>100</w:t>
            </w:r>
          </w:p>
        </w:tc>
        <w:tc>
          <w:tcPr>
            <w:tcW w:w="2071" w:type="dxa"/>
          </w:tcPr>
          <w:p w:rsidR="009F227C" w:rsidRPr="000F6BA0" w:rsidRDefault="009F227C" w:rsidP="00D7480E">
            <w:pPr>
              <w:rPr>
                <w:lang w:val="en-US"/>
              </w:rPr>
            </w:pPr>
            <w:proofErr w:type="spellStart"/>
            <w:r w:rsidRPr="000F6BA0">
              <w:rPr>
                <w:lang w:val="en-US"/>
              </w:rPr>
              <w:t>Latvia→Lithuania</w:t>
            </w:r>
            <w:proofErr w:type="spellEnd"/>
          </w:p>
        </w:tc>
        <w:tc>
          <w:tcPr>
            <w:tcW w:w="1414" w:type="dxa"/>
          </w:tcPr>
          <w:p w:rsidR="009F227C" w:rsidRPr="000F6BA0" w:rsidRDefault="009F227C" w:rsidP="00D7480E">
            <w:pPr>
              <w:rPr>
                <w:lang w:val="en-US"/>
              </w:rPr>
            </w:pPr>
            <w:r w:rsidRPr="000F6BA0">
              <w:rPr>
                <w:lang w:val="en-US"/>
              </w:rPr>
              <w:t>0,88</w:t>
            </w:r>
          </w:p>
        </w:tc>
        <w:tc>
          <w:tcPr>
            <w:tcW w:w="1390" w:type="dxa"/>
          </w:tcPr>
          <w:p w:rsidR="009F227C" w:rsidRPr="000F6BA0" w:rsidRDefault="009F227C" w:rsidP="00D7480E">
            <w:pPr>
              <w:rPr>
                <w:lang w:val="en-US"/>
              </w:rPr>
            </w:pPr>
          </w:p>
        </w:tc>
        <w:tc>
          <w:tcPr>
            <w:tcW w:w="1400" w:type="dxa"/>
          </w:tcPr>
          <w:p w:rsidR="009F227C" w:rsidRPr="000F6BA0" w:rsidRDefault="009F227C" w:rsidP="00D7480E">
            <w:pPr>
              <w:rPr>
                <w:lang w:val="en-US"/>
              </w:rPr>
            </w:pPr>
            <w:r w:rsidRPr="000F6BA0">
              <w:rPr>
                <w:lang w:val="en-US"/>
              </w:rPr>
              <w:t>0,72</w:t>
            </w:r>
          </w:p>
        </w:tc>
        <w:tc>
          <w:tcPr>
            <w:tcW w:w="1399" w:type="dxa"/>
          </w:tcPr>
          <w:p w:rsidR="009F227C" w:rsidRPr="000F6BA0" w:rsidRDefault="009F227C" w:rsidP="00D7480E">
            <w:pPr>
              <w:rPr>
                <w:lang w:val="en-US"/>
              </w:rPr>
            </w:pPr>
          </w:p>
        </w:tc>
      </w:tr>
      <w:tr w:rsidR="009F227C" w:rsidRPr="000F6BA0" w:rsidTr="006855B0">
        <w:trPr>
          <w:jc w:val="center"/>
        </w:trPr>
        <w:tc>
          <w:tcPr>
            <w:tcW w:w="1468" w:type="dxa"/>
            <w:vMerge/>
          </w:tcPr>
          <w:p w:rsidR="009F227C" w:rsidRPr="000F6BA0" w:rsidRDefault="009F227C" w:rsidP="00D7480E">
            <w:pPr>
              <w:rPr>
                <w:lang w:val="en-US"/>
              </w:rPr>
            </w:pPr>
          </w:p>
        </w:tc>
        <w:tc>
          <w:tcPr>
            <w:tcW w:w="2071" w:type="dxa"/>
          </w:tcPr>
          <w:p w:rsidR="009F227C" w:rsidRPr="000F6BA0" w:rsidRDefault="009F227C" w:rsidP="00D7480E">
            <w:pPr>
              <w:rPr>
                <w:lang w:val="en-US"/>
              </w:rPr>
            </w:pPr>
            <w:r w:rsidRPr="000F6BA0">
              <w:rPr>
                <w:lang w:val="en-US"/>
              </w:rPr>
              <w:t>Lithuania→ Latvia</w:t>
            </w:r>
          </w:p>
        </w:tc>
        <w:tc>
          <w:tcPr>
            <w:tcW w:w="1414" w:type="dxa"/>
          </w:tcPr>
          <w:p w:rsidR="009F227C" w:rsidRPr="000F6BA0" w:rsidRDefault="009F227C" w:rsidP="00D7480E">
            <w:pPr>
              <w:rPr>
                <w:lang w:val="en-US"/>
              </w:rPr>
            </w:pPr>
          </w:p>
        </w:tc>
        <w:tc>
          <w:tcPr>
            <w:tcW w:w="1390" w:type="dxa"/>
          </w:tcPr>
          <w:p w:rsidR="009F227C" w:rsidRPr="000F6BA0" w:rsidRDefault="009F227C" w:rsidP="00D7480E">
            <w:pPr>
              <w:rPr>
                <w:lang w:val="en-US"/>
              </w:rPr>
            </w:pPr>
            <w:r w:rsidRPr="000F6BA0">
              <w:rPr>
                <w:lang w:val="en-US"/>
              </w:rPr>
              <w:t>0,88</w:t>
            </w:r>
          </w:p>
        </w:tc>
        <w:tc>
          <w:tcPr>
            <w:tcW w:w="1400" w:type="dxa"/>
          </w:tcPr>
          <w:p w:rsidR="009F227C" w:rsidRPr="000F6BA0" w:rsidRDefault="009F227C" w:rsidP="00D7480E">
            <w:pPr>
              <w:rPr>
                <w:lang w:val="en-US"/>
              </w:rPr>
            </w:pPr>
          </w:p>
        </w:tc>
        <w:tc>
          <w:tcPr>
            <w:tcW w:w="1399" w:type="dxa"/>
          </w:tcPr>
          <w:p w:rsidR="009F227C" w:rsidRPr="000F6BA0" w:rsidRDefault="009F227C" w:rsidP="00D7480E">
            <w:pPr>
              <w:rPr>
                <w:lang w:val="en-US"/>
              </w:rPr>
            </w:pPr>
            <w:r w:rsidRPr="000F6BA0">
              <w:rPr>
                <w:lang w:val="en-US"/>
              </w:rPr>
              <w:t>0,62</w:t>
            </w:r>
          </w:p>
        </w:tc>
      </w:tr>
      <w:tr w:rsidR="009F227C" w:rsidRPr="000F6BA0" w:rsidTr="006855B0">
        <w:trPr>
          <w:jc w:val="center"/>
        </w:trPr>
        <w:tc>
          <w:tcPr>
            <w:tcW w:w="1468" w:type="dxa"/>
            <w:vMerge w:val="restart"/>
          </w:tcPr>
          <w:p w:rsidR="009F227C" w:rsidRPr="000F6BA0" w:rsidRDefault="009F227C" w:rsidP="00D7480E">
            <w:pPr>
              <w:rPr>
                <w:lang w:val="en-US"/>
              </w:rPr>
            </w:pPr>
            <w:r w:rsidRPr="000F6BA0">
              <w:rPr>
                <w:lang w:val="en-US"/>
              </w:rPr>
              <w:t>50</w:t>
            </w:r>
          </w:p>
        </w:tc>
        <w:tc>
          <w:tcPr>
            <w:tcW w:w="2071" w:type="dxa"/>
          </w:tcPr>
          <w:p w:rsidR="009F227C" w:rsidRPr="000F6BA0" w:rsidRDefault="009F227C">
            <w:pPr>
              <w:rPr>
                <w:lang w:val="en-US"/>
              </w:rPr>
            </w:pPr>
            <w:proofErr w:type="spellStart"/>
            <w:r w:rsidRPr="000F6BA0">
              <w:rPr>
                <w:lang w:val="en-US"/>
              </w:rPr>
              <w:t>Latvia→Lithuania</w:t>
            </w:r>
            <w:proofErr w:type="spellEnd"/>
          </w:p>
        </w:tc>
        <w:tc>
          <w:tcPr>
            <w:tcW w:w="1414" w:type="dxa"/>
          </w:tcPr>
          <w:p w:rsidR="009F227C" w:rsidRPr="000F6BA0" w:rsidRDefault="009F227C" w:rsidP="00D7480E">
            <w:pPr>
              <w:rPr>
                <w:lang w:val="en-US"/>
              </w:rPr>
            </w:pPr>
            <w:r w:rsidRPr="000F6BA0">
              <w:rPr>
                <w:lang w:val="en-US"/>
              </w:rPr>
              <w:t>0,61</w:t>
            </w:r>
          </w:p>
        </w:tc>
        <w:tc>
          <w:tcPr>
            <w:tcW w:w="1390" w:type="dxa"/>
          </w:tcPr>
          <w:p w:rsidR="009F227C" w:rsidRPr="000F6BA0" w:rsidRDefault="009F227C" w:rsidP="00D7480E">
            <w:pPr>
              <w:rPr>
                <w:lang w:val="en-US"/>
              </w:rPr>
            </w:pPr>
          </w:p>
        </w:tc>
        <w:tc>
          <w:tcPr>
            <w:tcW w:w="1400" w:type="dxa"/>
          </w:tcPr>
          <w:p w:rsidR="009F227C" w:rsidRPr="000F6BA0" w:rsidRDefault="009F227C" w:rsidP="00D7480E">
            <w:pPr>
              <w:rPr>
                <w:lang w:val="en-US"/>
              </w:rPr>
            </w:pPr>
            <w:r w:rsidRPr="000F6BA0">
              <w:rPr>
                <w:lang w:val="en-US"/>
              </w:rPr>
              <w:t>0,44</w:t>
            </w:r>
          </w:p>
        </w:tc>
        <w:tc>
          <w:tcPr>
            <w:tcW w:w="1399" w:type="dxa"/>
          </w:tcPr>
          <w:p w:rsidR="009F227C" w:rsidRPr="000F6BA0" w:rsidRDefault="009F227C" w:rsidP="00D7480E">
            <w:pPr>
              <w:rPr>
                <w:lang w:val="en-US"/>
              </w:rPr>
            </w:pPr>
          </w:p>
        </w:tc>
      </w:tr>
      <w:tr w:rsidR="009F227C" w:rsidRPr="000F6BA0" w:rsidTr="006855B0">
        <w:trPr>
          <w:jc w:val="center"/>
        </w:trPr>
        <w:tc>
          <w:tcPr>
            <w:tcW w:w="1468" w:type="dxa"/>
            <w:vMerge/>
          </w:tcPr>
          <w:p w:rsidR="009F227C" w:rsidRPr="000F6BA0" w:rsidRDefault="009F227C" w:rsidP="00D7480E">
            <w:pPr>
              <w:rPr>
                <w:lang w:val="en-US"/>
              </w:rPr>
            </w:pPr>
          </w:p>
        </w:tc>
        <w:tc>
          <w:tcPr>
            <w:tcW w:w="2071" w:type="dxa"/>
          </w:tcPr>
          <w:p w:rsidR="009F227C" w:rsidRPr="000F6BA0" w:rsidRDefault="009F227C" w:rsidP="00D7480E">
            <w:pPr>
              <w:rPr>
                <w:lang w:val="en-US"/>
              </w:rPr>
            </w:pPr>
            <w:r w:rsidRPr="000F6BA0">
              <w:rPr>
                <w:lang w:val="en-US"/>
              </w:rPr>
              <w:t>Lithuania→ Latvia</w:t>
            </w:r>
          </w:p>
        </w:tc>
        <w:tc>
          <w:tcPr>
            <w:tcW w:w="1414" w:type="dxa"/>
          </w:tcPr>
          <w:p w:rsidR="009F227C" w:rsidRPr="000F6BA0" w:rsidRDefault="009F227C" w:rsidP="00D7480E">
            <w:pPr>
              <w:rPr>
                <w:lang w:val="en-US"/>
              </w:rPr>
            </w:pPr>
          </w:p>
        </w:tc>
        <w:tc>
          <w:tcPr>
            <w:tcW w:w="1390" w:type="dxa"/>
          </w:tcPr>
          <w:p w:rsidR="009F227C" w:rsidRPr="000F6BA0" w:rsidRDefault="009F227C" w:rsidP="00D7480E">
            <w:pPr>
              <w:rPr>
                <w:lang w:val="en-US"/>
              </w:rPr>
            </w:pPr>
            <w:r w:rsidRPr="000F6BA0">
              <w:rPr>
                <w:lang w:val="en-US"/>
              </w:rPr>
              <w:t>0,72</w:t>
            </w:r>
          </w:p>
        </w:tc>
        <w:tc>
          <w:tcPr>
            <w:tcW w:w="1400" w:type="dxa"/>
          </w:tcPr>
          <w:p w:rsidR="009F227C" w:rsidRPr="000F6BA0" w:rsidRDefault="009F227C" w:rsidP="00D7480E">
            <w:pPr>
              <w:rPr>
                <w:lang w:val="en-US"/>
              </w:rPr>
            </w:pPr>
          </w:p>
        </w:tc>
        <w:tc>
          <w:tcPr>
            <w:tcW w:w="1399" w:type="dxa"/>
          </w:tcPr>
          <w:p w:rsidR="009F227C" w:rsidRPr="000F6BA0" w:rsidRDefault="009F227C" w:rsidP="00D7480E">
            <w:pPr>
              <w:rPr>
                <w:lang w:val="en-US"/>
              </w:rPr>
            </w:pPr>
            <w:r w:rsidRPr="000F6BA0">
              <w:rPr>
                <w:lang w:val="en-US"/>
              </w:rPr>
              <w:t>0,46</w:t>
            </w:r>
          </w:p>
        </w:tc>
      </w:tr>
      <w:tr w:rsidR="009F227C" w:rsidRPr="000F6BA0" w:rsidTr="006855B0">
        <w:trPr>
          <w:jc w:val="center"/>
        </w:trPr>
        <w:tc>
          <w:tcPr>
            <w:tcW w:w="1468" w:type="dxa"/>
            <w:vMerge w:val="restart"/>
          </w:tcPr>
          <w:p w:rsidR="009F227C" w:rsidRPr="000F6BA0" w:rsidRDefault="009F227C" w:rsidP="00D7480E">
            <w:pPr>
              <w:rPr>
                <w:lang w:val="en-US"/>
              </w:rPr>
            </w:pPr>
            <w:r w:rsidRPr="000F6BA0">
              <w:rPr>
                <w:lang w:val="en-US"/>
              </w:rPr>
              <w:t>0</w:t>
            </w:r>
          </w:p>
        </w:tc>
        <w:tc>
          <w:tcPr>
            <w:tcW w:w="2071" w:type="dxa"/>
          </w:tcPr>
          <w:p w:rsidR="009F227C" w:rsidRPr="000F6BA0" w:rsidRDefault="009F227C" w:rsidP="00D7480E">
            <w:pPr>
              <w:rPr>
                <w:lang w:val="en-US"/>
              </w:rPr>
            </w:pPr>
            <w:proofErr w:type="spellStart"/>
            <w:r w:rsidRPr="000F6BA0">
              <w:rPr>
                <w:lang w:val="en-US"/>
              </w:rPr>
              <w:t>Latvia→Lithuania</w:t>
            </w:r>
            <w:proofErr w:type="spellEnd"/>
          </w:p>
        </w:tc>
        <w:tc>
          <w:tcPr>
            <w:tcW w:w="1414" w:type="dxa"/>
          </w:tcPr>
          <w:p w:rsidR="009F227C" w:rsidRPr="000F6BA0" w:rsidRDefault="009F227C" w:rsidP="00D7480E">
            <w:pPr>
              <w:rPr>
                <w:lang w:val="en-US"/>
              </w:rPr>
            </w:pPr>
            <w:r w:rsidRPr="000F6BA0">
              <w:rPr>
                <w:lang w:val="en-US"/>
              </w:rPr>
              <w:t>0,34</w:t>
            </w:r>
          </w:p>
        </w:tc>
        <w:tc>
          <w:tcPr>
            <w:tcW w:w="1390" w:type="dxa"/>
          </w:tcPr>
          <w:p w:rsidR="009F227C" w:rsidRPr="000F6BA0" w:rsidRDefault="009F227C" w:rsidP="00D7480E">
            <w:pPr>
              <w:rPr>
                <w:lang w:val="en-US"/>
              </w:rPr>
            </w:pPr>
          </w:p>
        </w:tc>
        <w:tc>
          <w:tcPr>
            <w:tcW w:w="1400" w:type="dxa"/>
          </w:tcPr>
          <w:p w:rsidR="009F227C" w:rsidRPr="000F6BA0" w:rsidRDefault="009F227C" w:rsidP="00D7480E">
            <w:pPr>
              <w:rPr>
                <w:lang w:val="en-US"/>
              </w:rPr>
            </w:pPr>
            <w:r w:rsidRPr="000F6BA0">
              <w:rPr>
                <w:lang w:val="en-US"/>
              </w:rPr>
              <w:t>0,16</w:t>
            </w:r>
          </w:p>
        </w:tc>
        <w:tc>
          <w:tcPr>
            <w:tcW w:w="1399" w:type="dxa"/>
          </w:tcPr>
          <w:p w:rsidR="009F227C" w:rsidRPr="000F6BA0" w:rsidRDefault="009F227C" w:rsidP="00D7480E">
            <w:pPr>
              <w:rPr>
                <w:lang w:val="en-US"/>
              </w:rPr>
            </w:pPr>
          </w:p>
        </w:tc>
      </w:tr>
      <w:tr w:rsidR="009F227C" w:rsidRPr="000F6BA0" w:rsidTr="006855B0">
        <w:trPr>
          <w:jc w:val="center"/>
        </w:trPr>
        <w:tc>
          <w:tcPr>
            <w:tcW w:w="1468" w:type="dxa"/>
            <w:vMerge/>
          </w:tcPr>
          <w:p w:rsidR="009F227C" w:rsidRPr="000F6BA0" w:rsidRDefault="009F227C" w:rsidP="00D7480E">
            <w:pPr>
              <w:rPr>
                <w:lang w:val="en-US"/>
              </w:rPr>
            </w:pPr>
          </w:p>
        </w:tc>
        <w:tc>
          <w:tcPr>
            <w:tcW w:w="2071" w:type="dxa"/>
          </w:tcPr>
          <w:p w:rsidR="009F227C" w:rsidRPr="000F6BA0" w:rsidRDefault="009F227C" w:rsidP="00D7480E">
            <w:pPr>
              <w:rPr>
                <w:lang w:val="en-US"/>
              </w:rPr>
            </w:pPr>
            <w:r w:rsidRPr="000F6BA0">
              <w:rPr>
                <w:lang w:val="en-US"/>
              </w:rPr>
              <w:t>Lithuania→ Latvia</w:t>
            </w:r>
          </w:p>
        </w:tc>
        <w:tc>
          <w:tcPr>
            <w:tcW w:w="1414" w:type="dxa"/>
          </w:tcPr>
          <w:p w:rsidR="009F227C" w:rsidRPr="000F6BA0" w:rsidRDefault="009F227C" w:rsidP="00D7480E">
            <w:pPr>
              <w:rPr>
                <w:lang w:val="en-US"/>
              </w:rPr>
            </w:pPr>
          </w:p>
        </w:tc>
        <w:tc>
          <w:tcPr>
            <w:tcW w:w="1390" w:type="dxa"/>
          </w:tcPr>
          <w:p w:rsidR="009F227C" w:rsidRPr="000F6BA0" w:rsidRDefault="009F227C" w:rsidP="00D7480E">
            <w:pPr>
              <w:rPr>
                <w:lang w:val="en-US"/>
              </w:rPr>
            </w:pPr>
            <w:r w:rsidRPr="000F6BA0">
              <w:rPr>
                <w:lang w:val="en-US"/>
              </w:rPr>
              <w:t>0,55</w:t>
            </w:r>
          </w:p>
        </w:tc>
        <w:tc>
          <w:tcPr>
            <w:tcW w:w="1400" w:type="dxa"/>
          </w:tcPr>
          <w:p w:rsidR="009F227C" w:rsidRPr="000F6BA0" w:rsidRDefault="009F227C" w:rsidP="00D7480E">
            <w:pPr>
              <w:rPr>
                <w:lang w:val="en-US"/>
              </w:rPr>
            </w:pPr>
          </w:p>
        </w:tc>
        <w:tc>
          <w:tcPr>
            <w:tcW w:w="1399" w:type="dxa"/>
          </w:tcPr>
          <w:p w:rsidR="009F227C" w:rsidRPr="000F6BA0" w:rsidRDefault="009F227C" w:rsidP="00D7480E">
            <w:pPr>
              <w:rPr>
                <w:lang w:val="en-US"/>
              </w:rPr>
            </w:pPr>
            <w:r w:rsidRPr="000F6BA0">
              <w:rPr>
                <w:lang w:val="en-US"/>
              </w:rPr>
              <w:t>0,29</w:t>
            </w:r>
          </w:p>
        </w:tc>
      </w:tr>
    </w:tbl>
    <w:p w:rsidR="00B16F7B" w:rsidRPr="000F6BA0" w:rsidRDefault="00B16F7B" w:rsidP="00D7480E">
      <w:pPr>
        <w:rPr>
          <w:lang w:val="en-US"/>
        </w:rPr>
      </w:pPr>
    </w:p>
    <w:p w:rsidR="00693C72" w:rsidRPr="000F6BA0" w:rsidRDefault="00AD664A" w:rsidP="00061630">
      <w:pPr>
        <w:pStyle w:val="HeadingforCross-zone"/>
        <w:numPr>
          <w:ilvl w:val="0"/>
          <w:numId w:val="0"/>
        </w:numPr>
        <w:ind w:left="360"/>
        <w:rPr>
          <w:lang w:val="en-US"/>
        </w:rPr>
      </w:pPr>
      <w:r w:rsidRPr="000F6BA0">
        <w:rPr>
          <w:lang w:val="en-US"/>
        </w:rPr>
        <w:t>7.3</w:t>
      </w:r>
      <w:r w:rsidR="00693C72" w:rsidRPr="000F6BA0">
        <w:rPr>
          <w:lang w:val="en-US"/>
        </w:rPr>
        <w:t xml:space="preserve"> </w:t>
      </w:r>
      <w:r w:rsidR="00D30A9E" w:rsidRPr="000F6BA0">
        <w:rPr>
          <w:lang w:val="en-US"/>
        </w:rPr>
        <w:t>Long</w:t>
      </w:r>
      <w:r w:rsidR="006855B0" w:rsidRPr="000F6BA0">
        <w:rPr>
          <w:lang w:val="en-US"/>
        </w:rPr>
        <w:t>-t</w:t>
      </w:r>
      <w:r w:rsidR="00D30A9E" w:rsidRPr="000F6BA0">
        <w:rPr>
          <w:lang w:val="en-US"/>
        </w:rPr>
        <w:t xml:space="preserve">erm </w:t>
      </w:r>
      <w:r w:rsidR="00693C72" w:rsidRPr="000F6BA0">
        <w:rPr>
          <w:lang w:val="en-US"/>
        </w:rPr>
        <w:t>Capacity Calculation Rules Between Estonian and Finnish Power Systems</w:t>
      </w:r>
    </w:p>
    <w:p w:rsidR="00ED22C1" w:rsidRPr="000F6BA0" w:rsidRDefault="00AD664A" w:rsidP="00435C90">
      <w:pPr>
        <w:rPr>
          <w:lang w:val="en-US"/>
        </w:rPr>
      </w:pPr>
      <w:r w:rsidRPr="000F6BA0">
        <w:rPr>
          <w:lang w:val="en-US"/>
        </w:rPr>
        <w:t>7</w:t>
      </w:r>
      <w:r w:rsidR="00693C72" w:rsidRPr="000F6BA0">
        <w:rPr>
          <w:lang w:val="en-US"/>
        </w:rPr>
        <w:t>.3.1 TTCs on cross-border Estonia-Finland are validated and calculated by respective TSOs and</w:t>
      </w:r>
      <w:r w:rsidR="002F336C" w:rsidRPr="000F6BA0">
        <w:rPr>
          <w:lang w:val="en-US"/>
        </w:rPr>
        <w:t xml:space="preserve"> calculated by</w:t>
      </w:r>
      <w:r w:rsidR="00693C72" w:rsidRPr="000F6BA0">
        <w:rPr>
          <w:lang w:val="en-US"/>
        </w:rPr>
        <w:t xml:space="preserve"> </w:t>
      </w:r>
      <w:r w:rsidR="00F34C11" w:rsidRPr="000F6BA0">
        <w:rPr>
          <w:lang w:val="en-US"/>
        </w:rPr>
        <w:t>CCC</w:t>
      </w:r>
      <w:r w:rsidR="00693C72" w:rsidRPr="000F6BA0">
        <w:rPr>
          <w:lang w:val="en-US"/>
        </w:rPr>
        <w:t xml:space="preserve"> on both sides of the interconnector using CGMs that represent the AC-networks of observable areas of synchronous areas that each belong to.</w:t>
      </w:r>
      <w:bookmarkStart w:id="41" w:name="_Hlk3848692"/>
    </w:p>
    <w:p w:rsidR="00435C90" w:rsidRPr="000F6BA0" w:rsidRDefault="00435C90" w:rsidP="00435C90">
      <w:pPr>
        <w:rPr>
          <w:lang w:val="en-US"/>
        </w:rPr>
      </w:pPr>
    </w:p>
    <w:bookmarkEnd w:id="41"/>
    <w:p w:rsidR="00693C72" w:rsidRPr="000F6BA0" w:rsidRDefault="00693C72" w:rsidP="00693C72">
      <w:pPr>
        <w:rPr>
          <w:lang w:val="en-US"/>
        </w:rPr>
      </w:pPr>
    </w:p>
    <w:p w:rsidR="00693C72" w:rsidRPr="000F6BA0" w:rsidRDefault="00AD664A" w:rsidP="00693C72">
      <w:pPr>
        <w:rPr>
          <w:lang w:val="en-US"/>
        </w:rPr>
      </w:pPr>
      <w:r w:rsidRPr="000F6BA0">
        <w:rPr>
          <w:lang w:val="en-US"/>
        </w:rPr>
        <w:t>7</w:t>
      </w:r>
      <w:r w:rsidR="00693C72" w:rsidRPr="000F6BA0">
        <w:rPr>
          <w:lang w:val="en-US"/>
        </w:rPr>
        <w:t xml:space="preserve">.3.2 </w:t>
      </w:r>
      <w:r w:rsidR="00D30A9E" w:rsidRPr="000F6BA0">
        <w:rPr>
          <w:lang w:val="en-US"/>
        </w:rPr>
        <w:t>Long</w:t>
      </w:r>
      <w:r w:rsidR="00435C90" w:rsidRPr="000F6BA0">
        <w:rPr>
          <w:lang w:val="en-US"/>
        </w:rPr>
        <w:t>-</w:t>
      </w:r>
      <w:r w:rsidR="00D30A9E" w:rsidRPr="000F6BA0">
        <w:rPr>
          <w:lang w:val="en-US"/>
        </w:rPr>
        <w:t>term</w:t>
      </w:r>
      <w:r w:rsidR="00693C72" w:rsidRPr="000F6BA0">
        <w:rPr>
          <w:lang w:val="en-US"/>
        </w:rPr>
        <w:t xml:space="preserve"> Capacity is defined according to formula NTC=TTC-TRM in each side of HVDC link.</w:t>
      </w:r>
    </w:p>
    <w:p w:rsidR="00693C72" w:rsidRPr="000F6BA0" w:rsidRDefault="00693C72" w:rsidP="00693C72">
      <w:pPr>
        <w:rPr>
          <w:lang w:val="en-US"/>
        </w:rPr>
      </w:pPr>
    </w:p>
    <w:p w:rsidR="00693C72" w:rsidRPr="000F6BA0" w:rsidRDefault="00AD664A" w:rsidP="00693C72">
      <w:pPr>
        <w:rPr>
          <w:lang w:val="en-US"/>
        </w:rPr>
      </w:pPr>
      <w:r w:rsidRPr="000F6BA0">
        <w:rPr>
          <w:lang w:val="en-US"/>
        </w:rPr>
        <w:t>7</w:t>
      </w:r>
      <w:r w:rsidR="00693C72" w:rsidRPr="000F6BA0">
        <w:rPr>
          <w:lang w:val="en-US"/>
        </w:rPr>
        <w:t xml:space="preserve">.3.3 </w:t>
      </w:r>
      <w:r w:rsidR="005D2510" w:rsidRPr="000F6BA0">
        <w:rPr>
          <w:lang w:val="en-US"/>
        </w:rPr>
        <w:t>Long</w:t>
      </w:r>
      <w:r w:rsidR="00435C90" w:rsidRPr="000F6BA0">
        <w:rPr>
          <w:lang w:val="en-US"/>
        </w:rPr>
        <w:t>-</w:t>
      </w:r>
      <w:r w:rsidR="005D2510" w:rsidRPr="000F6BA0">
        <w:rPr>
          <w:lang w:val="en-US"/>
        </w:rPr>
        <w:t xml:space="preserve">term </w:t>
      </w:r>
      <w:r w:rsidR="00693C72" w:rsidRPr="000F6BA0">
        <w:rPr>
          <w:lang w:val="en-US"/>
        </w:rPr>
        <w:t>NTC between Finland and Estonia is calculated according to formula:</w:t>
      </w:r>
    </w:p>
    <w:p w:rsidR="00693C72" w:rsidRPr="000F6BA0" w:rsidRDefault="00693C72" w:rsidP="00693C72">
      <w:pPr>
        <w:rPr>
          <w:lang w:val="en-US"/>
        </w:rPr>
      </w:pPr>
    </w:p>
    <w:p w:rsidR="00693C72" w:rsidRPr="000F6BA0" w:rsidRDefault="00693C72" w:rsidP="00435C90">
      <w:pPr>
        <w:jc w:val="right"/>
        <w:rPr>
          <w:lang w:val="en-US"/>
        </w:rPr>
      </w:pPr>
      <w:r w:rsidRPr="000F6BA0">
        <w:rPr>
          <w:lang w:val="en-US"/>
        </w:rPr>
        <w:t>NTC</w:t>
      </w:r>
      <w:r w:rsidRPr="000F6BA0">
        <w:rPr>
          <w:vertAlign w:val="subscript"/>
          <w:lang w:val="en-US"/>
        </w:rPr>
        <w:t>FI-EE</w:t>
      </w:r>
      <w:r w:rsidRPr="000F6BA0">
        <w:rPr>
          <w:lang w:val="en-US"/>
        </w:rPr>
        <w:t xml:space="preserve"> = min (FI NTC</w:t>
      </w:r>
      <w:r w:rsidRPr="000F6BA0">
        <w:rPr>
          <w:vertAlign w:val="subscript"/>
          <w:lang w:val="en-US"/>
        </w:rPr>
        <w:t>FI-EE</w:t>
      </w:r>
      <w:r w:rsidRPr="000F6BA0">
        <w:rPr>
          <w:lang w:val="en-US"/>
        </w:rPr>
        <w:t>; EE NTC</w:t>
      </w:r>
      <w:r w:rsidRPr="000F6BA0">
        <w:rPr>
          <w:vertAlign w:val="subscript"/>
          <w:lang w:val="en-US"/>
        </w:rPr>
        <w:t>FI-EE</w:t>
      </w:r>
      <w:r w:rsidRPr="000F6BA0">
        <w:rPr>
          <w:lang w:val="en-US"/>
        </w:rPr>
        <w:t>)</w:t>
      </w:r>
      <w:r w:rsidRPr="000F6BA0">
        <w:rPr>
          <w:lang w:val="en-US"/>
        </w:rPr>
        <w:tab/>
      </w:r>
      <w:r w:rsidRPr="000F6BA0">
        <w:rPr>
          <w:lang w:val="en-US"/>
        </w:rPr>
        <w:tab/>
      </w:r>
      <w:r w:rsidRPr="000F6BA0">
        <w:rPr>
          <w:lang w:val="en-US"/>
        </w:rPr>
        <w:tab/>
      </w:r>
      <w:r w:rsidRPr="000F6BA0">
        <w:rPr>
          <w:lang w:val="en-US"/>
        </w:rPr>
        <w:tab/>
        <w:t xml:space="preserve"> (4)</w:t>
      </w:r>
    </w:p>
    <w:p w:rsidR="00316AD4" w:rsidRPr="000F6BA0" w:rsidRDefault="009B3291" w:rsidP="00D7480E">
      <w:pPr>
        <w:rPr>
          <w:lang w:val="en-US"/>
        </w:rPr>
      </w:pPr>
      <w:r w:rsidRPr="000F6BA0">
        <w:rPr>
          <w:lang w:val="en-US"/>
        </w:rPr>
        <w:t>where:</w:t>
      </w:r>
    </w:p>
    <w:p w:rsidR="009B3291" w:rsidRPr="000F6BA0" w:rsidRDefault="009B3291" w:rsidP="00D7480E">
      <w:pPr>
        <w:rPr>
          <w:lang w:val="en-US"/>
        </w:rPr>
      </w:pPr>
    </w:p>
    <w:p w:rsidR="009B3291" w:rsidRPr="000F6BA0" w:rsidRDefault="009B3291" w:rsidP="00D7480E">
      <w:pPr>
        <w:rPr>
          <w:lang w:val="en-US"/>
        </w:rPr>
      </w:pPr>
      <w:r w:rsidRPr="000F6BA0">
        <w:rPr>
          <w:lang w:val="en-US"/>
        </w:rPr>
        <w:t>FI NTC</w:t>
      </w:r>
      <w:r w:rsidRPr="000F6BA0">
        <w:rPr>
          <w:vertAlign w:val="subscript"/>
          <w:lang w:val="en-US"/>
        </w:rPr>
        <w:t>FI-EE</w:t>
      </w:r>
      <w:r w:rsidRPr="000F6BA0">
        <w:rPr>
          <w:lang w:val="en-US"/>
        </w:rPr>
        <w:t xml:space="preserve"> – NTC between FI and EE Bidding Zones, determined by operational security limits in Baltic CCR TSOs' synchronous areas or technical limitation on HVDC interconnection (from Finland side),</w:t>
      </w:r>
    </w:p>
    <w:p w:rsidR="00573C40" w:rsidRPr="000F6BA0" w:rsidRDefault="00573C40" w:rsidP="00D7480E">
      <w:pPr>
        <w:rPr>
          <w:lang w:val="en-US"/>
        </w:rPr>
      </w:pPr>
    </w:p>
    <w:p w:rsidR="00573C40" w:rsidRPr="000F6BA0" w:rsidRDefault="00573C40" w:rsidP="00D7480E">
      <w:pPr>
        <w:rPr>
          <w:lang w:val="en-US"/>
        </w:rPr>
      </w:pPr>
      <w:r w:rsidRPr="000F6BA0">
        <w:rPr>
          <w:lang w:val="en-US"/>
        </w:rPr>
        <w:t>EE NTC</w:t>
      </w:r>
      <w:r w:rsidRPr="000F6BA0">
        <w:rPr>
          <w:vertAlign w:val="subscript"/>
          <w:lang w:val="en-US"/>
        </w:rPr>
        <w:t>FI-EE</w:t>
      </w:r>
      <w:r w:rsidRPr="000F6BA0">
        <w:rPr>
          <w:lang w:val="en-US"/>
        </w:rPr>
        <w:t xml:space="preserve"> – NTC between FI and EE Bidding Zones, determined by operational security limits in Baltic CCR TSOs' synchronous or technical limitation on HVDC interconnection (from Estonia side).</w:t>
      </w:r>
    </w:p>
    <w:p w:rsidR="00316AD4" w:rsidRPr="000F6BA0" w:rsidRDefault="00316AD4" w:rsidP="00D7480E">
      <w:pPr>
        <w:rPr>
          <w:lang w:val="en-US"/>
        </w:rPr>
      </w:pPr>
    </w:p>
    <w:p w:rsidR="00573C40" w:rsidRPr="000F6BA0" w:rsidRDefault="00AD664A" w:rsidP="00B7766D">
      <w:pPr>
        <w:pStyle w:val="HeadingforCross-zone"/>
        <w:numPr>
          <w:ilvl w:val="0"/>
          <w:numId w:val="0"/>
        </w:numPr>
        <w:ind w:left="360"/>
        <w:rPr>
          <w:lang w:val="en-US"/>
        </w:rPr>
      </w:pPr>
      <w:r w:rsidRPr="000F6BA0">
        <w:rPr>
          <w:lang w:val="en-US"/>
        </w:rPr>
        <w:t>7.4</w:t>
      </w:r>
      <w:r w:rsidR="00573C40" w:rsidRPr="000F6BA0">
        <w:rPr>
          <w:lang w:val="en-US"/>
        </w:rPr>
        <w:t xml:space="preserve"> </w:t>
      </w:r>
      <w:r w:rsidR="00D30A9E" w:rsidRPr="000F6BA0">
        <w:rPr>
          <w:lang w:val="en-US"/>
        </w:rPr>
        <w:t>Long</w:t>
      </w:r>
      <w:r w:rsidR="00435C90" w:rsidRPr="000F6BA0">
        <w:rPr>
          <w:lang w:val="en-US"/>
        </w:rPr>
        <w:t>-</w:t>
      </w:r>
      <w:r w:rsidR="00D30A9E" w:rsidRPr="000F6BA0">
        <w:rPr>
          <w:lang w:val="en-US"/>
        </w:rPr>
        <w:t>term</w:t>
      </w:r>
      <w:r w:rsidR="00435C90" w:rsidRPr="000F6BA0">
        <w:rPr>
          <w:lang w:val="en-US"/>
        </w:rPr>
        <w:t xml:space="preserve"> </w:t>
      </w:r>
      <w:r w:rsidR="00573C40" w:rsidRPr="000F6BA0">
        <w:rPr>
          <w:lang w:val="en-US"/>
        </w:rPr>
        <w:t>Capacity Calculation Rules Between Lithuanian and Swedish Power Systems</w:t>
      </w:r>
    </w:p>
    <w:p w:rsidR="00573C40" w:rsidRPr="000F6BA0" w:rsidRDefault="00AD664A" w:rsidP="00573C40">
      <w:pPr>
        <w:rPr>
          <w:lang w:val="en-US"/>
        </w:rPr>
      </w:pPr>
      <w:r w:rsidRPr="000F6BA0">
        <w:rPr>
          <w:lang w:val="en-US"/>
        </w:rPr>
        <w:t>7</w:t>
      </w:r>
      <w:r w:rsidR="00573C40" w:rsidRPr="000F6BA0">
        <w:rPr>
          <w:lang w:val="en-US"/>
        </w:rPr>
        <w:t xml:space="preserve">.4.1 TTCs on cross-border Lithuania-Sweden are checked and calculated by respective TSOs on both sides of the interconnector using CGMs that represent the AC-networks of observable areas of synchronous areas that each belong to. </w:t>
      </w:r>
      <w:r w:rsidR="00B460E2" w:rsidRPr="000F6BA0">
        <w:rPr>
          <w:lang w:val="en-US"/>
        </w:rPr>
        <w:t xml:space="preserve">The Capacity calculator shall calculate the </w:t>
      </w:r>
      <w:r w:rsidR="000F6BA0" w:rsidRPr="000F6BA0">
        <w:rPr>
          <w:lang w:val="en-US"/>
        </w:rPr>
        <w:t>cross</w:t>
      </w:r>
      <w:r w:rsidR="00B460E2" w:rsidRPr="000F6BA0">
        <w:rPr>
          <w:lang w:val="en-US"/>
        </w:rPr>
        <w:t>-border TTC for the Lithuania-Sw</w:t>
      </w:r>
      <w:r w:rsidR="002C01D6" w:rsidRPr="000F6BA0">
        <w:rPr>
          <w:lang w:val="en-US"/>
        </w:rPr>
        <w:t>e</w:t>
      </w:r>
      <w:r w:rsidR="00B460E2" w:rsidRPr="000F6BA0">
        <w:rPr>
          <w:lang w:val="en-US"/>
        </w:rPr>
        <w:t xml:space="preserve">den border based on the input from </w:t>
      </w:r>
      <w:r w:rsidR="000F6BA0" w:rsidRPr="000F6BA0">
        <w:rPr>
          <w:lang w:val="en-US"/>
        </w:rPr>
        <w:t>respective</w:t>
      </w:r>
      <w:r w:rsidR="00B460E2" w:rsidRPr="000F6BA0">
        <w:rPr>
          <w:lang w:val="en-US"/>
        </w:rPr>
        <w:t xml:space="preserve"> TSO.</w:t>
      </w:r>
    </w:p>
    <w:p w:rsidR="005D2510" w:rsidRPr="000F6BA0" w:rsidRDefault="005D2510" w:rsidP="00573C40">
      <w:pPr>
        <w:rPr>
          <w:lang w:val="en-US"/>
        </w:rPr>
      </w:pPr>
    </w:p>
    <w:p w:rsidR="00573C40" w:rsidRPr="000F6BA0" w:rsidRDefault="00AD664A" w:rsidP="00573C40">
      <w:pPr>
        <w:rPr>
          <w:lang w:val="en-US"/>
        </w:rPr>
      </w:pPr>
      <w:r w:rsidRPr="000F6BA0">
        <w:rPr>
          <w:lang w:val="en-US"/>
        </w:rPr>
        <w:t>7</w:t>
      </w:r>
      <w:r w:rsidR="00573C40" w:rsidRPr="000F6BA0">
        <w:rPr>
          <w:lang w:val="en-US"/>
        </w:rPr>
        <w:t xml:space="preserve">.4.2 </w:t>
      </w:r>
      <w:r w:rsidR="00D30A9E" w:rsidRPr="000F6BA0">
        <w:rPr>
          <w:lang w:val="en-US"/>
        </w:rPr>
        <w:t>Long</w:t>
      </w:r>
      <w:r w:rsidR="00435C90" w:rsidRPr="000F6BA0">
        <w:rPr>
          <w:lang w:val="en-US"/>
        </w:rPr>
        <w:t>-</w:t>
      </w:r>
      <w:r w:rsidR="00D30A9E" w:rsidRPr="000F6BA0">
        <w:rPr>
          <w:lang w:val="en-US"/>
        </w:rPr>
        <w:t>term</w:t>
      </w:r>
      <w:r w:rsidR="00573C40" w:rsidRPr="000F6BA0">
        <w:rPr>
          <w:lang w:val="en-US"/>
        </w:rPr>
        <w:t xml:space="preserve"> Capacity is defined according to formula NTC=TTC-TRM in each side of HVDC link. </w:t>
      </w:r>
    </w:p>
    <w:p w:rsidR="00573C40" w:rsidRPr="000F6BA0" w:rsidRDefault="00573C40" w:rsidP="00573C40">
      <w:pPr>
        <w:rPr>
          <w:lang w:val="en-US"/>
        </w:rPr>
      </w:pPr>
    </w:p>
    <w:p w:rsidR="00573C40" w:rsidRPr="000F6BA0" w:rsidRDefault="00AD664A">
      <w:pPr>
        <w:rPr>
          <w:lang w:val="en-US"/>
        </w:rPr>
      </w:pPr>
      <w:r w:rsidRPr="000F6BA0">
        <w:rPr>
          <w:lang w:val="en-US"/>
        </w:rPr>
        <w:t>7</w:t>
      </w:r>
      <w:r w:rsidR="00573C40" w:rsidRPr="000F6BA0">
        <w:rPr>
          <w:lang w:val="en-US"/>
        </w:rPr>
        <w:t>.4.3 NTC between Sweden and Lithuania that is allocated to the market is calculated according to formula:</w:t>
      </w:r>
    </w:p>
    <w:p w:rsidR="00316AD4" w:rsidRPr="000F6BA0" w:rsidRDefault="00316AD4" w:rsidP="00D7480E">
      <w:pPr>
        <w:rPr>
          <w:lang w:val="en-US"/>
        </w:rPr>
      </w:pPr>
    </w:p>
    <w:p w:rsidR="00316AD4" w:rsidRPr="000F6BA0" w:rsidRDefault="00573C40" w:rsidP="00573C40">
      <w:pPr>
        <w:jc w:val="right"/>
        <w:rPr>
          <w:lang w:val="en-US"/>
        </w:rPr>
      </w:pPr>
      <w:r w:rsidRPr="000F6BA0">
        <w:rPr>
          <w:lang w:val="en-US"/>
        </w:rPr>
        <w:t>NTC</w:t>
      </w:r>
      <w:r w:rsidRPr="000F6BA0">
        <w:rPr>
          <w:vertAlign w:val="subscript"/>
          <w:lang w:val="en-US"/>
        </w:rPr>
        <w:t xml:space="preserve">SE-LT </w:t>
      </w:r>
      <w:r w:rsidRPr="000F6BA0">
        <w:rPr>
          <w:lang w:val="en-US"/>
        </w:rPr>
        <w:t>= min (SE NTC</w:t>
      </w:r>
      <w:r w:rsidRPr="000F6BA0">
        <w:rPr>
          <w:vertAlign w:val="subscript"/>
          <w:lang w:val="en-US"/>
        </w:rPr>
        <w:t>SE-LT</w:t>
      </w:r>
      <w:r w:rsidRPr="000F6BA0">
        <w:rPr>
          <w:lang w:val="en-US"/>
        </w:rPr>
        <w:t>; LT NTC</w:t>
      </w:r>
      <w:r w:rsidRPr="000F6BA0">
        <w:rPr>
          <w:vertAlign w:val="subscript"/>
          <w:lang w:val="en-US"/>
        </w:rPr>
        <w:t>SE-LT</w:t>
      </w:r>
      <w:r w:rsidRPr="000F6BA0">
        <w:rPr>
          <w:lang w:val="en-US"/>
        </w:rPr>
        <w:t xml:space="preserve">) </w:t>
      </w:r>
      <w:r w:rsidRPr="000F6BA0">
        <w:rPr>
          <w:lang w:val="en-US"/>
        </w:rPr>
        <w:tab/>
      </w:r>
      <w:r w:rsidRPr="000F6BA0">
        <w:rPr>
          <w:lang w:val="en-US"/>
        </w:rPr>
        <w:tab/>
      </w:r>
      <w:r w:rsidRPr="000F6BA0">
        <w:rPr>
          <w:lang w:val="en-US"/>
        </w:rPr>
        <w:tab/>
        <w:t>(5)</w:t>
      </w:r>
    </w:p>
    <w:p w:rsidR="00573C40" w:rsidRPr="000F6BA0" w:rsidRDefault="00573C40" w:rsidP="00573C40">
      <w:pPr>
        <w:jc w:val="left"/>
        <w:rPr>
          <w:lang w:val="en-US"/>
        </w:rPr>
      </w:pPr>
      <w:r w:rsidRPr="000F6BA0">
        <w:rPr>
          <w:lang w:val="en-US"/>
        </w:rPr>
        <w:t xml:space="preserve">where: </w:t>
      </w:r>
    </w:p>
    <w:p w:rsidR="00573C40" w:rsidRPr="000F6BA0" w:rsidRDefault="00573C40" w:rsidP="00573C40">
      <w:pPr>
        <w:jc w:val="left"/>
        <w:rPr>
          <w:lang w:val="en-US"/>
        </w:rPr>
      </w:pPr>
    </w:p>
    <w:p w:rsidR="00573C40" w:rsidRPr="000F6BA0" w:rsidRDefault="00573C40" w:rsidP="00573C40">
      <w:pPr>
        <w:jc w:val="left"/>
        <w:rPr>
          <w:lang w:val="en-US"/>
        </w:rPr>
      </w:pPr>
      <w:r w:rsidRPr="000F6BA0">
        <w:rPr>
          <w:lang w:val="en-US"/>
        </w:rPr>
        <w:t>SE NTC</w:t>
      </w:r>
      <w:r w:rsidRPr="000F6BA0">
        <w:rPr>
          <w:vertAlign w:val="subscript"/>
          <w:lang w:val="en-US"/>
        </w:rPr>
        <w:t>SE-LT</w:t>
      </w:r>
      <w:r w:rsidRPr="000F6BA0">
        <w:rPr>
          <w:lang w:val="en-US"/>
        </w:rPr>
        <w:t xml:space="preserve"> – NTC between SE and LT Bidding Zones, determined by operational security limits in Baltic CCR TSOs' synchronous areas or technical limitation on HVDC interconnection (from Sweden side);</w:t>
      </w:r>
    </w:p>
    <w:p w:rsidR="00573C40" w:rsidRPr="000F6BA0" w:rsidRDefault="00573C40" w:rsidP="00573C40">
      <w:pPr>
        <w:jc w:val="left"/>
        <w:rPr>
          <w:lang w:val="en-US"/>
        </w:rPr>
      </w:pPr>
    </w:p>
    <w:p w:rsidR="00573C40" w:rsidRPr="000F6BA0" w:rsidRDefault="00573C40" w:rsidP="00435C90">
      <w:pPr>
        <w:jc w:val="left"/>
        <w:rPr>
          <w:lang w:val="en-US"/>
        </w:rPr>
      </w:pPr>
      <w:r w:rsidRPr="000F6BA0">
        <w:rPr>
          <w:lang w:val="en-US"/>
        </w:rPr>
        <w:t>LT NTC</w:t>
      </w:r>
      <w:r w:rsidRPr="000F6BA0">
        <w:rPr>
          <w:vertAlign w:val="subscript"/>
          <w:lang w:val="en-US"/>
        </w:rPr>
        <w:t>SE-LT</w:t>
      </w:r>
      <w:r w:rsidRPr="000F6BA0">
        <w:rPr>
          <w:lang w:val="en-US"/>
        </w:rPr>
        <w:t xml:space="preserve"> – NTC between SE and LT Bidding Zones, determined by operational security limits in Baltic CCR TSOs' synchronous areas or technical limitation on HVDC interconnection (from Lithuania side).</w:t>
      </w:r>
    </w:p>
    <w:p w:rsidR="00316AD4" w:rsidRPr="000F6BA0" w:rsidRDefault="00316AD4" w:rsidP="00D7480E">
      <w:pPr>
        <w:rPr>
          <w:lang w:val="en-US"/>
        </w:rPr>
      </w:pPr>
    </w:p>
    <w:p w:rsidR="00573C40" w:rsidRPr="000F6BA0" w:rsidRDefault="00AD664A" w:rsidP="00B7766D">
      <w:pPr>
        <w:pStyle w:val="HeadingforCross-zone"/>
        <w:numPr>
          <w:ilvl w:val="0"/>
          <w:numId w:val="0"/>
        </w:numPr>
        <w:ind w:left="360"/>
        <w:rPr>
          <w:lang w:val="en-US"/>
        </w:rPr>
      </w:pPr>
      <w:r w:rsidRPr="000F6BA0">
        <w:rPr>
          <w:lang w:val="en-US"/>
        </w:rPr>
        <w:t>7.5</w:t>
      </w:r>
      <w:r w:rsidR="00573C40" w:rsidRPr="000F6BA0">
        <w:rPr>
          <w:lang w:val="en-US"/>
        </w:rPr>
        <w:t xml:space="preserve"> </w:t>
      </w:r>
      <w:r w:rsidR="00D30A9E" w:rsidRPr="000F6BA0">
        <w:rPr>
          <w:lang w:val="en-US"/>
        </w:rPr>
        <w:t>Long</w:t>
      </w:r>
      <w:r w:rsidR="00435C90" w:rsidRPr="000F6BA0">
        <w:rPr>
          <w:lang w:val="en-US"/>
        </w:rPr>
        <w:t>-</w:t>
      </w:r>
      <w:r w:rsidR="00D30A9E" w:rsidRPr="000F6BA0">
        <w:rPr>
          <w:lang w:val="en-US"/>
        </w:rPr>
        <w:t xml:space="preserve">term </w:t>
      </w:r>
      <w:r w:rsidR="00573C40" w:rsidRPr="000F6BA0">
        <w:rPr>
          <w:lang w:val="en-US"/>
        </w:rPr>
        <w:t>Capacity Calculation Rules Between Lithuanian and Polish Power Systems</w:t>
      </w:r>
    </w:p>
    <w:p w:rsidR="00573C40" w:rsidRPr="000F6BA0" w:rsidRDefault="00AD664A">
      <w:pPr>
        <w:rPr>
          <w:lang w:val="en-US"/>
        </w:rPr>
      </w:pPr>
      <w:r w:rsidRPr="000F6BA0">
        <w:rPr>
          <w:lang w:val="en-US"/>
        </w:rPr>
        <w:t>7</w:t>
      </w:r>
      <w:r w:rsidR="00573C40" w:rsidRPr="000F6BA0">
        <w:rPr>
          <w:lang w:val="en-US"/>
        </w:rPr>
        <w:t>.5.1 TTC</w:t>
      </w:r>
      <w:r w:rsidR="002C01D6" w:rsidRPr="000F6BA0">
        <w:rPr>
          <w:lang w:val="en-US"/>
        </w:rPr>
        <w:t>s</w:t>
      </w:r>
      <w:r w:rsidR="00573C40" w:rsidRPr="000F6BA0">
        <w:rPr>
          <w:lang w:val="en-US"/>
        </w:rPr>
        <w:t xml:space="preserve"> on cross-border Lithuania-Poland are checked and calculated by respective TSOs and Capacity calculator on both sides of the interconnector using on Lithuanian side Baltic CGMs that represent the AC-networks of observable area and </w:t>
      </w:r>
      <w:r w:rsidR="001C440B" w:rsidRPr="000F6BA0">
        <w:rPr>
          <w:lang w:val="en-US"/>
        </w:rPr>
        <w:t xml:space="preserve">on </w:t>
      </w:r>
      <w:r w:rsidR="00573C40" w:rsidRPr="000F6BA0">
        <w:rPr>
          <w:lang w:val="en-US"/>
        </w:rPr>
        <w:t xml:space="preserve">Polish Individual Grid Model supplemented by </w:t>
      </w:r>
      <w:proofErr w:type="spellStart"/>
      <w:r w:rsidR="00573C40" w:rsidRPr="000F6BA0">
        <w:rPr>
          <w:lang w:val="en-US"/>
        </w:rPr>
        <w:t>subtransmission</w:t>
      </w:r>
      <w:proofErr w:type="spellEnd"/>
      <w:r w:rsidR="00573C40" w:rsidRPr="000F6BA0">
        <w:rPr>
          <w:lang w:val="en-US"/>
        </w:rPr>
        <w:t xml:space="preserve"> 110 kV grid</w:t>
      </w:r>
      <w:r w:rsidR="001C440B" w:rsidRPr="000F6BA0">
        <w:rPr>
          <w:lang w:val="en-US"/>
        </w:rPr>
        <w:t xml:space="preserve"> in Polish side.</w:t>
      </w:r>
    </w:p>
    <w:p w:rsidR="00E13FF0" w:rsidRPr="000F6BA0" w:rsidRDefault="00E13FF0">
      <w:pPr>
        <w:rPr>
          <w:lang w:val="en-US"/>
        </w:rPr>
      </w:pPr>
    </w:p>
    <w:p w:rsidR="00573C40" w:rsidRPr="000F6BA0" w:rsidRDefault="00AD664A" w:rsidP="00D7480E">
      <w:pPr>
        <w:rPr>
          <w:lang w:val="en-US"/>
        </w:rPr>
      </w:pPr>
      <w:r w:rsidRPr="000F6BA0">
        <w:rPr>
          <w:lang w:val="en-US"/>
        </w:rPr>
        <w:t>7</w:t>
      </w:r>
      <w:r w:rsidR="00573C40" w:rsidRPr="000F6BA0">
        <w:rPr>
          <w:lang w:val="en-US"/>
        </w:rPr>
        <w:t xml:space="preserve">.5.2 </w:t>
      </w:r>
      <w:r w:rsidR="00D30A9E" w:rsidRPr="000F6BA0">
        <w:rPr>
          <w:lang w:val="en-US"/>
        </w:rPr>
        <w:t>Long</w:t>
      </w:r>
      <w:r w:rsidR="00435C90" w:rsidRPr="000F6BA0">
        <w:rPr>
          <w:lang w:val="en-US"/>
        </w:rPr>
        <w:t>-t</w:t>
      </w:r>
      <w:r w:rsidR="00D30A9E" w:rsidRPr="000F6BA0">
        <w:rPr>
          <w:lang w:val="en-US"/>
        </w:rPr>
        <w:t>erm</w:t>
      </w:r>
      <w:r w:rsidR="00435C90" w:rsidRPr="000F6BA0">
        <w:rPr>
          <w:lang w:val="en-US"/>
        </w:rPr>
        <w:t xml:space="preserve"> </w:t>
      </w:r>
      <w:r w:rsidR="00573C40" w:rsidRPr="000F6BA0">
        <w:rPr>
          <w:lang w:val="en-US"/>
        </w:rPr>
        <w:t xml:space="preserve">Capacity is defined according </w:t>
      </w:r>
      <w:r w:rsidR="001C440B" w:rsidRPr="000F6BA0">
        <w:rPr>
          <w:lang w:val="en-US"/>
        </w:rPr>
        <w:t xml:space="preserve">to </w:t>
      </w:r>
      <w:r w:rsidR="00573C40" w:rsidRPr="000F6BA0">
        <w:rPr>
          <w:lang w:val="en-US"/>
        </w:rPr>
        <w:t xml:space="preserve">formula NTC=TTC-TRM in each side of HVDC link by respective TSOs and Capacity calculator. </w:t>
      </w:r>
    </w:p>
    <w:p w:rsidR="00573C40" w:rsidRPr="000F6BA0" w:rsidRDefault="00573C40" w:rsidP="00D7480E">
      <w:pPr>
        <w:rPr>
          <w:lang w:val="en-US"/>
        </w:rPr>
      </w:pPr>
    </w:p>
    <w:p w:rsidR="00316AD4" w:rsidRPr="000F6BA0" w:rsidRDefault="00AD664A" w:rsidP="00D7480E">
      <w:pPr>
        <w:rPr>
          <w:lang w:val="en-US"/>
        </w:rPr>
      </w:pPr>
      <w:r w:rsidRPr="000F6BA0">
        <w:rPr>
          <w:lang w:val="en-US"/>
        </w:rPr>
        <w:t>7</w:t>
      </w:r>
      <w:r w:rsidR="00573C40" w:rsidRPr="000F6BA0">
        <w:rPr>
          <w:lang w:val="en-US"/>
        </w:rPr>
        <w:t xml:space="preserve">.5.3 The matched </w:t>
      </w:r>
      <w:r w:rsidR="00D30A9E" w:rsidRPr="000F6BA0">
        <w:rPr>
          <w:lang w:val="en-US"/>
        </w:rPr>
        <w:t xml:space="preserve">LT </w:t>
      </w:r>
      <w:r w:rsidR="00573C40" w:rsidRPr="000F6BA0">
        <w:rPr>
          <w:lang w:val="en-US"/>
        </w:rPr>
        <w:t>NTC are defined according to the following formulas taking into account the losses depending on the direction and number of the circuits of Elk Bis-Alytus 400 kV line in operation:</w:t>
      </w:r>
    </w:p>
    <w:p w:rsidR="00316AD4" w:rsidRPr="000F6BA0" w:rsidRDefault="00316AD4" w:rsidP="00D7480E">
      <w:pPr>
        <w:rPr>
          <w:lang w:val="en-US"/>
        </w:rPr>
      </w:pPr>
    </w:p>
    <w:p w:rsidR="00573C40" w:rsidRPr="000F6BA0" w:rsidRDefault="00573C40" w:rsidP="00D7480E">
      <w:pPr>
        <w:rPr>
          <w:lang w:val="en-US"/>
        </w:rPr>
      </w:pPr>
      <w:r w:rsidRPr="000F6BA0">
        <w:rPr>
          <w:lang w:val="en-US"/>
        </w:rPr>
        <w:t xml:space="preserve">For direction from Lithuania to Poland (settlement point) in Elk Bis 400 kV: </w:t>
      </w:r>
    </w:p>
    <w:p w:rsidR="00573C40" w:rsidRPr="000F6BA0" w:rsidRDefault="00573C40" w:rsidP="00D7480E">
      <w:pPr>
        <w:rPr>
          <w:lang w:val="en-US"/>
        </w:rPr>
      </w:pPr>
    </w:p>
    <w:p w:rsidR="00573C40" w:rsidRPr="000F6BA0" w:rsidRDefault="00AD664A" w:rsidP="00D7480E">
      <w:pPr>
        <w:rPr>
          <w:lang w:val="en-US"/>
        </w:rPr>
      </w:pPr>
      <w:r w:rsidRPr="000F6BA0">
        <w:rPr>
          <w:lang w:val="en-US"/>
        </w:rPr>
        <w:t>7</w:t>
      </w:r>
      <w:r w:rsidR="00573C40" w:rsidRPr="000F6BA0">
        <w:rPr>
          <w:lang w:val="en-US"/>
        </w:rPr>
        <w:t xml:space="preserve">.5.4 Two circuits of Elk Bis-Alytus 400 kV line in operation: </w:t>
      </w:r>
    </w:p>
    <w:p w:rsidR="00573C40" w:rsidRPr="000F6BA0" w:rsidRDefault="00573C40" w:rsidP="00D7480E">
      <w:pPr>
        <w:rPr>
          <w:lang w:val="en-US"/>
        </w:rPr>
      </w:pPr>
    </w:p>
    <w:p w:rsidR="00573C40" w:rsidRPr="000F6BA0" w:rsidRDefault="00573C40" w:rsidP="00435C90">
      <w:pPr>
        <w:jc w:val="right"/>
        <w:rPr>
          <w:lang w:val="en-US"/>
        </w:rPr>
      </w:pPr>
      <w:r w:rsidRPr="000F6BA0">
        <w:rPr>
          <w:lang w:val="en-US"/>
        </w:rPr>
        <w:t>NTC</w:t>
      </w:r>
      <w:r w:rsidRPr="000F6BA0">
        <w:rPr>
          <w:vertAlign w:val="subscript"/>
          <w:lang w:val="en-US"/>
        </w:rPr>
        <w:t>LT-PL</w:t>
      </w:r>
      <w:r w:rsidRPr="000F6BA0">
        <w:rPr>
          <w:lang w:val="en-US"/>
        </w:rPr>
        <w:t xml:space="preserve"> = min (PL NTC</w:t>
      </w:r>
      <w:r w:rsidRPr="000F6BA0">
        <w:rPr>
          <w:vertAlign w:val="subscript"/>
          <w:lang w:val="en-US"/>
        </w:rPr>
        <w:t>LT-PL</w:t>
      </w:r>
      <w:r w:rsidRPr="000F6BA0">
        <w:rPr>
          <w:lang w:val="en-US"/>
        </w:rPr>
        <w:t>; LT NTC</w:t>
      </w:r>
      <w:r w:rsidRPr="000F6BA0">
        <w:rPr>
          <w:vertAlign w:val="subscript"/>
          <w:lang w:val="en-US"/>
        </w:rPr>
        <w:t>LT-PL</w:t>
      </w:r>
      <w:r w:rsidRPr="000F6BA0">
        <w:rPr>
          <w:lang w:val="en-US"/>
        </w:rPr>
        <w:t>; 488 MW)</w:t>
      </w:r>
      <w:r w:rsidRPr="000F6BA0">
        <w:rPr>
          <w:lang w:val="en-US"/>
        </w:rPr>
        <w:tab/>
      </w:r>
      <w:r w:rsidRPr="000F6BA0">
        <w:rPr>
          <w:lang w:val="en-US"/>
        </w:rPr>
        <w:tab/>
        <w:t xml:space="preserve"> (6) </w:t>
      </w:r>
    </w:p>
    <w:p w:rsidR="00573C40" w:rsidRPr="000F6BA0" w:rsidRDefault="00573C40" w:rsidP="00D7480E">
      <w:pPr>
        <w:rPr>
          <w:lang w:val="en-US"/>
        </w:rPr>
      </w:pPr>
    </w:p>
    <w:p w:rsidR="00573C40" w:rsidRPr="000F6BA0" w:rsidRDefault="00AD664A" w:rsidP="00D7480E">
      <w:pPr>
        <w:rPr>
          <w:lang w:val="en-US"/>
        </w:rPr>
      </w:pPr>
      <w:r w:rsidRPr="000F6BA0">
        <w:rPr>
          <w:lang w:val="en-US"/>
        </w:rPr>
        <w:t>7</w:t>
      </w:r>
      <w:r w:rsidR="00573C40" w:rsidRPr="000F6BA0">
        <w:rPr>
          <w:lang w:val="en-US"/>
        </w:rPr>
        <w:t xml:space="preserve">.5.5 One circuit of Elk Bis-Alytus 400 kV line in operation: </w:t>
      </w:r>
    </w:p>
    <w:p w:rsidR="00573C40" w:rsidRPr="000F6BA0" w:rsidRDefault="00573C40" w:rsidP="00D7480E">
      <w:pPr>
        <w:rPr>
          <w:lang w:val="en-US"/>
        </w:rPr>
      </w:pPr>
    </w:p>
    <w:p w:rsidR="00316AD4" w:rsidRPr="000F6BA0" w:rsidRDefault="00F34C11" w:rsidP="00435C90">
      <w:pPr>
        <w:ind w:left="720"/>
        <w:jc w:val="right"/>
        <w:rPr>
          <w:lang w:val="en-US"/>
        </w:rPr>
      </w:pPr>
      <w:r w:rsidRPr="000F6BA0">
        <w:rPr>
          <w:lang w:val="en-US"/>
        </w:rPr>
        <w:t>NTC</w:t>
      </w:r>
      <w:r w:rsidRPr="000F6BA0">
        <w:rPr>
          <w:vertAlign w:val="subscript"/>
          <w:lang w:val="en-US"/>
        </w:rPr>
        <w:t>LT-PL</w:t>
      </w:r>
      <w:r w:rsidRPr="000F6BA0">
        <w:rPr>
          <w:lang w:val="en-US"/>
        </w:rPr>
        <w:t xml:space="preserve"> </w:t>
      </w:r>
      <w:r w:rsidR="00573C40" w:rsidRPr="000F6BA0">
        <w:rPr>
          <w:lang w:val="en-US"/>
        </w:rPr>
        <w:t xml:space="preserve">= min (PL </w:t>
      </w:r>
      <w:r w:rsidRPr="000F6BA0">
        <w:rPr>
          <w:lang w:val="en-US"/>
        </w:rPr>
        <w:t>NTC</w:t>
      </w:r>
      <w:r w:rsidRPr="000F6BA0">
        <w:rPr>
          <w:vertAlign w:val="subscript"/>
          <w:lang w:val="en-US"/>
        </w:rPr>
        <w:t>LT-</w:t>
      </w:r>
      <w:proofErr w:type="gramStart"/>
      <w:r w:rsidRPr="000F6BA0">
        <w:rPr>
          <w:vertAlign w:val="subscript"/>
          <w:lang w:val="en-US"/>
        </w:rPr>
        <w:t>PL</w:t>
      </w:r>
      <w:r w:rsidRPr="000F6BA0" w:rsidDel="00F34C11">
        <w:rPr>
          <w:lang w:val="en-US"/>
        </w:rPr>
        <w:t xml:space="preserve"> </w:t>
      </w:r>
      <w:r w:rsidR="00573C40" w:rsidRPr="000F6BA0">
        <w:rPr>
          <w:lang w:val="en-US"/>
        </w:rPr>
        <w:t>;</w:t>
      </w:r>
      <w:proofErr w:type="gramEnd"/>
      <w:r w:rsidR="00573C40" w:rsidRPr="000F6BA0">
        <w:rPr>
          <w:lang w:val="en-US"/>
        </w:rPr>
        <w:t xml:space="preserve"> LT </w:t>
      </w:r>
      <w:r w:rsidRPr="000F6BA0">
        <w:rPr>
          <w:lang w:val="en-US"/>
        </w:rPr>
        <w:t>NTC</w:t>
      </w:r>
      <w:r w:rsidRPr="000F6BA0">
        <w:rPr>
          <w:vertAlign w:val="subscript"/>
          <w:lang w:val="en-US"/>
        </w:rPr>
        <w:t>LT-PL</w:t>
      </w:r>
      <w:r w:rsidR="00573C40" w:rsidRPr="000F6BA0">
        <w:rPr>
          <w:lang w:val="en-US"/>
        </w:rPr>
        <w:t>; 485 MW)</w:t>
      </w:r>
      <w:r w:rsidR="00573C40" w:rsidRPr="000F6BA0">
        <w:rPr>
          <w:lang w:val="en-US"/>
        </w:rPr>
        <w:tab/>
      </w:r>
      <w:r w:rsidR="00573C40" w:rsidRPr="000F6BA0">
        <w:rPr>
          <w:lang w:val="en-US"/>
        </w:rPr>
        <w:tab/>
        <w:t xml:space="preserve"> (7)</w:t>
      </w:r>
    </w:p>
    <w:p w:rsidR="00316AD4" w:rsidRPr="000F6BA0" w:rsidRDefault="00316AD4" w:rsidP="00D7480E">
      <w:pPr>
        <w:rPr>
          <w:lang w:val="en-US"/>
        </w:rPr>
      </w:pPr>
    </w:p>
    <w:p w:rsidR="00573C40" w:rsidRPr="000F6BA0" w:rsidRDefault="00573C40" w:rsidP="00D7480E">
      <w:pPr>
        <w:rPr>
          <w:lang w:val="en-US"/>
        </w:rPr>
      </w:pPr>
      <w:r w:rsidRPr="000F6BA0">
        <w:rPr>
          <w:lang w:val="en-US"/>
        </w:rPr>
        <w:t xml:space="preserve">where: </w:t>
      </w:r>
    </w:p>
    <w:p w:rsidR="00573C40" w:rsidRPr="000F6BA0" w:rsidRDefault="00573C40" w:rsidP="00D7480E">
      <w:pPr>
        <w:rPr>
          <w:lang w:val="en-US"/>
        </w:rPr>
      </w:pPr>
    </w:p>
    <w:p w:rsidR="00316AD4" w:rsidRPr="000F6BA0" w:rsidRDefault="00573C40" w:rsidP="00D7480E">
      <w:pPr>
        <w:rPr>
          <w:lang w:val="en-US"/>
        </w:rPr>
      </w:pPr>
      <w:r w:rsidRPr="000F6BA0">
        <w:rPr>
          <w:lang w:val="en-US"/>
        </w:rPr>
        <w:t>PL NTC</w:t>
      </w:r>
      <w:r w:rsidRPr="000F6BA0">
        <w:rPr>
          <w:vertAlign w:val="subscript"/>
          <w:lang w:val="en-US"/>
        </w:rPr>
        <w:t>LT-PL</w:t>
      </w:r>
      <w:r w:rsidRPr="000F6BA0">
        <w:rPr>
          <w:lang w:val="en-US"/>
        </w:rPr>
        <w:t xml:space="preserve"> – NTC between LT and PL Bidding Zones, determined by operational security limits in Baltic CCR TSOs' synchronous areas or technical limitation on HVDC interconnection (from Poland side), if calculated NTC between LT and PL Bidding Zones is less than 50 MW, then PL NTC</w:t>
      </w:r>
      <w:r w:rsidRPr="000F6BA0">
        <w:rPr>
          <w:vertAlign w:val="subscript"/>
          <w:lang w:val="en-US"/>
        </w:rPr>
        <w:t>LT-PL</w:t>
      </w:r>
      <w:r w:rsidRPr="000F6BA0">
        <w:rPr>
          <w:lang w:val="en-US"/>
        </w:rPr>
        <w:t xml:space="preserve"> shall be set to 0 MW;</w:t>
      </w:r>
    </w:p>
    <w:p w:rsidR="00573C40" w:rsidRPr="000F6BA0" w:rsidRDefault="00573C40" w:rsidP="00D7480E">
      <w:pPr>
        <w:rPr>
          <w:lang w:val="en-US"/>
        </w:rPr>
      </w:pPr>
    </w:p>
    <w:p w:rsidR="00573C40" w:rsidRPr="000F6BA0" w:rsidRDefault="00573C40" w:rsidP="00D7480E">
      <w:pPr>
        <w:rPr>
          <w:lang w:val="en-US"/>
        </w:rPr>
      </w:pPr>
      <w:r w:rsidRPr="000F6BA0">
        <w:rPr>
          <w:lang w:val="en-US"/>
        </w:rPr>
        <w:lastRenderedPageBreak/>
        <w:t>LT NTC</w:t>
      </w:r>
      <w:r w:rsidRPr="000F6BA0">
        <w:rPr>
          <w:vertAlign w:val="subscript"/>
          <w:lang w:val="en-US"/>
        </w:rPr>
        <w:t>LT-PL</w:t>
      </w:r>
      <w:r w:rsidRPr="000F6BA0">
        <w:rPr>
          <w:lang w:val="en-US"/>
        </w:rPr>
        <w:t xml:space="preserve"> – NTC between LT and PL Bidding Zones, determined by operational security limits in Baltic CCR TSOs' synchronous areas or technical limitation on HVDC interconnection (from Lithuania side), if calculated NTC between LT and PL Bidding Zones is less than 50 MW, then LT NTC</w:t>
      </w:r>
      <w:r w:rsidRPr="000F6BA0">
        <w:rPr>
          <w:vertAlign w:val="subscript"/>
          <w:lang w:val="en-US"/>
        </w:rPr>
        <w:t>LT-PL</w:t>
      </w:r>
      <w:r w:rsidRPr="000F6BA0">
        <w:rPr>
          <w:lang w:val="en-US"/>
        </w:rPr>
        <w:t xml:space="preserve"> shall be set to 0 MW;</w:t>
      </w:r>
    </w:p>
    <w:p w:rsidR="00316AD4" w:rsidRPr="000F6BA0" w:rsidRDefault="00316AD4" w:rsidP="00D7480E">
      <w:pPr>
        <w:rPr>
          <w:lang w:val="en-US"/>
        </w:rPr>
      </w:pPr>
    </w:p>
    <w:p w:rsidR="00573C40" w:rsidRPr="000F6BA0" w:rsidRDefault="00573C40" w:rsidP="00D7480E">
      <w:pPr>
        <w:rPr>
          <w:lang w:val="en-US"/>
        </w:rPr>
      </w:pPr>
      <w:r w:rsidRPr="000F6BA0">
        <w:rPr>
          <w:lang w:val="en-US"/>
        </w:rPr>
        <w:t>488 MW – technical capacity of the Link in Settlement Point (</w:t>
      </w:r>
      <w:proofErr w:type="spellStart"/>
      <w:r w:rsidRPr="000F6BA0">
        <w:rPr>
          <w:lang w:val="en-US"/>
        </w:rPr>
        <w:t>NTC</w:t>
      </w:r>
      <w:r w:rsidRPr="000F6BA0">
        <w:rPr>
          <w:vertAlign w:val="subscript"/>
          <w:lang w:val="en-US"/>
        </w:rPr>
        <w:t>SettlementPoint</w:t>
      </w:r>
      <w:proofErr w:type="spellEnd"/>
      <w:r w:rsidRPr="000F6BA0">
        <w:rPr>
          <w:lang w:val="en-US"/>
        </w:rPr>
        <w:t xml:space="preserve">) when both circuits of Elk Bis-Alytus line are in operation (i.e. decreased the 500 MW input power of </w:t>
      </w:r>
      <w:proofErr w:type="spellStart"/>
      <w:r w:rsidRPr="000F6BA0">
        <w:rPr>
          <w:lang w:val="en-US"/>
        </w:rPr>
        <w:t>BtB</w:t>
      </w:r>
      <w:proofErr w:type="spellEnd"/>
      <w:r w:rsidRPr="000F6BA0">
        <w:rPr>
          <w:lang w:val="en-US"/>
        </w:rPr>
        <w:t xml:space="preserve"> by technical losses of HVDC converter, two circuits of 400 kV line and shunt reactors);</w:t>
      </w:r>
    </w:p>
    <w:p w:rsidR="00573C40" w:rsidRPr="000F6BA0" w:rsidRDefault="00573C40" w:rsidP="00D7480E">
      <w:pPr>
        <w:rPr>
          <w:lang w:val="en-US"/>
        </w:rPr>
      </w:pPr>
    </w:p>
    <w:p w:rsidR="00573C40" w:rsidRPr="000F6BA0" w:rsidRDefault="00573C40" w:rsidP="00D7480E">
      <w:pPr>
        <w:rPr>
          <w:lang w:val="en-US"/>
        </w:rPr>
      </w:pPr>
      <w:r w:rsidRPr="000F6BA0">
        <w:rPr>
          <w:lang w:val="en-US"/>
        </w:rPr>
        <w:t>485 MW – technical capacity of the Link in Settlement Point (</w:t>
      </w:r>
      <w:proofErr w:type="spellStart"/>
      <w:r w:rsidRPr="000F6BA0">
        <w:rPr>
          <w:lang w:val="en-US"/>
        </w:rPr>
        <w:t>NTC</w:t>
      </w:r>
      <w:r w:rsidRPr="000F6BA0">
        <w:rPr>
          <w:vertAlign w:val="subscript"/>
          <w:lang w:val="en-US"/>
        </w:rPr>
        <w:t>SettlementPoint</w:t>
      </w:r>
      <w:proofErr w:type="spellEnd"/>
      <w:r w:rsidRPr="000F6BA0">
        <w:rPr>
          <w:lang w:val="en-US"/>
        </w:rPr>
        <w:t xml:space="preserve">) when one circuit of Elk Bis - Alytus line is in operation (i.e. decreased the 500 MW input power of </w:t>
      </w:r>
      <w:proofErr w:type="spellStart"/>
      <w:r w:rsidRPr="000F6BA0">
        <w:rPr>
          <w:lang w:val="en-US"/>
        </w:rPr>
        <w:t>BtB</w:t>
      </w:r>
      <w:proofErr w:type="spellEnd"/>
      <w:r w:rsidRPr="000F6BA0">
        <w:rPr>
          <w:lang w:val="en-US"/>
        </w:rPr>
        <w:t xml:space="preserve"> by technical losses of HVDC converter, one circuit of 400kV line and shunt reactors).</w:t>
      </w:r>
    </w:p>
    <w:p w:rsidR="00573C40" w:rsidRPr="000F6BA0" w:rsidRDefault="00573C40" w:rsidP="00D7480E">
      <w:pPr>
        <w:rPr>
          <w:lang w:val="en-US"/>
        </w:rPr>
      </w:pPr>
    </w:p>
    <w:p w:rsidR="00573C40" w:rsidRPr="000F6BA0" w:rsidRDefault="00573C40" w:rsidP="00D7480E">
      <w:pPr>
        <w:rPr>
          <w:b/>
          <w:i/>
          <w:lang w:val="en-US"/>
        </w:rPr>
      </w:pPr>
      <w:r w:rsidRPr="000F6BA0">
        <w:rPr>
          <w:b/>
          <w:i/>
          <w:lang w:val="en-US"/>
        </w:rPr>
        <w:t xml:space="preserve">For direction from Poland to Lithuania (Settlement Point in Alytus 330kV): </w:t>
      </w:r>
    </w:p>
    <w:p w:rsidR="00573C40" w:rsidRPr="000F6BA0" w:rsidRDefault="00573C40" w:rsidP="00D7480E">
      <w:pPr>
        <w:rPr>
          <w:b/>
          <w:i/>
          <w:lang w:val="en-US"/>
        </w:rPr>
      </w:pPr>
    </w:p>
    <w:p w:rsidR="00573C40" w:rsidRPr="000F6BA0" w:rsidRDefault="00AD664A" w:rsidP="00D7480E">
      <w:pPr>
        <w:rPr>
          <w:lang w:val="en-US"/>
        </w:rPr>
      </w:pPr>
      <w:r w:rsidRPr="000F6BA0">
        <w:rPr>
          <w:lang w:val="en-US"/>
        </w:rPr>
        <w:t>7</w:t>
      </w:r>
      <w:r w:rsidR="00573C40" w:rsidRPr="000F6BA0">
        <w:rPr>
          <w:lang w:val="en-US"/>
        </w:rPr>
        <w:t>.5.6 Two circuits or one circuit of Elk Bis-Alytus 400 kV line in operation:</w:t>
      </w:r>
    </w:p>
    <w:p w:rsidR="00573C40" w:rsidRPr="000F6BA0" w:rsidRDefault="00573C40" w:rsidP="00D7480E">
      <w:pPr>
        <w:rPr>
          <w:lang w:val="en-US"/>
        </w:rPr>
      </w:pPr>
    </w:p>
    <w:p w:rsidR="00573C40" w:rsidRPr="000F6BA0" w:rsidRDefault="00573C40" w:rsidP="00573C40">
      <w:pPr>
        <w:jc w:val="right"/>
        <w:rPr>
          <w:lang w:val="en-US"/>
        </w:rPr>
      </w:pPr>
      <w:r w:rsidRPr="000F6BA0">
        <w:rPr>
          <w:lang w:val="en-US"/>
        </w:rPr>
        <w:t>NTC</w:t>
      </w:r>
      <w:r w:rsidRPr="000F6BA0">
        <w:rPr>
          <w:vertAlign w:val="subscript"/>
          <w:lang w:val="en-US"/>
        </w:rPr>
        <w:t xml:space="preserve">LT-PL </w:t>
      </w:r>
      <w:r w:rsidRPr="000F6BA0">
        <w:rPr>
          <w:lang w:val="en-US"/>
        </w:rPr>
        <w:t>= min (PL NTC</w:t>
      </w:r>
      <w:r w:rsidRPr="000F6BA0">
        <w:rPr>
          <w:vertAlign w:val="subscript"/>
          <w:lang w:val="en-US"/>
        </w:rPr>
        <w:t>LT-PL</w:t>
      </w:r>
      <w:r w:rsidRPr="000F6BA0">
        <w:rPr>
          <w:lang w:val="en-US"/>
        </w:rPr>
        <w:t>; LT NTC</w:t>
      </w:r>
      <w:r w:rsidRPr="000F6BA0">
        <w:rPr>
          <w:vertAlign w:val="subscript"/>
          <w:lang w:val="en-US"/>
        </w:rPr>
        <w:t>LT-PL</w:t>
      </w:r>
      <w:r w:rsidRPr="000F6BA0">
        <w:rPr>
          <w:lang w:val="en-US"/>
        </w:rPr>
        <w:t xml:space="preserve">; 492 MW) </w:t>
      </w:r>
      <w:r w:rsidRPr="000F6BA0">
        <w:rPr>
          <w:lang w:val="en-US"/>
        </w:rPr>
        <w:tab/>
      </w:r>
      <w:r w:rsidRPr="000F6BA0">
        <w:rPr>
          <w:lang w:val="en-US"/>
        </w:rPr>
        <w:tab/>
      </w:r>
      <w:r w:rsidRPr="000F6BA0">
        <w:rPr>
          <w:lang w:val="en-US"/>
        </w:rPr>
        <w:tab/>
        <w:t>(8)</w:t>
      </w:r>
    </w:p>
    <w:p w:rsidR="00573C40" w:rsidRPr="000F6BA0" w:rsidRDefault="00573C40" w:rsidP="00573C40">
      <w:pPr>
        <w:jc w:val="right"/>
        <w:rPr>
          <w:lang w:val="en-US"/>
        </w:rPr>
      </w:pPr>
    </w:p>
    <w:p w:rsidR="00573C40" w:rsidRPr="000F6BA0" w:rsidRDefault="00573C40" w:rsidP="00573C40">
      <w:pPr>
        <w:rPr>
          <w:lang w:val="en-US"/>
        </w:rPr>
      </w:pPr>
      <w:r w:rsidRPr="000F6BA0">
        <w:rPr>
          <w:lang w:val="en-US"/>
        </w:rPr>
        <w:t xml:space="preserve">where: </w:t>
      </w:r>
    </w:p>
    <w:p w:rsidR="00573C40" w:rsidRPr="000F6BA0" w:rsidRDefault="00573C40" w:rsidP="00573C40">
      <w:pPr>
        <w:rPr>
          <w:lang w:val="en-US"/>
        </w:rPr>
      </w:pPr>
      <w:r w:rsidRPr="000F6BA0">
        <w:rPr>
          <w:lang w:val="en-US"/>
        </w:rPr>
        <w:t>PL NTC</w:t>
      </w:r>
      <w:r w:rsidRPr="000F6BA0">
        <w:rPr>
          <w:vertAlign w:val="subscript"/>
          <w:lang w:val="en-US"/>
        </w:rPr>
        <w:t>LT-PL</w:t>
      </w:r>
      <w:r w:rsidRPr="000F6BA0">
        <w:rPr>
          <w:lang w:val="en-US"/>
        </w:rPr>
        <w:t xml:space="preserve"> – NTC between LT and PL Bidding Zones, determined by operational security limits in Baltic CCR TSOs' synchronous areas (from Poland side), if calculated NTC between LT and PL Bidding Zones is less than 50 MW, then PL NTC</w:t>
      </w:r>
      <w:r w:rsidRPr="000F6BA0">
        <w:rPr>
          <w:vertAlign w:val="subscript"/>
          <w:lang w:val="en-US"/>
        </w:rPr>
        <w:t>LT-PL</w:t>
      </w:r>
      <w:r w:rsidRPr="000F6BA0">
        <w:rPr>
          <w:lang w:val="en-US"/>
        </w:rPr>
        <w:t xml:space="preserve"> shall be set to 0 MW;</w:t>
      </w:r>
    </w:p>
    <w:p w:rsidR="00573C40" w:rsidRPr="000F6BA0" w:rsidRDefault="00573C40" w:rsidP="00573C40">
      <w:pPr>
        <w:rPr>
          <w:lang w:val="en-US"/>
        </w:rPr>
      </w:pPr>
    </w:p>
    <w:p w:rsidR="00573C40" w:rsidRPr="000F6BA0" w:rsidRDefault="00573C40" w:rsidP="00573C40">
      <w:pPr>
        <w:rPr>
          <w:lang w:val="en-US"/>
        </w:rPr>
      </w:pPr>
      <w:r w:rsidRPr="000F6BA0">
        <w:rPr>
          <w:lang w:val="en-US"/>
        </w:rPr>
        <w:t>LT NTC</w:t>
      </w:r>
      <w:r w:rsidRPr="000F6BA0">
        <w:rPr>
          <w:vertAlign w:val="subscript"/>
          <w:lang w:val="en-US"/>
        </w:rPr>
        <w:t>LT-PL</w:t>
      </w:r>
      <w:r w:rsidRPr="000F6BA0">
        <w:rPr>
          <w:lang w:val="en-US"/>
        </w:rPr>
        <w:t xml:space="preserve"> – NTC between LT and PL Bidding Zones, determined by operational security limits in Baltic CCR TSOs' synchronous areas (from Lithuania side), if calculated NTC between LT and PL Bidding Zones is less than 50 MW, then LT NTC</w:t>
      </w:r>
      <w:r w:rsidRPr="000F6BA0">
        <w:rPr>
          <w:vertAlign w:val="subscript"/>
          <w:lang w:val="en-US"/>
        </w:rPr>
        <w:t>LT-PL</w:t>
      </w:r>
      <w:r w:rsidRPr="000F6BA0">
        <w:rPr>
          <w:lang w:val="en-US"/>
        </w:rPr>
        <w:t xml:space="preserve"> shall be set to 0 MW; </w:t>
      </w:r>
    </w:p>
    <w:p w:rsidR="00573C40" w:rsidRPr="000F6BA0" w:rsidRDefault="00573C40" w:rsidP="00573C40">
      <w:pPr>
        <w:rPr>
          <w:lang w:val="en-US"/>
        </w:rPr>
      </w:pPr>
    </w:p>
    <w:p w:rsidR="00573C40" w:rsidRPr="000F6BA0" w:rsidRDefault="00573C40" w:rsidP="00573C40">
      <w:pPr>
        <w:rPr>
          <w:lang w:val="en-US"/>
        </w:rPr>
      </w:pPr>
      <w:r w:rsidRPr="000F6BA0">
        <w:rPr>
          <w:lang w:val="en-US"/>
        </w:rPr>
        <w:t>492 MW – technical capacity of the Link in Settlement Point (</w:t>
      </w:r>
      <w:proofErr w:type="spellStart"/>
      <w:r w:rsidRPr="000F6BA0">
        <w:rPr>
          <w:lang w:val="en-US"/>
        </w:rPr>
        <w:t>NTC</w:t>
      </w:r>
      <w:r w:rsidRPr="000F6BA0">
        <w:rPr>
          <w:vertAlign w:val="subscript"/>
          <w:lang w:val="en-US"/>
        </w:rPr>
        <w:t>SettlementPoint</w:t>
      </w:r>
      <w:proofErr w:type="spellEnd"/>
      <w:r w:rsidRPr="000F6BA0">
        <w:rPr>
          <w:lang w:val="en-US"/>
        </w:rPr>
        <w:t xml:space="preserve">) when both circuits or one circuit of Elk Bis - Alytus line are in operation (i.e. decreased the 500 MW input power of </w:t>
      </w:r>
      <w:proofErr w:type="spellStart"/>
      <w:r w:rsidRPr="000F6BA0">
        <w:rPr>
          <w:lang w:val="en-US"/>
        </w:rPr>
        <w:t>BtB</w:t>
      </w:r>
      <w:proofErr w:type="spellEnd"/>
      <w:r w:rsidRPr="000F6BA0">
        <w:rPr>
          <w:lang w:val="en-US"/>
        </w:rPr>
        <w:t xml:space="preserve"> by technical losses of HVDC converter).</w:t>
      </w:r>
    </w:p>
    <w:p w:rsidR="00573C40" w:rsidRPr="000F6BA0" w:rsidRDefault="00573C40" w:rsidP="00573C40">
      <w:pPr>
        <w:rPr>
          <w:lang w:val="en-US"/>
        </w:rPr>
      </w:pPr>
    </w:p>
    <w:p w:rsidR="008B7091" w:rsidRPr="000F6BA0" w:rsidRDefault="000657AE" w:rsidP="00371B7B">
      <w:pPr>
        <w:pStyle w:val="Heading1"/>
        <w:rPr>
          <w:lang w:val="en-US"/>
        </w:rPr>
      </w:pPr>
      <w:bookmarkStart w:id="42" w:name="_Toc10105043"/>
      <w:bookmarkStart w:id="43" w:name="_Toc432586805"/>
      <w:bookmarkStart w:id="44" w:name="_Toc432586785"/>
      <w:bookmarkStart w:id="45" w:name="_Toc426468206"/>
      <w:bookmarkStart w:id="46" w:name="_Toc422749331"/>
      <w:bookmarkStart w:id="47" w:name="_Toc422742328"/>
      <w:bookmarkStart w:id="48" w:name="_Toc422337372"/>
      <w:bookmarkStart w:id="49" w:name="_Toc464485820"/>
      <w:bookmarkStart w:id="50" w:name="_Toc413748339"/>
      <w:r w:rsidRPr="000F6BA0">
        <w:rPr>
          <w:lang w:val="en-US"/>
        </w:rPr>
        <w:t xml:space="preserve">Article </w:t>
      </w:r>
      <w:r w:rsidR="00222CC3" w:rsidRPr="000F6BA0">
        <w:rPr>
          <w:lang w:val="en-US"/>
        </w:rPr>
        <w:t>8</w:t>
      </w:r>
      <w:r w:rsidR="00CB3D20" w:rsidRPr="000F6BA0">
        <w:rPr>
          <w:lang w:val="en-US"/>
        </w:rPr>
        <w:br/>
      </w:r>
      <w:r w:rsidR="008B7091" w:rsidRPr="000F6BA0">
        <w:rPr>
          <w:lang w:val="en-US"/>
        </w:rPr>
        <w:t>Cross-zonal capacity validation methodology</w:t>
      </w:r>
      <w:bookmarkEnd w:id="42"/>
    </w:p>
    <w:p w:rsidR="000657AE" w:rsidRPr="000F6BA0" w:rsidRDefault="000657AE" w:rsidP="001257F6">
      <w:pPr>
        <w:rPr>
          <w:lang w:val="en-US"/>
        </w:rPr>
      </w:pPr>
      <w:r w:rsidRPr="000F6BA0">
        <w:rPr>
          <w:lang w:val="en-US"/>
        </w:rPr>
        <w:t>1.</w:t>
      </w:r>
      <w:r w:rsidR="002F4A84" w:rsidRPr="000F6BA0">
        <w:rPr>
          <w:lang w:val="en-US"/>
        </w:rPr>
        <w:t xml:space="preserve"> </w:t>
      </w:r>
      <w:r w:rsidRPr="000F6BA0">
        <w:rPr>
          <w:lang w:val="en-US"/>
        </w:rPr>
        <w:t>Each TSO shall perform the validation of cross-zonal capacities on its bidding zone border(s) to ensure that the results of regional calculation of cross-zonal capacity will ensure operational security. When performing the validation, the TSOs shall consider operational security, taking into account new and relevant information obtained during or after the most recent capacity calculation.</w:t>
      </w:r>
    </w:p>
    <w:p w:rsidR="00D33F27" w:rsidRPr="000F6BA0" w:rsidRDefault="000657AE" w:rsidP="001257F6">
      <w:pPr>
        <w:rPr>
          <w:lang w:val="en-US"/>
        </w:rPr>
      </w:pPr>
      <w:r w:rsidRPr="000F6BA0">
        <w:rPr>
          <w:lang w:val="en-US"/>
        </w:rPr>
        <w:t xml:space="preserve">2. </w:t>
      </w:r>
      <w:r w:rsidR="00A84D8A" w:rsidRPr="000F6BA0">
        <w:rPr>
          <w:lang w:val="en-US"/>
        </w:rPr>
        <w:t>According to Article 24 of FCA Regulation and Article 26 of CACM Regulation, e</w:t>
      </w:r>
      <w:r w:rsidR="00D33F27" w:rsidRPr="000F6BA0">
        <w:rPr>
          <w:lang w:val="en-US"/>
        </w:rPr>
        <w:t xml:space="preserve">ach TSO shall validate and have the right to correct </w:t>
      </w:r>
      <w:r w:rsidR="003B6AC1" w:rsidRPr="000F6BA0">
        <w:rPr>
          <w:lang w:val="en-US"/>
        </w:rPr>
        <w:t xml:space="preserve">long-term </w:t>
      </w:r>
      <w:r w:rsidR="00E8445A" w:rsidRPr="000F6BA0">
        <w:rPr>
          <w:lang w:val="en-US"/>
        </w:rPr>
        <w:t>c</w:t>
      </w:r>
      <w:r w:rsidR="00D33F27" w:rsidRPr="000F6BA0">
        <w:rPr>
          <w:lang w:val="en-US"/>
        </w:rPr>
        <w:t>ross-</w:t>
      </w:r>
      <w:r w:rsidR="00E8445A" w:rsidRPr="000F6BA0">
        <w:rPr>
          <w:lang w:val="en-US"/>
        </w:rPr>
        <w:t>z</w:t>
      </w:r>
      <w:r w:rsidR="00D33F27" w:rsidRPr="000F6BA0">
        <w:rPr>
          <w:lang w:val="en-US"/>
        </w:rPr>
        <w:t xml:space="preserve">onal </w:t>
      </w:r>
      <w:r w:rsidR="00E8445A" w:rsidRPr="000F6BA0">
        <w:rPr>
          <w:lang w:val="en-US"/>
        </w:rPr>
        <w:t>c</w:t>
      </w:r>
      <w:r w:rsidR="00D33F27" w:rsidRPr="000F6BA0">
        <w:rPr>
          <w:lang w:val="en-US"/>
        </w:rPr>
        <w:t xml:space="preserve">apacity relevant to the TSO's </w:t>
      </w:r>
      <w:r w:rsidR="00E8445A" w:rsidRPr="000F6BA0">
        <w:rPr>
          <w:lang w:val="en-US"/>
        </w:rPr>
        <w:t>b</w:t>
      </w:r>
      <w:r w:rsidR="00D33F27" w:rsidRPr="000F6BA0">
        <w:rPr>
          <w:lang w:val="en-US"/>
        </w:rPr>
        <w:t xml:space="preserve">idding </w:t>
      </w:r>
      <w:r w:rsidR="00E8445A" w:rsidRPr="000F6BA0">
        <w:rPr>
          <w:lang w:val="en-US"/>
        </w:rPr>
        <w:t>z</w:t>
      </w:r>
      <w:r w:rsidR="00D33F27" w:rsidRPr="000F6BA0">
        <w:rPr>
          <w:lang w:val="en-US"/>
        </w:rPr>
        <w:t>one borders provided by the</w:t>
      </w:r>
      <w:r w:rsidR="00E8445A" w:rsidRPr="000F6BA0">
        <w:rPr>
          <w:lang w:val="en-US"/>
        </w:rPr>
        <w:t xml:space="preserve"> </w:t>
      </w:r>
      <w:r w:rsidR="00C1415E" w:rsidRPr="000F6BA0">
        <w:rPr>
          <w:lang w:val="en-US"/>
        </w:rPr>
        <w:t>CCC</w:t>
      </w:r>
      <w:r w:rsidR="00D33F27" w:rsidRPr="000F6BA0">
        <w:rPr>
          <w:lang w:val="en-US"/>
        </w:rPr>
        <w:t>.</w:t>
      </w:r>
      <w:r w:rsidRPr="000F6BA0">
        <w:rPr>
          <w:lang w:val="en-US"/>
        </w:rPr>
        <w:t xml:space="preserve"> If TSO correct or calculates different cross-zonal capacities, the capacities shall be resent to CCC for re-coordination of relevant cross-border.</w:t>
      </w:r>
      <w:r w:rsidR="00C1415E" w:rsidRPr="000F6BA0">
        <w:rPr>
          <w:lang w:val="en-US"/>
        </w:rPr>
        <w:t xml:space="preserve"> The reason of correction or rejection shall be collected</w:t>
      </w:r>
      <w:r w:rsidR="002631E2" w:rsidRPr="000F6BA0">
        <w:rPr>
          <w:lang w:val="en-US"/>
        </w:rPr>
        <w:t xml:space="preserve"> by TSOs</w:t>
      </w:r>
      <w:r w:rsidR="00C1415E" w:rsidRPr="000F6BA0">
        <w:rPr>
          <w:lang w:val="en-US"/>
        </w:rPr>
        <w:t xml:space="preserve"> and provided to CCC. </w:t>
      </w:r>
    </w:p>
    <w:p w:rsidR="008B7091" w:rsidRPr="000F6BA0" w:rsidRDefault="002F4A84" w:rsidP="001257F6">
      <w:pPr>
        <w:rPr>
          <w:lang w:val="en-US"/>
        </w:rPr>
      </w:pPr>
      <w:r w:rsidRPr="000F6BA0">
        <w:rPr>
          <w:lang w:val="en-US"/>
        </w:rPr>
        <w:t xml:space="preserve">3. </w:t>
      </w:r>
      <w:r w:rsidR="00D33F27" w:rsidRPr="000F6BA0">
        <w:rPr>
          <w:lang w:val="en-US"/>
        </w:rPr>
        <w:t xml:space="preserve">Each TSO may reduce </w:t>
      </w:r>
      <w:r w:rsidR="003B6AC1" w:rsidRPr="000F6BA0">
        <w:rPr>
          <w:lang w:val="en-US"/>
        </w:rPr>
        <w:t xml:space="preserve">long-term </w:t>
      </w:r>
      <w:r w:rsidR="00E8445A" w:rsidRPr="000F6BA0">
        <w:rPr>
          <w:lang w:val="en-US"/>
        </w:rPr>
        <w:t>c</w:t>
      </w:r>
      <w:r w:rsidR="00D33F27" w:rsidRPr="000F6BA0">
        <w:rPr>
          <w:lang w:val="en-US"/>
        </w:rPr>
        <w:t>ross-</w:t>
      </w:r>
      <w:r w:rsidR="00E8445A" w:rsidRPr="000F6BA0">
        <w:rPr>
          <w:lang w:val="en-US"/>
        </w:rPr>
        <w:t>z</w:t>
      </w:r>
      <w:r w:rsidR="00D33F27" w:rsidRPr="000F6BA0">
        <w:rPr>
          <w:lang w:val="en-US"/>
        </w:rPr>
        <w:t xml:space="preserve">onal </w:t>
      </w:r>
      <w:r w:rsidR="00E8445A" w:rsidRPr="000F6BA0">
        <w:rPr>
          <w:lang w:val="en-US"/>
        </w:rPr>
        <w:t>c</w:t>
      </w:r>
      <w:r w:rsidR="00D33F27" w:rsidRPr="000F6BA0">
        <w:rPr>
          <w:lang w:val="en-US"/>
        </w:rPr>
        <w:t xml:space="preserve">apacity during the validation of </w:t>
      </w:r>
      <w:r w:rsidR="00E8445A" w:rsidRPr="000F6BA0">
        <w:rPr>
          <w:lang w:val="en-US"/>
        </w:rPr>
        <w:t>c</w:t>
      </w:r>
      <w:r w:rsidR="00D33F27" w:rsidRPr="000F6BA0">
        <w:rPr>
          <w:lang w:val="en-US"/>
        </w:rPr>
        <w:t>ross-</w:t>
      </w:r>
      <w:r w:rsidR="00E8445A" w:rsidRPr="000F6BA0">
        <w:rPr>
          <w:lang w:val="en-US"/>
        </w:rPr>
        <w:t>z</w:t>
      </w:r>
      <w:r w:rsidR="00D33F27" w:rsidRPr="000F6BA0">
        <w:rPr>
          <w:lang w:val="en-US"/>
        </w:rPr>
        <w:t xml:space="preserve">onal </w:t>
      </w:r>
      <w:r w:rsidR="00E8445A" w:rsidRPr="000F6BA0">
        <w:rPr>
          <w:lang w:val="en-US"/>
        </w:rPr>
        <w:t>c</w:t>
      </w:r>
      <w:r w:rsidR="00D33F27" w:rsidRPr="000F6BA0">
        <w:rPr>
          <w:lang w:val="en-US"/>
        </w:rPr>
        <w:t xml:space="preserve">apacity referred to in Article </w:t>
      </w:r>
      <w:r w:rsidR="00E8445A" w:rsidRPr="000F6BA0">
        <w:rPr>
          <w:lang w:val="en-US"/>
        </w:rPr>
        <w:t>8</w:t>
      </w:r>
      <w:r w:rsidR="00D33F27" w:rsidRPr="000F6BA0">
        <w:rPr>
          <w:lang w:val="en-US"/>
        </w:rPr>
        <w:t xml:space="preserve">.1 for reasons of </w:t>
      </w:r>
      <w:r w:rsidR="00AF4BAB">
        <w:rPr>
          <w:lang w:val="en-US"/>
        </w:rPr>
        <w:t>o</w:t>
      </w:r>
      <w:r w:rsidR="00AF4BAB" w:rsidRPr="000F6BA0">
        <w:rPr>
          <w:lang w:val="en-US"/>
        </w:rPr>
        <w:t xml:space="preserve">perational </w:t>
      </w:r>
      <w:r w:rsidR="00AF4BAB">
        <w:rPr>
          <w:lang w:val="en-US"/>
        </w:rPr>
        <w:t>s</w:t>
      </w:r>
      <w:r w:rsidR="00AF4BAB" w:rsidRPr="000F6BA0">
        <w:rPr>
          <w:lang w:val="en-US"/>
        </w:rPr>
        <w:t>ecurity</w:t>
      </w:r>
      <w:r w:rsidR="00D33F27" w:rsidRPr="000F6BA0">
        <w:rPr>
          <w:lang w:val="en-US"/>
        </w:rPr>
        <w:t>.</w:t>
      </w:r>
    </w:p>
    <w:p w:rsidR="009B56C2" w:rsidRPr="000F6BA0" w:rsidRDefault="009B56C2" w:rsidP="001257F6">
      <w:pPr>
        <w:rPr>
          <w:lang w:val="en-US"/>
        </w:rPr>
      </w:pPr>
    </w:p>
    <w:p w:rsidR="00BE59B1" w:rsidRPr="000F6BA0" w:rsidRDefault="00BE59B1" w:rsidP="00371B7B">
      <w:pPr>
        <w:pStyle w:val="Heading1"/>
        <w:rPr>
          <w:lang w:val="en-US"/>
        </w:rPr>
      </w:pPr>
      <w:bookmarkStart w:id="51" w:name="_Toc10105044"/>
      <w:r w:rsidRPr="000F6BA0">
        <w:rPr>
          <w:lang w:val="en-US"/>
        </w:rPr>
        <w:lastRenderedPageBreak/>
        <w:t xml:space="preserve">Article </w:t>
      </w:r>
      <w:r w:rsidR="00222CC3" w:rsidRPr="000F6BA0">
        <w:rPr>
          <w:lang w:val="en-US"/>
        </w:rPr>
        <w:t>9</w:t>
      </w:r>
      <w:r w:rsidRPr="000F6BA0">
        <w:rPr>
          <w:lang w:val="en-US"/>
        </w:rPr>
        <w:br/>
        <w:t>Fallback procedure</w:t>
      </w:r>
      <w:bookmarkEnd w:id="51"/>
    </w:p>
    <w:p w:rsidR="00BE59B1" w:rsidRPr="000F6BA0" w:rsidRDefault="00BE59B1" w:rsidP="003B6AC1">
      <w:pPr>
        <w:rPr>
          <w:lang w:val="en-US"/>
        </w:rPr>
      </w:pPr>
      <w:r w:rsidRPr="000F6BA0">
        <w:rPr>
          <w:lang w:val="en-US"/>
        </w:rPr>
        <w:t xml:space="preserve">If </w:t>
      </w:r>
      <w:r w:rsidR="00450486" w:rsidRPr="000F6BA0">
        <w:rPr>
          <w:lang w:val="en-US"/>
        </w:rPr>
        <w:t xml:space="preserve">long-term </w:t>
      </w:r>
      <w:r w:rsidR="003B6AC1" w:rsidRPr="000F6BA0">
        <w:rPr>
          <w:lang w:val="en-US"/>
        </w:rPr>
        <w:t>c</w:t>
      </w:r>
      <w:r w:rsidRPr="000F6BA0">
        <w:rPr>
          <w:lang w:val="en-US"/>
        </w:rPr>
        <w:t>ross-</w:t>
      </w:r>
      <w:r w:rsidR="003B6AC1" w:rsidRPr="000F6BA0">
        <w:rPr>
          <w:lang w:val="en-US"/>
        </w:rPr>
        <w:t>z</w:t>
      </w:r>
      <w:r w:rsidRPr="000F6BA0">
        <w:rPr>
          <w:lang w:val="en-US"/>
        </w:rPr>
        <w:t xml:space="preserve">onal </w:t>
      </w:r>
      <w:r w:rsidR="003B6AC1" w:rsidRPr="000F6BA0">
        <w:rPr>
          <w:lang w:val="en-US"/>
        </w:rPr>
        <w:t>c</w:t>
      </w:r>
      <w:r w:rsidRPr="000F6BA0">
        <w:rPr>
          <w:lang w:val="en-US"/>
        </w:rPr>
        <w:t xml:space="preserve">apacities cannot be calculated by </w:t>
      </w:r>
      <w:r w:rsidR="00C1415E" w:rsidRPr="000F6BA0">
        <w:rPr>
          <w:lang w:val="en-US"/>
        </w:rPr>
        <w:t xml:space="preserve">CCC, the CCC </w:t>
      </w:r>
      <w:r w:rsidRPr="000F6BA0">
        <w:rPr>
          <w:lang w:val="en-US"/>
        </w:rPr>
        <w:t xml:space="preserve">informs </w:t>
      </w:r>
      <w:r w:rsidR="00586A83" w:rsidRPr="000F6BA0">
        <w:rPr>
          <w:lang w:val="en-US"/>
        </w:rPr>
        <w:t>relevant</w:t>
      </w:r>
      <w:r w:rsidRPr="000F6BA0">
        <w:rPr>
          <w:lang w:val="en-US"/>
        </w:rPr>
        <w:t xml:space="preserve"> TSOs on inability to calculate capacities</w:t>
      </w:r>
      <w:r w:rsidR="00F25A69" w:rsidRPr="000F6BA0">
        <w:rPr>
          <w:lang w:val="en-US"/>
        </w:rPr>
        <w:t>.</w:t>
      </w:r>
      <w:r w:rsidRPr="000F6BA0">
        <w:rPr>
          <w:lang w:val="en-US"/>
        </w:rPr>
        <w:t xml:space="preserve"> </w:t>
      </w:r>
      <w:r w:rsidR="00F25A69" w:rsidRPr="000F6BA0">
        <w:rPr>
          <w:lang w:val="en-US"/>
        </w:rPr>
        <w:t>T</w:t>
      </w:r>
      <w:r w:rsidRPr="000F6BA0">
        <w:rPr>
          <w:lang w:val="en-US"/>
        </w:rPr>
        <w:t>h</w:t>
      </w:r>
      <w:r w:rsidR="005270B3" w:rsidRPr="000F6BA0">
        <w:rPr>
          <w:lang w:val="en-US"/>
        </w:rPr>
        <w:t>a</w:t>
      </w:r>
      <w:r w:rsidRPr="000F6BA0">
        <w:rPr>
          <w:lang w:val="en-US"/>
        </w:rPr>
        <w:t xml:space="preserve">n </w:t>
      </w:r>
      <w:r w:rsidR="00586A83" w:rsidRPr="000F6BA0">
        <w:rPr>
          <w:lang w:val="en-US"/>
        </w:rPr>
        <w:t xml:space="preserve">relevant </w:t>
      </w:r>
      <w:r w:rsidRPr="000F6BA0">
        <w:rPr>
          <w:lang w:val="en-US"/>
        </w:rPr>
        <w:t xml:space="preserve">TSOs calculate and coordinate capacities for respective </w:t>
      </w:r>
      <w:r w:rsidR="00450486" w:rsidRPr="000F6BA0">
        <w:rPr>
          <w:lang w:val="en-US"/>
        </w:rPr>
        <w:t>c</w:t>
      </w:r>
      <w:r w:rsidRPr="000F6BA0">
        <w:rPr>
          <w:lang w:val="en-US"/>
        </w:rPr>
        <w:t>ross-</w:t>
      </w:r>
      <w:r w:rsidR="00450486" w:rsidRPr="000F6BA0">
        <w:rPr>
          <w:lang w:val="en-US"/>
        </w:rPr>
        <w:t>b</w:t>
      </w:r>
      <w:r w:rsidRPr="000F6BA0">
        <w:rPr>
          <w:lang w:val="en-US"/>
        </w:rPr>
        <w:t xml:space="preserve">order </w:t>
      </w:r>
      <w:r w:rsidR="00450486" w:rsidRPr="000F6BA0">
        <w:rPr>
          <w:lang w:val="en-US"/>
        </w:rPr>
        <w:t>i</w:t>
      </w:r>
      <w:r w:rsidRPr="000F6BA0">
        <w:rPr>
          <w:lang w:val="en-US"/>
        </w:rPr>
        <w:t xml:space="preserve">nterconnections among themselves </w:t>
      </w:r>
      <w:r w:rsidR="00F25A69" w:rsidRPr="000F6BA0">
        <w:rPr>
          <w:lang w:val="en-US"/>
        </w:rPr>
        <w:t xml:space="preserve">as set in this </w:t>
      </w:r>
      <w:r w:rsidR="00AF4BAB" w:rsidRPr="000F6BA0">
        <w:rPr>
          <w:lang w:val="en-US"/>
        </w:rPr>
        <w:t>L</w:t>
      </w:r>
      <w:r w:rsidR="00AF4BAB">
        <w:rPr>
          <w:lang w:val="en-US"/>
        </w:rPr>
        <w:t>ong-term</w:t>
      </w:r>
      <w:r w:rsidR="00AF4BAB" w:rsidRPr="000F6BA0">
        <w:rPr>
          <w:lang w:val="en-US"/>
        </w:rPr>
        <w:t xml:space="preserve"> </w:t>
      </w:r>
      <w:r w:rsidR="00F25A69" w:rsidRPr="000F6BA0">
        <w:rPr>
          <w:lang w:val="en-US"/>
        </w:rPr>
        <w:t xml:space="preserve">CCM Article </w:t>
      </w:r>
      <w:r w:rsidR="000F6BA0">
        <w:rPr>
          <w:lang w:val="en-US"/>
        </w:rPr>
        <w:t xml:space="preserve">7 </w:t>
      </w:r>
      <w:r w:rsidRPr="000F6BA0">
        <w:rPr>
          <w:lang w:val="en-US"/>
        </w:rPr>
        <w:t xml:space="preserve">and provide coordinated capacities to </w:t>
      </w:r>
      <w:r w:rsidR="00C1415E" w:rsidRPr="000F6BA0">
        <w:rPr>
          <w:lang w:val="en-US"/>
        </w:rPr>
        <w:t>CCC</w:t>
      </w:r>
      <w:r w:rsidR="00AB31EE" w:rsidRPr="000F6BA0">
        <w:rPr>
          <w:lang w:val="en-US"/>
        </w:rPr>
        <w:t>.</w:t>
      </w:r>
    </w:p>
    <w:p w:rsidR="009B56C2" w:rsidRPr="000F6BA0" w:rsidRDefault="009B56C2" w:rsidP="003B6AC1">
      <w:pPr>
        <w:rPr>
          <w:lang w:val="en-US"/>
        </w:rPr>
      </w:pPr>
    </w:p>
    <w:p w:rsidR="000657AE" w:rsidRPr="000F6BA0" w:rsidRDefault="000657AE" w:rsidP="00371B7B">
      <w:pPr>
        <w:pStyle w:val="Heading1"/>
        <w:rPr>
          <w:lang w:val="en-US"/>
        </w:rPr>
      </w:pPr>
      <w:bookmarkStart w:id="52" w:name="_Toc10105045"/>
      <w:r w:rsidRPr="000F6BA0">
        <w:rPr>
          <w:lang w:val="en-US"/>
        </w:rPr>
        <w:t>Article 1</w:t>
      </w:r>
      <w:r w:rsidR="00222CC3" w:rsidRPr="000F6BA0">
        <w:rPr>
          <w:lang w:val="en-US"/>
        </w:rPr>
        <w:t>0</w:t>
      </w:r>
      <w:r w:rsidR="00CB3D20" w:rsidRPr="000F6BA0">
        <w:rPr>
          <w:lang w:val="en-US"/>
        </w:rPr>
        <w:br/>
      </w:r>
      <w:r w:rsidRPr="000F6BA0">
        <w:rPr>
          <w:lang w:val="en-US"/>
        </w:rPr>
        <w:t>Publication of data</w:t>
      </w:r>
      <w:bookmarkEnd w:id="52"/>
    </w:p>
    <w:p w:rsidR="00FD27EE" w:rsidRPr="000F6BA0" w:rsidRDefault="000D0E0D" w:rsidP="00FD27EE">
      <w:pPr>
        <w:rPr>
          <w:lang w:val="en-US"/>
        </w:rPr>
      </w:pPr>
      <w:r w:rsidRPr="000F6BA0">
        <w:rPr>
          <w:lang w:val="en-US"/>
        </w:rPr>
        <w:t xml:space="preserve">Calculated long-term capacities </w:t>
      </w:r>
      <w:r w:rsidR="00941C8D" w:rsidRPr="000F6BA0">
        <w:rPr>
          <w:lang w:val="en-US"/>
        </w:rPr>
        <w:t>shall</w:t>
      </w:r>
      <w:r w:rsidRPr="000F6BA0">
        <w:rPr>
          <w:lang w:val="en-US"/>
        </w:rPr>
        <w:t xml:space="preserve"> be published </w:t>
      </w:r>
      <w:r w:rsidR="00105C46" w:rsidRPr="000F6BA0">
        <w:rPr>
          <w:lang w:val="en-US"/>
        </w:rPr>
        <w:t xml:space="preserve">in ENTSO-E Transparency platform as soon as available after calculations </w:t>
      </w:r>
      <w:r w:rsidR="00941C8D" w:rsidRPr="000F6BA0">
        <w:rPr>
          <w:lang w:val="en-US"/>
        </w:rPr>
        <w:t xml:space="preserve">for all Baltic CCR borders </w:t>
      </w:r>
      <w:r w:rsidRPr="000F6BA0">
        <w:rPr>
          <w:lang w:val="en-US"/>
        </w:rPr>
        <w:t>by TSOs</w:t>
      </w:r>
      <w:r w:rsidR="00941C8D" w:rsidRPr="000F6BA0">
        <w:rPr>
          <w:lang w:val="en-US"/>
        </w:rPr>
        <w:t xml:space="preserve"> or CCC of Baltic CCR </w:t>
      </w:r>
      <w:r w:rsidR="00105C46" w:rsidRPr="000F6BA0">
        <w:rPr>
          <w:lang w:val="en-US"/>
        </w:rPr>
        <w:t xml:space="preserve">but not later than foreseen </w:t>
      </w:r>
      <w:r w:rsidR="00F26B50" w:rsidRPr="000F6BA0">
        <w:rPr>
          <w:lang w:val="en-US"/>
        </w:rPr>
        <w:t>according to Article 11 of Regulation 543/2013</w:t>
      </w:r>
      <w:r w:rsidR="00105C46" w:rsidRPr="000F6BA0">
        <w:rPr>
          <w:lang w:val="en-US"/>
        </w:rPr>
        <w:t>.</w:t>
      </w:r>
    </w:p>
    <w:p w:rsidR="002631E2" w:rsidRPr="000F6BA0" w:rsidRDefault="00C341DF" w:rsidP="002631E2">
      <w:pPr>
        <w:rPr>
          <w:lang w:val="en-US"/>
        </w:rPr>
      </w:pPr>
      <w:r w:rsidRPr="000F6BA0">
        <w:rPr>
          <w:lang w:val="en-US"/>
        </w:rPr>
        <w:t>Long-term c</w:t>
      </w:r>
      <w:r w:rsidR="00FD27EE" w:rsidRPr="000F6BA0">
        <w:rPr>
          <w:lang w:val="en-US"/>
        </w:rPr>
        <w:t xml:space="preserve">apacities </w:t>
      </w:r>
      <w:r w:rsidRPr="000F6BA0">
        <w:rPr>
          <w:lang w:val="en-US"/>
        </w:rPr>
        <w:t xml:space="preserve">calculated according to this methodology </w:t>
      </w:r>
      <w:r w:rsidR="00B434BE" w:rsidRPr="000F6BA0">
        <w:rPr>
          <w:lang w:val="en-US"/>
        </w:rPr>
        <w:t xml:space="preserve">and published at ENTSO-E Transparency Platform </w:t>
      </w:r>
      <w:r w:rsidR="007317BB" w:rsidRPr="000F6BA0">
        <w:rPr>
          <w:lang w:val="en-US"/>
        </w:rPr>
        <w:t>can be</w:t>
      </w:r>
      <w:r w:rsidR="001929A0" w:rsidRPr="000F6BA0">
        <w:rPr>
          <w:lang w:val="en-US"/>
        </w:rPr>
        <w:t xml:space="preserve"> updated</w:t>
      </w:r>
      <w:r w:rsidR="004A5F0C" w:rsidRPr="000F6BA0">
        <w:rPr>
          <w:lang w:val="en-US"/>
        </w:rPr>
        <w:t xml:space="preserve"> </w:t>
      </w:r>
      <w:r w:rsidR="00717C6B" w:rsidRPr="000F6BA0">
        <w:rPr>
          <w:lang w:val="en-US"/>
        </w:rPr>
        <w:t xml:space="preserve">at any time before, during and/or </w:t>
      </w:r>
      <w:r w:rsidR="004A5F0C" w:rsidRPr="000F6BA0">
        <w:rPr>
          <w:lang w:val="en-US"/>
        </w:rPr>
        <w:t>after</w:t>
      </w:r>
      <w:r w:rsidR="004D111E" w:rsidRPr="000F6BA0">
        <w:rPr>
          <w:lang w:val="en-US"/>
        </w:rPr>
        <w:t xml:space="preserve"> </w:t>
      </w:r>
      <w:r w:rsidR="00AF4BAB">
        <w:rPr>
          <w:lang w:val="en-US"/>
        </w:rPr>
        <w:t>long term transmission rights</w:t>
      </w:r>
      <w:r w:rsidR="00AF4BAB" w:rsidRPr="000F6BA0">
        <w:rPr>
          <w:lang w:val="en-US"/>
        </w:rPr>
        <w:t xml:space="preserve"> </w:t>
      </w:r>
      <w:r w:rsidR="007317BB" w:rsidRPr="000F6BA0">
        <w:rPr>
          <w:lang w:val="en-US"/>
        </w:rPr>
        <w:t>auction</w:t>
      </w:r>
      <w:r w:rsidR="004D111E" w:rsidRPr="000F6BA0">
        <w:rPr>
          <w:lang w:val="en-US"/>
        </w:rPr>
        <w:t>s in case of changes of input data used in calculations (</w:t>
      </w:r>
      <w:r w:rsidR="00B434BE" w:rsidRPr="000F6BA0">
        <w:rPr>
          <w:lang w:val="en-US"/>
        </w:rPr>
        <w:t xml:space="preserve">update of calculation input preliminary data </w:t>
      </w:r>
      <w:r w:rsidR="004D111E" w:rsidRPr="000F6BA0">
        <w:rPr>
          <w:lang w:val="en-US"/>
        </w:rPr>
        <w:t>e.g. transmission infrastructure outage plans)</w:t>
      </w:r>
      <w:r w:rsidR="004A5F0C" w:rsidRPr="000F6BA0">
        <w:rPr>
          <w:lang w:val="en-US"/>
        </w:rPr>
        <w:t>.</w:t>
      </w:r>
      <w:r w:rsidR="00FD27EE" w:rsidRPr="000F6BA0">
        <w:rPr>
          <w:lang w:val="en-US"/>
        </w:rPr>
        <w:t xml:space="preserve"> </w:t>
      </w:r>
    </w:p>
    <w:p w:rsidR="00FD27EE" w:rsidRPr="000F6BA0" w:rsidRDefault="00FD27EE" w:rsidP="00FD27EE">
      <w:pPr>
        <w:rPr>
          <w:lang w:val="en-US"/>
        </w:rPr>
      </w:pPr>
    </w:p>
    <w:p w:rsidR="003D52DD" w:rsidRPr="000F6BA0" w:rsidRDefault="00BE59B1" w:rsidP="00371B7B">
      <w:pPr>
        <w:pStyle w:val="Heading1"/>
        <w:rPr>
          <w:lang w:val="en-US"/>
        </w:rPr>
      </w:pPr>
      <w:bookmarkStart w:id="53" w:name="_Toc10105046"/>
      <w:r w:rsidRPr="000F6BA0">
        <w:rPr>
          <w:lang w:val="en-US"/>
        </w:rPr>
        <w:t xml:space="preserve">Article </w:t>
      </w:r>
      <w:r w:rsidR="00D33F27" w:rsidRPr="000F6BA0">
        <w:rPr>
          <w:lang w:val="en-US"/>
        </w:rPr>
        <w:t>1</w:t>
      </w:r>
      <w:r w:rsidR="00222CC3" w:rsidRPr="000F6BA0">
        <w:rPr>
          <w:lang w:val="en-US"/>
        </w:rPr>
        <w:t>1</w:t>
      </w:r>
      <w:r w:rsidR="003D52DD" w:rsidRPr="000F6BA0">
        <w:rPr>
          <w:lang w:val="en-US"/>
        </w:rPr>
        <w:br/>
      </w:r>
      <w:bookmarkEnd w:id="43"/>
      <w:bookmarkEnd w:id="44"/>
      <w:bookmarkEnd w:id="45"/>
      <w:bookmarkEnd w:id="46"/>
      <w:bookmarkEnd w:id="47"/>
      <w:bookmarkEnd w:id="48"/>
      <w:r w:rsidR="00B50795" w:rsidRPr="000F6BA0">
        <w:rPr>
          <w:lang w:val="en-US"/>
        </w:rPr>
        <w:t>I</w:t>
      </w:r>
      <w:r w:rsidR="003D52DD" w:rsidRPr="000F6BA0">
        <w:rPr>
          <w:lang w:val="en-US"/>
        </w:rPr>
        <w:t xml:space="preserve">mplementation of the </w:t>
      </w:r>
      <w:bookmarkEnd w:id="49"/>
      <w:r w:rsidR="00285B9D" w:rsidRPr="000F6BA0">
        <w:rPr>
          <w:lang w:val="en-US"/>
        </w:rPr>
        <w:t xml:space="preserve">Long-term </w:t>
      </w:r>
      <w:r w:rsidR="00B84D55" w:rsidRPr="000F6BA0">
        <w:rPr>
          <w:lang w:val="en-US"/>
        </w:rPr>
        <w:t>CCM</w:t>
      </w:r>
      <w:bookmarkEnd w:id="53"/>
    </w:p>
    <w:p w:rsidR="00121D9D" w:rsidRPr="000F6BA0" w:rsidRDefault="003D52DD" w:rsidP="00121D9D">
      <w:pPr>
        <w:rPr>
          <w:lang w:val="en-US"/>
        </w:rPr>
      </w:pPr>
      <w:r w:rsidRPr="000F6BA0">
        <w:rPr>
          <w:lang w:val="en-US"/>
        </w:rPr>
        <w:t xml:space="preserve">The TSOs shall </w:t>
      </w:r>
      <w:r w:rsidR="00121D9D" w:rsidRPr="000F6BA0">
        <w:rPr>
          <w:lang w:val="en-US"/>
        </w:rPr>
        <w:t xml:space="preserve">be ready to </w:t>
      </w:r>
      <w:r w:rsidR="00B50795" w:rsidRPr="000F6BA0">
        <w:rPr>
          <w:lang w:val="en-US"/>
        </w:rPr>
        <w:t>implement</w:t>
      </w:r>
      <w:r w:rsidRPr="000F6BA0">
        <w:rPr>
          <w:lang w:val="en-US"/>
        </w:rPr>
        <w:t xml:space="preserve"> </w:t>
      </w:r>
      <w:r w:rsidR="00E14356" w:rsidRPr="000F6BA0">
        <w:rPr>
          <w:lang w:val="en-US"/>
        </w:rPr>
        <w:t>th</w:t>
      </w:r>
      <w:r w:rsidR="00B50795" w:rsidRPr="000F6BA0">
        <w:rPr>
          <w:lang w:val="en-US"/>
        </w:rPr>
        <w:t>is</w:t>
      </w:r>
      <w:r w:rsidR="0086621E" w:rsidRPr="000F6BA0">
        <w:rPr>
          <w:lang w:val="en-US"/>
        </w:rPr>
        <w:t xml:space="preserve"> </w:t>
      </w:r>
      <w:r w:rsidR="00285B9D" w:rsidRPr="000F6BA0">
        <w:rPr>
          <w:lang w:val="en-US"/>
        </w:rPr>
        <w:t xml:space="preserve">Long-term </w:t>
      </w:r>
      <w:r w:rsidR="00FA7434" w:rsidRPr="000F6BA0">
        <w:rPr>
          <w:lang w:val="en-US"/>
        </w:rPr>
        <w:t xml:space="preserve">CCM </w:t>
      </w:r>
      <w:r w:rsidR="000567B6" w:rsidRPr="000F6BA0">
        <w:rPr>
          <w:lang w:val="en-US"/>
        </w:rPr>
        <w:t>with</w:t>
      </w:r>
      <w:r w:rsidR="00874634" w:rsidRPr="000F6BA0">
        <w:rPr>
          <w:lang w:val="en-US"/>
        </w:rPr>
        <w:t xml:space="preserve">in </w:t>
      </w:r>
      <w:r w:rsidR="00485B2A" w:rsidRPr="000F6BA0">
        <w:rPr>
          <w:lang w:val="en-US"/>
        </w:rPr>
        <w:t xml:space="preserve">3 </w:t>
      </w:r>
      <w:r w:rsidR="00E14356" w:rsidRPr="000F6BA0">
        <w:rPr>
          <w:lang w:val="en-US"/>
        </w:rPr>
        <w:t>months</w:t>
      </w:r>
      <w:r w:rsidR="000154C9" w:rsidRPr="000F6BA0">
        <w:rPr>
          <w:lang w:val="en-US"/>
        </w:rPr>
        <w:t xml:space="preserve"> after</w:t>
      </w:r>
      <w:r w:rsidR="00E14356" w:rsidRPr="000F6BA0">
        <w:rPr>
          <w:lang w:val="en-US"/>
        </w:rPr>
        <w:t xml:space="preserve"> </w:t>
      </w:r>
      <w:r w:rsidR="00AF4BAB" w:rsidRPr="00AF4BAB">
        <w:rPr>
          <w:lang w:val="en-US"/>
        </w:rPr>
        <w:t>national regulatory authorities</w:t>
      </w:r>
      <w:r w:rsidR="0041783D" w:rsidRPr="000F6BA0">
        <w:rPr>
          <w:lang w:val="en-US"/>
        </w:rPr>
        <w:t xml:space="preserve"> approv</w:t>
      </w:r>
      <w:r w:rsidR="00805A3C" w:rsidRPr="000F6BA0">
        <w:rPr>
          <w:lang w:val="en-US"/>
        </w:rPr>
        <w:t>al</w:t>
      </w:r>
      <w:r w:rsidR="0041783D" w:rsidRPr="000F6BA0">
        <w:rPr>
          <w:lang w:val="en-US"/>
        </w:rPr>
        <w:t xml:space="preserve"> </w:t>
      </w:r>
      <w:r w:rsidR="00805A3C" w:rsidRPr="000F6BA0">
        <w:rPr>
          <w:lang w:val="en-US"/>
        </w:rPr>
        <w:t xml:space="preserve">of </w:t>
      </w:r>
      <w:r w:rsidR="0041783D" w:rsidRPr="000F6BA0">
        <w:rPr>
          <w:lang w:val="en-US"/>
        </w:rPr>
        <w:t xml:space="preserve">the </w:t>
      </w:r>
      <w:r w:rsidR="00285B9D" w:rsidRPr="000F6BA0">
        <w:rPr>
          <w:lang w:val="en-US"/>
        </w:rPr>
        <w:t xml:space="preserve">Long-term </w:t>
      </w:r>
      <w:r w:rsidR="000154C9" w:rsidRPr="000F6BA0">
        <w:rPr>
          <w:lang w:val="en-US"/>
        </w:rPr>
        <w:t>CCM</w:t>
      </w:r>
      <w:r w:rsidR="0041783D" w:rsidRPr="000F6BA0">
        <w:rPr>
          <w:lang w:val="en-US"/>
        </w:rPr>
        <w:t xml:space="preserve"> </w:t>
      </w:r>
      <w:r w:rsidR="000C6DBF" w:rsidRPr="000F6BA0">
        <w:rPr>
          <w:lang w:val="en-US"/>
        </w:rPr>
        <w:t xml:space="preserve">within the Baltic CCR </w:t>
      </w:r>
      <w:r w:rsidRPr="000F6BA0">
        <w:rPr>
          <w:lang w:val="en-US"/>
        </w:rPr>
        <w:t xml:space="preserve">or a decision has been taken by the Agency for the Cooperation of Energy Regulators in accordance with Article </w:t>
      </w:r>
      <w:r w:rsidR="004E50E1" w:rsidRPr="000F6BA0">
        <w:rPr>
          <w:lang w:val="en-US"/>
        </w:rPr>
        <w:t>4</w:t>
      </w:r>
      <w:r w:rsidRPr="000F6BA0">
        <w:rPr>
          <w:lang w:val="en-US"/>
        </w:rPr>
        <w:t>(</w:t>
      </w:r>
      <w:r w:rsidR="004E50E1" w:rsidRPr="000F6BA0">
        <w:rPr>
          <w:lang w:val="en-US"/>
        </w:rPr>
        <w:t>4</w:t>
      </w:r>
      <w:r w:rsidRPr="000F6BA0">
        <w:rPr>
          <w:lang w:val="en-US"/>
        </w:rPr>
        <w:t xml:space="preserve">) </w:t>
      </w:r>
      <w:r w:rsidR="00C603D4" w:rsidRPr="000F6BA0">
        <w:rPr>
          <w:lang w:val="en-US"/>
        </w:rPr>
        <w:t>and/or Article 4(10)</w:t>
      </w:r>
      <w:r w:rsidR="00B51510" w:rsidRPr="000F6BA0">
        <w:rPr>
          <w:lang w:val="en-US"/>
        </w:rPr>
        <w:t xml:space="preserve"> and/or Article 4(11) </w:t>
      </w:r>
      <w:r w:rsidRPr="000F6BA0">
        <w:rPr>
          <w:lang w:val="en-US"/>
        </w:rPr>
        <w:t xml:space="preserve">of the </w:t>
      </w:r>
      <w:r w:rsidR="004E50E1" w:rsidRPr="000F6BA0">
        <w:rPr>
          <w:lang w:val="en-US"/>
        </w:rPr>
        <w:t>FCA</w:t>
      </w:r>
      <w:r w:rsidRPr="000F6BA0">
        <w:rPr>
          <w:lang w:val="en-US"/>
        </w:rPr>
        <w:t xml:space="preserve"> Regulation</w:t>
      </w:r>
      <w:r w:rsidR="00121D9D" w:rsidRPr="000F6BA0">
        <w:rPr>
          <w:lang w:val="en-US"/>
        </w:rPr>
        <w:t>.</w:t>
      </w:r>
    </w:p>
    <w:p w:rsidR="0086621E" w:rsidRPr="000F6BA0" w:rsidRDefault="00121D9D" w:rsidP="000248FB">
      <w:pPr>
        <w:pStyle w:val="Default"/>
        <w:jc w:val="both"/>
        <w:rPr>
          <w:color w:val="FF0000"/>
          <w:sz w:val="22"/>
          <w:lang w:val="en-US"/>
        </w:rPr>
      </w:pPr>
      <w:r w:rsidRPr="000F6BA0">
        <w:rPr>
          <w:lang w:val="en-US"/>
        </w:rPr>
        <w:t>This Long-term CCM shall be implemented together with implementation of the Baltic CCR TSOs’ Common Methodology for Splitting Long-Term Cross-Zonal Capacity in Accordance with Article 16 of FCA.</w:t>
      </w:r>
    </w:p>
    <w:p w:rsidR="003D52DD" w:rsidRPr="000F6BA0" w:rsidRDefault="003D52DD" w:rsidP="00371B7B">
      <w:pPr>
        <w:pStyle w:val="Heading1"/>
        <w:rPr>
          <w:lang w:val="en-US"/>
        </w:rPr>
      </w:pPr>
      <w:bookmarkStart w:id="54" w:name="_Toc432586786"/>
      <w:bookmarkStart w:id="55" w:name="_Toc432586806"/>
      <w:bookmarkStart w:id="56" w:name="_Toc464485821"/>
      <w:bookmarkStart w:id="57" w:name="_Toc10105047"/>
      <w:r w:rsidRPr="000F6BA0">
        <w:rPr>
          <w:lang w:val="en-US"/>
        </w:rPr>
        <w:t xml:space="preserve">Article </w:t>
      </w:r>
      <w:r w:rsidR="00D33F27" w:rsidRPr="000F6BA0">
        <w:rPr>
          <w:lang w:val="en-US"/>
        </w:rPr>
        <w:t>1</w:t>
      </w:r>
      <w:r w:rsidR="00222CC3" w:rsidRPr="000F6BA0">
        <w:rPr>
          <w:lang w:val="en-US"/>
        </w:rPr>
        <w:t>2</w:t>
      </w:r>
      <w:r w:rsidRPr="000F6BA0">
        <w:rPr>
          <w:lang w:val="en-US"/>
        </w:rPr>
        <w:br/>
        <w:t>Language</w:t>
      </w:r>
      <w:bookmarkEnd w:id="54"/>
      <w:bookmarkEnd w:id="55"/>
      <w:bookmarkEnd w:id="56"/>
      <w:bookmarkEnd w:id="57"/>
    </w:p>
    <w:p w:rsidR="00622B7B" w:rsidRPr="000F6BA0" w:rsidRDefault="003D52DD" w:rsidP="008B00B7">
      <w:pPr>
        <w:rPr>
          <w:lang w:val="en-US"/>
        </w:rPr>
      </w:pPr>
      <w:r w:rsidRPr="000F6BA0">
        <w:rPr>
          <w:lang w:val="en-US"/>
        </w:rPr>
        <w:t xml:space="preserve">The reference language for this </w:t>
      </w:r>
      <w:r w:rsidR="00285B9D" w:rsidRPr="000F6BA0">
        <w:rPr>
          <w:lang w:val="en-US"/>
        </w:rPr>
        <w:t xml:space="preserve">Long-term </w:t>
      </w:r>
      <w:r w:rsidR="000D6189" w:rsidRPr="000F6BA0">
        <w:rPr>
          <w:lang w:val="en-US"/>
        </w:rPr>
        <w:t>CCM</w:t>
      </w:r>
      <w:r w:rsidRPr="000F6BA0">
        <w:rPr>
          <w:lang w:val="en-US"/>
        </w:rPr>
        <w:t xml:space="preserve"> shall be English. For the avoidance of doubt, where TSOs need to translate this</w:t>
      </w:r>
      <w:r w:rsidR="00861CD4" w:rsidRPr="000F6BA0">
        <w:rPr>
          <w:lang w:val="en-US"/>
        </w:rPr>
        <w:t xml:space="preserve"> </w:t>
      </w:r>
      <w:r w:rsidR="00285B9D" w:rsidRPr="000F6BA0">
        <w:rPr>
          <w:lang w:val="en-US"/>
        </w:rPr>
        <w:t xml:space="preserve">Long-term </w:t>
      </w:r>
      <w:r w:rsidR="000D6189" w:rsidRPr="000F6BA0">
        <w:rPr>
          <w:lang w:val="en-US"/>
        </w:rPr>
        <w:t xml:space="preserve">CCM </w:t>
      </w:r>
      <w:r w:rsidRPr="000F6BA0">
        <w:rPr>
          <w:lang w:val="en-US"/>
        </w:rPr>
        <w:t>into their national language(s), in the event of inconsistencies between the English version published by TSOs in accordance with Article</w:t>
      </w:r>
      <w:r w:rsidR="00173A81" w:rsidRPr="000F6BA0">
        <w:rPr>
          <w:lang w:val="en-US"/>
        </w:rPr>
        <w:t> </w:t>
      </w:r>
      <w:r w:rsidR="002C769D" w:rsidRPr="000F6BA0">
        <w:rPr>
          <w:lang w:val="en-US"/>
        </w:rPr>
        <w:t>4</w:t>
      </w:r>
      <w:r w:rsidRPr="000F6BA0">
        <w:rPr>
          <w:lang w:val="en-US"/>
        </w:rPr>
        <w:t>(1</w:t>
      </w:r>
      <w:r w:rsidR="002C769D" w:rsidRPr="000F6BA0">
        <w:rPr>
          <w:lang w:val="en-US"/>
        </w:rPr>
        <w:t>3</w:t>
      </w:r>
      <w:r w:rsidRPr="000F6BA0">
        <w:rPr>
          <w:lang w:val="en-US"/>
        </w:rPr>
        <w:t xml:space="preserve">) of the </w:t>
      </w:r>
      <w:r w:rsidR="002C769D" w:rsidRPr="000F6BA0">
        <w:rPr>
          <w:lang w:val="en-US"/>
        </w:rPr>
        <w:t xml:space="preserve">FCA </w:t>
      </w:r>
      <w:r w:rsidRPr="000F6BA0">
        <w:rPr>
          <w:lang w:val="en-US"/>
        </w:rPr>
        <w:t xml:space="preserve">Regulation and any version in another language, the relevant TSOs shall, in accordance with national legislation, provide the relevant national regulatory authorities with an updated translation of the </w:t>
      </w:r>
      <w:bookmarkEnd w:id="50"/>
      <w:r w:rsidR="00285B9D" w:rsidRPr="000F6BA0">
        <w:rPr>
          <w:lang w:val="en-US"/>
        </w:rPr>
        <w:t xml:space="preserve">Long-term </w:t>
      </w:r>
      <w:r w:rsidR="000D6189" w:rsidRPr="000F6BA0">
        <w:rPr>
          <w:lang w:val="en-US"/>
        </w:rPr>
        <w:t>CCM</w:t>
      </w:r>
      <w:r w:rsidR="00514E3D" w:rsidRPr="000F6BA0">
        <w:rPr>
          <w:lang w:val="en-US"/>
        </w:rPr>
        <w:t>.</w:t>
      </w:r>
    </w:p>
    <w:sectPr w:rsidR="00622B7B" w:rsidRPr="000F6BA0" w:rsidSect="0033701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113" w:rsidRDefault="00EE0113" w:rsidP="002E09F9">
      <w:r>
        <w:separator/>
      </w:r>
    </w:p>
    <w:p w:rsidR="00EE0113" w:rsidRDefault="00EE0113"/>
  </w:endnote>
  <w:endnote w:type="continuationSeparator" w:id="0">
    <w:p w:rsidR="00EE0113" w:rsidRDefault="00EE0113" w:rsidP="002E09F9">
      <w:r>
        <w:continuationSeparator/>
      </w:r>
    </w:p>
    <w:p w:rsidR="00EE0113" w:rsidRDefault="00EE0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359237"/>
      <w:docPartObj>
        <w:docPartGallery w:val="Page Numbers (Bottom of Page)"/>
        <w:docPartUnique/>
      </w:docPartObj>
    </w:sdtPr>
    <w:sdtEndPr/>
    <w:sdtContent>
      <w:p w:rsidR="008713B1" w:rsidRDefault="008713B1">
        <w:pPr>
          <w:pStyle w:val="Footer"/>
          <w:jc w:val="right"/>
        </w:pPr>
        <w:r>
          <w:fldChar w:fldCharType="begin"/>
        </w:r>
        <w:r>
          <w:instrText>PAGE   \* MERGEFORMAT</w:instrText>
        </w:r>
        <w:r>
          <w:fldChar w:fldCharType="separate"/>
        </w:r>
        <w:r w:rsidR="00EA4E53" w:rsidRPr="00EA4E53">
          <w:rPr>
            <w:noProof/>
            <w:lang w:val="pl-PL"/>
          </w:rPr>
          <w:t>6</w:t>
        </w:r>
        <w:r>
          <w:fldChar w:fldCharType="end"/>
        </w:r>
      </w:p>
    </w:sdtContent>
  </w:sdt>
  <w:p w:rsidR="008713B1" w:rsidRDefault="008713B1">
    <w:pPr>
      <w:pStyle w:val="Footer"/>
    </w:pPr>
  </w:p>
  <w:p w:rsidR="008713B1" w:rsidRDefault="008713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113" w:rsidRDefault="00EE0113" w:rsidP="002E09F9">
      <w:r>
        <w:separator/>
      </w:r>
    </w:p>
    <w:p w:rsidR="00EE0113" w:rsidRDefault="00EE0113"/>
  </w:footnote>
  <w:footnote w:type="continuationSeparator" w:id="0">
    <w:p w:rsidR="00EE0113" w:rsidRDefault="00EE0113" w:rsidP="002E09F9">
      <w:r>
        <w:continuationSeparator/>
      </w:r>
    </w:p>
    <w:p w:rsidR="00EE0113" w:rsidRDefault="00EE01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4E1"/>
    <w:multiLevelType w:val="hybridMultilevel"/>
    <w:tmpl w:val="CA6287C4"/>
    <w:lvl w:ilvl="0" w:tplc="B31CB8DE">
      <w:start w:val="2"/>
      <w:numFmt w:val="bullet"/>
      <w:lvlText w:val="-"/>
      <w:lvlJc w:val="left"/>
      <w:pPr>
        <w:ind w:left="1068" w:hanging="360"/>
      </w:pPr>
      <w:rPr>
        <w:rFonts w:ascii="Calibri" w:eastAsiaTheme="minorHAnsi" w:hAnsi="Calibri" w:cs="Calibri" w:hint="default"/>
        <w:b w:val="0"/>
      </w:rPr>
    </w:lvl>
    <w:lvl w:ilvl="1" w:tplc="6DEEA86A">
      <w:start w:val="1"/>
      <w:numFmt w:val="lowerLetter"/>
      <w:lvlText w:val="%2."/>
      <w:lvlJc w:val="left"/>
      <w:pPr>
        <w:ind w:left="1788" w:hanging="360"/>
      </w:pPr>
      <w:rPr>
        <w:b w:val="0"/>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6DE169C"/>
    <w:multiLevelType w:val="hybridMultilevel"/>
    <w:tmpl w:val="39A00E90"/>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7E6333F"/>
    <w:multiLevelType w:val="hybridMultilevel"/>
    <w:tmpl w:val="ADC4E7F0"/>
    <w:lvl w:ilvl="0" w:tplc="04070019">
      <w:start w:val="1"/>
      <w:numFmt w:val="lowerLetter"/>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3" w15:restartNumberingAfterBreak="0">
    <w:nsid w:val="0CB402E2"/>
    <w:multiLevelType w:val="hybridMultilevel"/>
    <w:tmpl w:val="765C4CF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15:restartNumberingAfterBreak="0">
    <w:nsid w:val="102A6098"/>
    <w:multiLevelType w:val="hybridMultilevel"/>
    <w:tmpl w:val="3CEA2708"/>
    <w:lvl w:ilvl="0" w:tplc="CB481F1E">
      <w:start w:val="1"/>
      <w:numFmt w:val="decimal"/>
      <w:lvlText w:val="(%1)"/>
      <w:lvlJc w:val="left"/>
      <w:pPr>
        <w:ind w:left="1068" w:hanging="360"/>
      </w:pPr>
      <w:rPr>
        <w:rFonts w:hint="default"/>
        <w:b w:val="0"/>
      </w:rPr>
    </w:lvl>
    <w:lvl w:ilvl="1" w:tplc="6DEEA86A">
      <w:start w:val="1"/>
      <w:numFmt w:val="lowerLetter"/>
      <w:lvlText w:val="%2."/>
      <w:lvlJc w:val="left"/>
      <w:pPr>
        <w:ind w:left="1788" w:hanging="360"/>
      </w:pPr>
      <w:rPr>
        <w:b w:val="0"/>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13D1748"/>
    <w:multiLevelType w:val="hybridMultilevel"/>
    <w:tmpl w:val="90384EC8"/>
    <w:lvl w:ilvl="0" w:tplc="04546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70CF3"/>
    <w:multiLevelType w:val="hybridMultilevel"/>
    <w:tmpl w:val="0ECAB7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D6E1C"/>
    <w:multiLevelType w:val="hybridMultilevel"/>
    <w:tmpl w:val="7722D356"/>
    <w:lvl w:ilvl="0" w:tplc="76E0F2F0">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13B41A37"/>
    <w:multiLevelType w:val="hybridMultilevel"/>
    <w:tmpl w:val="E1CE4336"/>
    <w:lvl w:ilvl="0" w:tplc="0AF23210">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93A698A"/>
    <w:multiLevelType w:val="hybridMultilevel"/>
    <w:tmpl w:val="FF54BD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A503605"/>
    <w:multiLevelType w:val="hybridMultilevel"/>
    <w:tmpl w:val="4E22E56C"/>
    <w:lvl w:ilvl="0" w:tplc="04260017">
      <w:start w:val="1"/>
      <w:numFmt w:val="lowerLetter"/>
      <w:lvlText w:val="%1)"/>
      <w:lvlJc w:val="left"/>
      <w:pPr>
        <w:ind w:left="1644" w:hanging="360"/>
      </w:pPr>
    </w:lvl>
    <w:lvl w:ilvl="1" w:tplc="04260019" w:tentative="1">
      <w:start w:val="1"/>
      <w:numFmt w:val="lowerLetter"/>
      <w:lvlText w:val="%2."/>
      <w:lvlJc w:val="left"/>
      <w:pPr>
        <w:ind w:left="2364" w:hanging="360"/>
      </w:pPr>
    </w:lvl>
    <w:lvl w:ilvl="2" w:tplc="0426001B" w:tentative="1">
      <w:start w:val="1"/>
      <w:numFmt w:val="lowerRoman"/>
      <w:lvlText w:val="%3."/>
      <w:lvlJc w:val="right"/>
      <w:pPr>
        <w:ind w:left="3084" w:hanging="180"/>
      </w:pPr>
    </w:lvl>
    <w:lvl w:ilvl="3" w:tplc="0426000F" w:tentative="1">
      <w:start w:val="1"/>
      <w:numFmt w:val="decimal"/>
      <w:lvlText w:val="%4."/>
      <w:lvlJc w:val="left"/>
      <w:pPr>
        <w:ind w:left="3804" w:hanging="360"/>
      </w:pPr>
    </w:lvl>
    <w:lvl w:ilvl="4" w:tplc="04260019" w:tentative="1">
      <w:start w:val="1"/>
      <w:numFmt w:val="lowerLetter"/>
      <w:lvlText w:val="%5."/>
      <w:lvlJc w:val="left"/>
      <w:pPr>
        <w:ind w:left="4524" w:hanging="360"/>
      </w:pPr>
    </w:lvl>
    <w:lvl w:ilvl="5" w:tplc="0426001B" w:tentative="1">
      <w:start w:val="1"/>
      <w:numFmt w:val="lowerRoman"/>
      <w:lvlText w:val="%6."/>
      <w:lvlJc w:val="right"/>
      <w:pPr>
        <w:ind w:left="5244" w:hanging="180"/>
      </w:pPr>
    </w:lvl>
    <w:lvl w:ilvl="6" w:tplc="0426000F" w:tentative="1">
      <w:start w:val="1"/>
      <w:numFmt w:val="decimal"/>
      <w:lvlText w:val="%7."/>
      <w:lvlJc w:val="left"/>
      <w:pPr>
        <w:ind w:left="5964" w:hanging="360"/>
      </w:pPr>
    </w:lvl>
    <w:lvl w:ilvl="7" w:tplc="04260019" w:tentative="1">
      <w:start w:val="1"/>
      <w:numFmt w:val="lowerLetter"/>
      <w:lvlText w:val="%8."/>
      <w:lvlJc w:val="left"/>
      <w:pPr>
        <w:ind w:left="6684" w:hanging="360"/>
      </w:pPr>
    </w:lvl>
    <w:lvl w:ilvl="8" w:tplc="0426001B" w:tentative="1">
      <w:start w:val="1"/>
      <w:numFmt w:val="lowerRoman"/>
      <w:lvlText w:val="%9."/>
      <w:lvlJc w:val="right"/>
      <w:pPr>
        <w:ind w:left="7404" w:hanging="180"/>
      </w:pPr>
    </w:lvl>
  </w:abstractNum>
  <w:abstractNum w:abstractNumId="11" w15:restartNumberingAfterBreak="0">
    <w:nsid w:val="1C523D38"/>
    <w:multiLevelType w:val="multilevel"/>
    <w:tmpl w:val="D6C4BDF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D41E55"/>
    <w:multiLevelType w:val="hybridMultilevel"/>
    <w:tmpl w:val="486854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453CD0"/>
    <w:multiLevelType w:val="hybridMultilevel"/>
    <w:tmpl w:val="A894A9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9862AF"/>
    <w:multiLevelType w:val="hybridMultilevel"/>
    <w:tmpl w:val="195406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F57636B"/>
    <w:multiLevelType w:val="hybridMultilevel"/>
    <w:tmpl w:val="B8E4A942"/>
    <w:lvl w:ilvl="0" w:tplc="CB481F1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F45CA0"/>
    <w:multiLevelType w:val="multilevel"/>
    <w:tmpl w:val="3A5C3BC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62513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FD5A07"/>
    <w:multiLevelType w:val="hybridMultilevel"/>
    <w:tmpl w:val="567C2FEA"/>
    <w:lvl w:ilvl="0" w:tplc="04070019">
      <w:start w:val="1"/>
      <w:numFmt w:val="lowerLetter"/>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19" w15:restartNumberingAfterBreak="0">
    <w:nsid w:val="38083856"/>
    <w:multiLevelType w:val="hybridMultilevel"/>
    <w:tmpl w:val="F46EA4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3E475E87"/>
    <w:multiLevelType w:val="hybridMultilevel"/>
    <w:tmpl w:val="6E760EBC"/>
    <w:lvl w:ilvl="0" w:tplc="9036F490">
      <w:start w:val="1"/>
      <w:numFmt w:val="decimal"/>
      <w:lvlText w:val="%1."/>
      <w:lvlJc w:val="left"/>
      <w:pPr>
        <w:ind w:left="1440" w:hanging="360"/>
      </w:pPr>
      <w:rPr>
        <w:rFonts w:ascii="Arial" w:hAnsi="Arial" w:hint="default"/>
        <w:sz w:val="22"/>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3F015B46"/>
    <w:multiLevelType w:val="hybridMultilevel"/>
    <w:tmpl w:val="6FCE92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4681087"/>
    <w:multiLevelType w:val="hybridMultilevel"/>
    <w:tmpl w:val="8196DE5E"/>
    <w:lvl w:ilvl="0" w:tplc="EBE8BB22">
      <w:start w:val="1"/>
      <w:numFmt w:val="decimal"/>
      <w:pStyle w:val="HeadingforCross-zone"/>
      <w:lvlText w:val="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53B333F"/>
    <w:multiLevelType w:val="hybridMultilevel"/>
    <w:tmpl w:val="67A0F97E"/>
    <w:lvl w:ilvl="0" w:tplc="C80C03D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02A2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9E761AB"/>
    <w:multiLevelType w:val="hybridMultilevel"/>
    <w:tmpl w:val="49E66A6E"/>
    <w:lvl w:ilvl="0" w:tplc="B31CB8DE">
      <w:start w:val="2"/>
      <w:numFmt w:val="bullet"/>
      <w:lvlText w:val="-"/>
      <w:lvlJc w:val="left"/>
      <w:pPr>
        <w:ind w:left="720" w:hanging="360"/>
      </w:pPr>
      <w:rPr>
        <w:rFonts w:ascii="Calibri" w:eastAsiaTheme="minorHAnsi" w:hAnsi="Calibri" w:cs="Calibri"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83E1268"/>
    <w:multiLevelType w:val="multilevel"/>
    <w:tmpl w:val="9B78F7A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5C3946AC"/>
    <w:multiLevelType w:val="multilevel"/>
    <w:tmpl w:val="08F033E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1A5E46"/>
    <w:multiLevelType w:val="hybridMultilevel"/>
    <w:tmpl w:val="4E22E56C"/>
    <w:lvl w:ilvl="0" w:tplc="04260017">
      <w:start w:val="1"/>
      <w:numFmt w:val="lowerLetter"/>
      <w:lvlText w:val="%1)"/>
      <w:lvlJc w:val="left"/>
      <w:pPr>
        <w:ind w:left="1644" w:hanging="360"/>
      </w:pPr>
    </w:lvl>
    <w:lvl w:ilvl="1" w:tplc="04260019" w:tentative="1">
      <w:start w:val="1"/>
      <w:numFmt w:val="lowerLetter"/>
      <w:lvlText w:val="%2."/>
      <w:lvlJc w:val="left"/>
      <w:pPr>
        <w:ind w:left="2364" w:hanging="360"/>
      </w:pPr>
    </w:lvl>
    <w:lvl w:ilvl="2" w:tplc="0426001B" w:tentative="1">
      <w:start w:val="1"/>
      <w:numFmt w:val="lowerRoman"/>
      <w:lvlText w:val="%3."/>
      <w:lvlJc w:val="right"/>
      <w:pPr>
        <w:ind w:left="3084" w:hanging="180"/>
      </w:pPr>
    </w:lvl>
    <w:lvl w:ilvl="3" w:tplc="0426000F" w:tentative="1">
      <w:start w:val="1"/>
      <w:numFmt w:val="decimal"/>
      <w:lvlText w:val="%4."/>
      <w:lvlJc w:val="left"/>
      <w:pPr>
        <w:ind w:left="3804" w:hanging="360"/>
      </w:pPr>
    </w:lvl>
    <w:lvl w:ilvl="4" w:tplc="04260019" w:tentative="1">
      <w:start w:val="1"/>
      <w:numFmt w:val="lowerLetter"/>
      <w:lvlText w:val="%5."/>
      <w:lvlJc w:val="left"/>
      <w:pPr>
        <w:ind w:left="4524" w:hanging="360"/>
      </w:pPr>
    </w:lvl>
    <w:lvl w:ilvl="5" w:tplc="0426001B" w:tentative="1">
      <w:start w:val="1"/>
      <w:numFmt w:val="lowerRoman"/>
      <w:lvlText w:val="%6."/>
      <w:lvlJc w:val="right"/>
      <w:pPr>
        <w:ind w:left="5244" w:hanging="180"/>
      </w:pPr>
    </w:lvl>
    <w:lvl w:ilvl="6" w:tplc="0426000F" w:tentative="1">
      <w:start w:val="1"/>
      <w:numFmt w:val="decimal"/>
      <w:lvlText w:val="%7."/>
      <w:lvlJc w:val="left"/>
      <w:pPr>
        <w:ind w:left="5964" w:hanging="360"/>
      </w:pPr>
    </w:lvl>
    <w:lvl w:ilvl="7" w:tplc="04260019" w:tentative="1">
      <w:start w:val="1"/>
      <w:numFmt w:val="lowerLetter"/>
      <w:lvlText w:val="%8."/>
      <w:lvlJc w:val="left"/>
      <w:pPr>
        <w:ind w:left="6684" w:hanging="360"/>
      </w:pPr>
    </w:lvl>
    <w:lvl w:ilvl="8" w:tplc="0426001B" w:tentative="1">
      <w:start w:val="1"/>
      <w:numFmt w:val="lowerRoman"/>
      <w:lvlText w:val="%9."/>
      <w:lvlJc w:val="right"/>
      <w:pPr>
        <w:ind w:left="7404" w:hanging="180"/>
      </w:pPr>
    </w:lvl>
  </w:abstractNum>
  <w:abstractNum w:abstractNumId="29" w15:restartNumberingAfterBreak="0">
    <w:nsid w:val="67353C2D"/>
    <w:multiLevelType w:val="multilevel"/>
    <w:tmpl w:val="2E6AFAF0"/>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004" w:hanging="720"/>
      </w:pPr>
      <w:rPr>
        <w:rFonts w:hint="default"/>
        <w:b w:val="0"/>
        <w:i w:val="0"/>
        <w:sz w:val="22"/>
        <w:szCs w:val="22"/>
      </w:rPr>
    </w:lvl>
    <w:lvl w:ilvl="2">
      <w:start w:val="1"/>
      <w:numFmt w:val="decimal"/>
      <w:isLgl/>
      <w:lvlText w:val="%1.%2.%3."/>
      <w:lvlJc w:val="left"/>
      <w:pPr>
        <w:ind w:left="862" w:hanging="720"/>
      </w:pPr>
      <w:rPr>
        <w:rFonts w:ascii="Arial" w:hAnsi="Arial" w:cs="Arial" w:hint="default"/>
        <w:b w:val="0"/>
        <w:lang w:val="en-GB"/>
      </w:rPr>
    </w:lvl>
    <w:lvl w:ilvl="3">
      <w:start w:val="1"/>
      <w:numFmt w:val="lowerLetter"/>
      <w:isLgl/>
      <w:lvlText w:val="%4."/>
      <w:lvlJc w:val="left"/>
      <w:pPr>
        <w:ind w:left="1440" w:hanging="1080"/>
      </w:pPr>
      <w:rPr>
        <w:rFonts w:ascii="Arial" w:eastAsia="SimSun" w:hAnsi="Arial" w:cs="Arial"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D246D1"/>
    <w:multiLevelType w:val="hybridMultilevel"/>
    <w:tmpl w:val="2B3AC08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6D92D60"/>
    <w:multiLevelType w:val="hybridMultilevel"/>
    <w:tmpl w:val="ED405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8B10092"/>
    <w:multiLevelType w:val="hybridMultilevel"/>
    <w:tmpl w:val="366E9F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90D36A1"/>
    <w:multiLevelType w:val="hybridMultilevel"/>
    <w:tmpl w:val="FBB272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B5413BC"/>
    <w:multiLevelType w:val="hybridMultilevel"/>
    <w:tmpl w:val="85AA57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C2E5725"/>
    <w:multiLevelType w:val="hybridMultilevel"/>
    <w:tmpl w:val="3E2C901E"/>
    <w:lvl w:ilvl="0" w:tplc="0409000F">
      <w:start w:val="1"/>
      <w:numFmt w:val="decimal"/>
      <w:lvlText w:val="%1."/>
      <w:lvlJc w:val="left"/>
      <w:pPr>
        <w:ind w:left="502"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7E1F40B7"/>
    <w:multiLevelType w:val="multilevel"/>
    <w:tmpl w:val="0426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15:restartNumberingAfterBreak="0">
    <w:nsid w:val="7E9C0266"/>
    <w:multiLevelType w:val="multilevel"/>
    <w:tmpl w:val="0DFE0B26"/>
    <w:lvl w:ilvl="0">
      <w:start w:val="8"/>
      <w:numFmt w:val="decimal"/>
      <w:lvlText w:val="%1"/>
      <w:lvlJc w:val="left"/>
      <w:pPr>
        <w:ind w:left="622"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7F177AE9"/>
    <w:multiLevelType w:val="hybridMultilevel"/>
    <w:tmpl w:val="F58E04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5"/>
  </w:num>
  <w:num w:numId="3">
    <w:abstractNumId w:val="4"/>
  </w:num>
  <w:num w:numId="4">
    <w:abstractNumId w:val="15"/>
  </w:num>
  <w:num w:numId="5">
    <w:abstractNumId w:val="32"/>
  </w:num>
  <w:num w:numId="6">
    <w:abstractNumId w:val="19"/>
  </w:num>
  <w:num w:numId="7">
    <w:abstractNumId w:val="38"/>
  </w:num>
  <w:num w:numId="8">
    <w:abstractNumId w:val="23"/>
  </w:num>
  <w:num w:numId="9">
    <w:abstractNumId w:val="11"/>
  </w:num>
  <w:num w:numId="10">
    <w:abstractNumId w:val="30"/>
  </w:num>
  <w:num w:numId="11">
    <w:abstractNumId w:val="17"/>
  </w:num>
  <w:num w:numId="12">
    <w:abstractNumId w:val="10"/>
  </w:num>
  <w:num w:numId="13">
    <w:abstractNumId w:val="28"/>
  </w:num>
  <w:num w:numId="14">
    <w:abstractNumId w:val="6"/>
  </w:num>
  <w:num w:numId="15">
    <w:abstractNumId w:val="3"/>
  </w:num>
  <w:num w:numId="16">
    <w:abstractNumId w:val="5"/>
  </w:num>
  <w:num w:numId="17">
    <w:abstractNumId w:val="2"/>
  </w:num>
  <w:num w:numId="18">
    <w:abstractNumId w:val="18"/>
  </w:num>
  <w:num w:numId="19">
    <w:abstractNumId w:val="24"/>
  </w:num>
  <w:num w:numId="20">
    <w:abstractNumId w:val="36"/>
  </w:num>
  <w:num w:numId="21">
    <w:abstractNumId w:val="26"/>
  </w:num>
  <w:num w:numId="22">
    <w:abstractNumId w:val="1"/>
  </w:num>
  <w:num w:numId="23">
    <w:abstractNumId w:val="12"/>
  </w:num>
  <w:num w:numId="24">
    <w:abstractNumId w:val="20"/>
  </w:num>
  <w:num w:numId="25">
    <w:abstractNumId w:val="37"/>
  </w:num>
  <w:num w:numId="26">
    <w:abstractNumId w:val="29"/>
  </w:num>
  <w:num w:numId="27">
    <w:abstractNumId w:val="16"/>
  </w:num>
  <w:num w:numId="28">
    <w:abstractNumId w:val="27"/>
  </w:num>
  <w:num w:numId="29">
    <w:abstractNumId w:val="8"/>
  </w:num>
  <w:num w:numId="30">
    <w:abstractNumId w:val="0"/>
  </w:num>
  <w:num w:numId="31">
    <w:abstractNumId w:val="7"/>
  </w:num>
  <w:num w:numId="32">
    <w:abstractNumId w:val="9"/>
  </w:num>
  <w:num w:numId="33">
    <w:abstractNumId w:val="14"/>
  </w:num>
  <w:num w:numId="34">
    <w:abstractNumId w:val="34"/>
  </w:num>
  <w:num w:numId="35">
    <w:abstractNumId w:val="33"/>
  </w:num>
  <w:num w:numId="36">
    <w:abstractNumId w:val="31"/>
  </w:num>
  <w:num w:numId="37">
    <w:abstractNumId w:val="25"/>
  </w:num>
  <w:num w:numId="38">
    <w:abstractNumId w:val="22"/>
  </w:num>
  <w:num w:numId="39">
    <w:abstractNumId w:val="2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6A3"/>
    <w:rsid w:val="0000653B"/>
    <w:rsid w:val="00006BB0"/>
    <w:rsid w:val="000072AC"/>
    <w:rsid w:val="00010BAD"/>
    <w:rsid w:val="000121B4"/>
    <w:rsid w:val="000130EA"/>
    <w:rsid w:val="000154C9"/>
    <w:rsid w:val="00021672"/>
    <w:rsid w:val="000248FB"/>
    <w:rsid w:val="00024E26"/>
    <w:rsid w:val="000258AA"/>
    <w:rsid w:val="00030AF7"/>
    <w:rsid w:val="0003166B"/>
    <w:rsid w:val="00031FB1"/>
    <w:rsid w:val="00032644"/>
    <w:rsid w:val="00032E70"/>
    <w:rsid w:val="00034F0F"/>
    <w:rsid w:val="00035AE2"/>
    <w:rsid w:val="00036C22"/>
    <w:rsid w:val="0003747E"/>
    <w:rsid w:val="000445AE"/>
    <w:rsid w:val="0004463D"/>
    <w:rsid w:val="00045EFF"/>
    <w:rsid w:val="00047B33"/>
    <w:rsid w:val="00052570"/>
    <w:rsid w:val="00052DB8"/>
    <w:rsid w:val="00054508"/>
    <w:rsid w:val="00054CD5"/>
    <w:rsid w:val="000567B6"/>
    <w:rsid w:val="0006128C"/>
    <w:rsid w:val="00061630"/>
    <w:rsid w:val="00062718"/>
    <w:rsid w:val="000657AE"/>
    <w:rsid w:val="00065B6B"/>
    <w:rsid w:val="00065E08"/>
    <w:rsid w:val="00071732"/>
    <w:rsid w:val="00071AFA"/>
    <w:rsid w:val="00076198"/>
    <w:rsid w:val="0007775F"/>
    <w:rsid w:val="00077E99"/>
    <w:rsid w:val="00080EB6"/>
    <w:rsid w:val="00081AA0"/>
    <w:rsid w:val="00084B7F"/>
    <w:rsid w:val="00085283"/>
    <w:rsid w:val="00087B9D"/>
    <w:rsid w:val="00091420"/>
    <w:rsid w:val="00091BBA"/>
    <w:rsid w:val="000939F0"/>
    <w:rsid w:val="00094844"/>
    <w:rsid w:val="00097324"/>
    <w:rsid w:val="000973F9"/>
    <w:rsid w:val="000A020C"/>
    <w:rsid w:val="000A02A7"/>
    <w:rsid w:val="000A0A64"/>
    <w:rsid w:val="000A1495"/>
    <w:rsid w:val="000A1774"/>
    <w:rsid w:val="000A29D6"/>
    <w:rsid w:val="000A527B"/>
    <w:rsid w:val="000B3129"/>
    <w:rsid w:val="000C10DB"/>
    <w:rsid w:val="000C5082"/>
    <w:rsid w:val="000C6DBF"/>
    <w:rsid w:val="000C7CED"/>
    <w:rsid w:val="000D0626"/>
    <w:rsid w:val="000D0E0D"/>
    <w:rsid w:val="000D43D7"/>
    <w:rsid w:val="000D5717"/>
    <w:rsid w:val="000D59B0"/>
    <w:rsid w:val="000D6189"/>
    <w:rsid w:val="000D6632"/>
    <w:rsid w:val="000D72D5"/>
    <w:rsid w:val="000E182F"/>
    <w:rsid w:val="000E1A9F"/>
    <w:rsid w:val="000E2864"/>
    <w:rsid w:val="000E351C"/>
    <w:rsid w:val="000E3DB0"/>
    <w:rsid w:val="000E437C"/>
    <w:rsid w:val="000E497D"/>
    <w:rsid w:val="000E4C3C"/>
    <w:rsid w:val="000E695C"/>
    <w:rsid w:val="000E6D91"/>
    <w:rsid w:val="000F046A"/>
    <w:rsid w:val="000F2911"/>
    <w:rsid w:val="000F371D"/>
    <w:rsid w:val="000F3C37"/>
    <w:rsid w:val="000F5D95"/>
    <w:rsid w:val="000F5DE5"/>
    <w:rsid w:val="000F6BA0"/>
    <w:rsid w:val="001004C9"/>
    <w:rsid w:val="00101045"/>
    <w:rsid w:val="00105C46"/>
    <w:rsid w:val="001062A6"/>
    <w:rsid w:val="00107D14"/>
    <w:rsid w:val="00112117"/>
    <w:rsid w:val="001121D0"/>
    <w:rsid w:val="00114892"/>
    <w:rsid w:val="0011557F"/>
    <w:rsid w:val="00115A56"/>
    <w:rsid w:val="001167B5"/>
    <w:rsid w:val="00116AB3"/>
    <w:rsid w:val="00117F9C"/>
    <w:rsid w:val="00120E3E"/>
    <w:rsid w:val="00121719"/>
    <w:rsid w:val="00121D9D"/>
    <w:rsid w:val="001257F6"/>
    <w:rsid w:val="0012743B"/>
    <w:rsid w:val="00130B31"/>
    <w:rsid w:val="001323D4"/>
    <w:rsid w:val="001351A0"/>
    <w:rsid w:val="0013767F"/>
    <w:rsid w:val="00140C1D"/>
    <w:rsid w:val="00145CAE"/>
    <w:rsid w:val="00145DF9"/>
    <w:rsid w:val="001469E6"/>
    <w:rsid w:val="00151C38"/>
    <w:rsid w:val="00152115"/>
    <w:rsid w:val="00154607"/>
    <w:rsid w:val="00162DEE"/>
    <w:rsid w:val="001665D3"/>
    <w:rsid w:val="0016791D"/>
    <w:rsid w:val="0017178C"/>
    <w:rsid w:val="0017189E"/>
    <w:rsid w:val="00173A15"/>
    <w:rsid w:val="00173A81"/>
    <w:rsid w:val="00173B65"/>
    <w:rsid w:val="0017450B"/>
    <w:rsid w:val="00176191"/>
    <w:rsid w:val="00176683"/>
    <w:rsid w:val="00180DDC"/>
    <w:rsid w:val="00181085"/>
    <w:rsid w:val="00181113"/>
    <w:rsid w:val="0018340B"/>
    <w:rsid w:val="001913F4"/>
    <w:rsid w:val="001916FB"/>
    <w:rsid w:val="00191E2E"/>
    <w:rsid w:val="001929A0"/>
    <w:rsid w:val="001937F8"/>
    <w:rsid w:val="00193F70"/>
    <w:rsid w:val="001959AC"/>
    <w:rsid w:val="001A03F7"/>
    <w:rsid w:val="001B0C63"/>
    <w:rsid w:val="001B2AE3"/>
    <w:rsid w:val="001B2BBE"/>
    <w:rsid w:val="001B334E"/>
    <w:rsid w:val="001B4168"/>
    <w:rsid w:val="001C0A8D"/>
    <w:rsid w:val="001C0EC3"/>
    <w:rsid w:val="001C1813"/>
    <w:rsid w:val="001C200A"/>
    <w:rsid w:val="001C440B"/>
    <w:rsid w:val="001C715C"/>
    <w:rsid w:val="001C77D4"/>
    <w:rsid w:val="001D0703"/>
    <w:rsid w:val="001D1165"/>
    <w:rsid w:val="001D171B"/>
    <w:rsid w:val="001D4352"/>
    <w:rsid w:val="001D552F"/>
    <w:rsid w:val="001D758D"/>
    <w:rsid w:val="001E6392"/>
    <w:rsid w:val="001E7680"/>
    <w:rsid w:val="001E7E9A"/>
    <w:rsid w:val="001F0370"/>
    <w:rsid w:val="001F06E5"/>
    <w:rsid w:val="001F2817"/>
    <w:rsid w:val="001F568D"/>
    <w:rsid w:val="001F5EAD"/>
    <w:rsid w:val="001F6149"/>
    <w:rsid w:val="001F6B1E"/>
    <w:rsid w:val="00202643"/>
    <w:rsid w:val="0020366A"/>
    <w:rsid w:val="00203BC3"/>
    <w:rsid w:val="002065C1"/>
    <w:rsid w:val="00211CA4"/>
    <w:rsid w:val="0021387E"/>
    <w:rsid w:val="0021413A"/>
    <w:rsid w:val="00214CF7"/>
    <w:rsid w:val="002159DA"/>
    <w:rsid w:val="0022102D"/>
    <w:rsid w:val="00222CC3"/>
    <w:rsid w:val="00224177"/>
    <w:rsid w:val="00225A5B"/>
    <w:rsid w:val="00234FA4"/>
    <w:rsid w:val="00236144"/>
    <w:rsid w:val="002364E8"/>
    <w:rsid w:val="00245E1D"/>
    <w:rsid w:val="00251BAB"/>
    <w:rsid w:val="00252DEA"/>
    <w:rsid w:val="00257BC6"/>
    <w:rsid w:val="00260496"/>
    <w:rsid w:val="00260F5E"/>
    <w:rsid w:val="0026307D"/>
    <w:rsid w:val="002631E2"/>
    <w:rsid w:val="00264396"/>
    <w:rsid w:val="00264E35"/>
    <w:rsid w:val="00266E39"/>
    <w:rsid w:val="0027110C"/>
    <w:rsid w:val="00271A26"/>
    <w:rsid w:val="0027206B"/>
    <w:rsid w:val="00272253"/>
    <w:rsid w:val="0027314C"/>
    <w:rsid w:val="0027497F"/>
    <w:rsid w:val="002753CF"/>
    <w:rsid w:val="00276D68"/>
    <w:rsid w:val="00277089"/>
    <w:rsid w:val="00284F10"/>
    <w:rsid w:val="00285B9D"/>
    <w:rsid w:val="002866D1"/>
    <w:rsid w:val="00291BFB"/>
    <w:rsid w:val="00291EBC"/>
    <w:rsid w:val="0029302C"/>
    <w:rsid w:val="00293E30"/>
    <w:rsid w:val="00294D54"/>
    <w:rsid w:val="00294E93"/>
    <w:rsid w:val="002951BA"/>
    <w:rsid w:val="002A1D69"/>
    <w:rsid w:val="002A2674"/>
    <w:rsid w:val="002A6C63"/>
    <w:rsid w:val="002B0E1C"/>
    <w:rsid w:val="002B148E"/>
    <w:rsid w:val="002B349F"/>
    <w:rsid w:val="002C01D6"/>
    <w:rsid w:val="002C02FB"/>
    <w:rsid w:val="002C0D6B"/>
    <w:rsid w:val="002C0FAF"/>
    <w:rsid w:val="002C15F7"/>
    <w:rsid w:val="002C2926"/>
    <w:rsid w:val="002C2D00"/>
    <w:rsid w:val="002C62FE"/>
    <w:rsid w:val="002C70C2"/>
    <w:rsid w:val="002C736F"/>
    <w:rsid w:val="002C769D"/>
    <w:rsid w:val="002D3603"/>
    <w:rsid w:val="002D5B49"/>
    <w:rsid w:val="002E0418"/>
    <w:rsid w:val="002E09F9"/>
    <w:rsid w:val="002E0C6D"/>
    <w:rsid w:val="002E1297"/>
    <w:rsid w:val="002E18A5"/>
    <w:rsid w:val="002E41CE"/>
    <w:rsid w:val="002E45BE"/>
    <w:rsid w:val="002E66A1"/>
    <w:rsid w:val="002E6C3C"/>
    <w:rsid w:val="002E79A5"/>
    <w:rsid w:val="002F336C"/>
    <w:rsid w:val="002F4A84"/>
    <w:rsid w:val="002F4D52"/>
    <w:rsid w:val="00300074"/>
    <w:rsid w:val="00302DE7"/>
    <w:rsid w:val="0030346F"/>
    <w:rsid w:val="00304169"/>
    <w:rsid w:val="00313B8C"/>
    <w:rsid w:val="00315F93"/>
    <w:rsid w:val="00316AD4"/>
    <w:rsid w:val="003217B8"/>
    <w:rsid w:val="00321CBA"/>
    <w:rsid w:val="003246A3"/>
    <w:rsid w:val="00326474"/>
    <w:rsid w:val="00330E3A"/>
    <w:rsid w:val="00332B4B"/>
    <w:rsid w:val="00335A97"/>
    <w:rsid w:val="00336161"/>
    <w:rsid w:val="003365A6"/>
    <w:rsid w:val="00337017"/>
    <w:rsid w:val="0034079C"/>
    <w:rsid w:val="0035034C"/>
    <w:rsid w:val="00352112"/>
    <w:rsid w:val="00353F75"/>
    <w:rsid w:val="00354D7F"/>
    <w:rsid w:val="00356912"/>
    <w:rsid w:val="00357852"/>
    <w:rsid w:val="00360F40"/>
    <w:rsid w:val="00361AED"/>
    <w:rsid w:val="00362867"/>
    <w:rsid w:val="00371B7B"/>
    <w:rsid w:val="003729CB"/>
    <w:rsid w:val="00373503"/>
    <w:rsid w:val="00382AD9"/>
    <w:rsid w:val="003831F7"/>
    <w:rsid w:val="003835A5"/>
    <w:rsid w:val="00384D25"/>
    <w:rsid w:val="003874FD"/>
    <w:rsid w:val="0039045A"/>
    <w:rsid w:val="00390768"/>
    <w:rsid w:val="00393582"/>
    <w:rsid w:val="00397ED9"/>
    <w:rsid w:val="003A01B9"/>
    <w:rsid w:val="003A2006"/>
    <w:rsid w:val="003A3105"/>
    <w:rsid w:val="003A60D8"/>
    <w:rsid w:val="003A6386"/>
    <w:rsid w:val="003B0324"/>
    <w:rsid w:val="003B1DC2"/>
    <w:rsid w:val="003B1E1B"/>
    <w:rsid w:val="003B2BAD"/>
    <w:rsid w:val="003B4298"/>
    <w:rsid w:val="003B457E"/>
    <w:rsid w:val="003B4987"/>
    <w:rsid w:val="003B6AC1"/>
    <w:rsid w:val="003C04D1"/>
    <w:rsid w:val="003C322A"/>
    <w:rsid w:val="003C3454"/>
    <w:rsid w:val="003D15CF"/>
    <w:rsid w:val="003D33D6"/>
    <w:rsid w:val="003D470E"/>
    <w:rsid w:val="003D52DD"/>
    <w:rsid w:val="003D6603"/>
    <w:rsid w:val="003E1150"/>
    <w:rsid w:val="003E17E7"/>
    <w:rsid w:val="003E3CEB"/>
    <w:rsid w:val="003E6F81"/>
    <w:rsid w:val="003F01C5"/>
    <w:rsid w:val="003F2FC7"/>
    <w:rsid w:val="003F46EB"/>
    <w:rsid w:val="003F53A0"/>
    <w:rsid w:val="003F58A1"/>
    <w:rsid w:val="003F6051"/>
    <w:rsid w:val="003F624F"/>
    <w:rsid w:val="00400191"/>
    <w:rsid w:val="00402235"/>
    <w:rsid w:val="004044E6"/>
    <w:rsid w:val="00404D4A"/>
    <w:rsid w:val="00405B66"/>
    <w:rsid w:val="004130A9"/>
    <w:rsid w:val="00413D67"/>
    <w:rsid w:val="00414ED7"/>
    <w:rsid w:val="00415807"/>
    <w:rsid w:val="0041783D"/>
    <w:rsid w:val="00420520"/>
    <w:rsid w:val="004222D8"/>
    <w:rsid w:val="00422FEE"/>
    <w:rsid w:val="00424791"/>
    <w:rsid w:val="004259D9"/>
    <w:rsid w:val="00427F5E"/>
    <w:rsid w:val="0043320D"/>
    <w:rsid w:val="004338EC"/>
    <w:rsid w:val="004343BF"/>
    <w:rsid w:val="00434665"/>
    <w:rsid w:val="00435C90"/>
    <w:rsid w:val="00436B14"/>
    <w:rsid w:val="00437217"/>
    <w:rsid w:val="00441187"/>
    <w:rsid w:val="00441B07"/>
    <w:rsid w:val="0044367E"/>
    <w:rsid w:val="004464E6"/>
    <w:rsid w:val="004502D6"/>
    <w:rsid w:val="00450486"/>
    <w:rsid w:val="0045277B"/>
    <w:rsid w:val="00452C36"/>
    <w:rsid w:val="004553F9"/>
    <w:rsid w:val="004607E7"/>
    <w:rsid w:val="00460D7C"/>
    <w:rsid w:val="00463780"/>
    <w:rsid w:val="004668EC"/>
    <w:rsid w:val="00466960"/>
    <w:rsid w:val="00466A8B"/>
    <w:rsid w:val="0046754B"/>
    <w:rsid w:val="00470F54"/>
    <w:rsid w:val="004718FB"/>
    <w:rsid w:val="00473421"/>
    <w:rsid w:val="004836B3"/>
    <w:rsid w:val="00483906"/>
    <w:rsid w:val="0048406A"/>
    <w:rsid w:val="004843A0"/>
    <w:rsid w:val="00485B2A"/>
    <w:rsid w:val="00485D6A"/>
    <w:rsid w:val="004861C0"/>
    <w:rsid w:val="00487709"/>
    <w:rsid w:val="0049238E"/>
    <w:rsid w:val="00492408"/>
    <w:rsid w:val="004925D3"/>
    <w:rsid w:val="00495155"/>
    <w:rsid w:val="004A2238"/>
    <w:rsid w:val="004A3BFE"/>
    <w:rsid w:val="004A5F0C"/>
    <w:rsid w:val="004A5F75"/>
    <w:rsid w:val="004B1A79"/>
    <w:rsid w:val="004B1D91"/>
    <w:rsid w:val="004B5F3E"/>
    <w:rsid w:val="004B697A"/>
    <w:rsid w:val="004C3CE3"/>
    <w:rsid w:val="004C4129"/>
    <w:rsid w:val="004C62C1"/>
    <w:rsid w:val="004D111E"/>
    <w:rsid w:val="004D696D"/>
    <w:rsid w:val="004E0D23"/>
    <w:rsid w:val="004E265C"/>
    <w:rsid w:val="004E3A6D"/>
    <w:rsid w:val="004E50E1"/>
    <w:rsid w:val="004E5AC4"/>
    <w:rsid w:val="004F2D80"/>
    <w:rsid w:val="004F41DD"/>
    <w:rsid w:val="00501DA3"/>
    <w:rsid w:val="0050342F"/>
    <w:rsid w:val="00506A6D"/>
    <w:rsid w:val="00507365"/>
    <w:rsid w:val="00510556"/>
    <w:rsid w:val="00514E3D"/>
    <w:rsid w:val="00516FEC"/>
    <w:rsid w:val="00522085"/>
    <w:rsid w:val="005270B3"/>
    <w:rsid w:val="0053032F"/>
    <w:rsid w:val="00532365"/>
    <w:rsid w:val="00535666"/>
    <w:rsid w:val="0053614F"/>
    <w:rsid w:val="0053640A"/>
    <w:rsid w:val="005421C2"/>
    <w:rsid w:val="00543D33"/>
    <w:rsid w:val="00543F2E"/>
    <w:rsid w:val="005440AC"/>
    <w:rsid w:val="00546CC3"/>
    <w:rsid w:val="00551B18"/>
    <w:rsid w:val="00554236"/>
    <w:rsid w:val="00555F6F"/>
    <w:rsid w:val="005570D6"/>
    <w:rsid w:val="00563E8E"/>
    <w:rsid w:val="00565078"/>
    <w:rsid w:val="00570A87"/>
    <w:rsid w:val="00571300"/>
    <w:rsid w:val="00571671"/>
    <w:rsid w:val="00571F4E"/>
    <w:rsid w:val="00572BAE"/>
    <w:rsid w:val="00573C40"/>
    <w:rsid w:val="00575ECB"/>
    <w:rsid w:val="005766AC"/>
    <w:rsid w:val="00577296"/>
    <w:rsid w:val="00582B63"/>
    <w:rsid w:val="00582E53"/>
    <w:rsid w:val="0058365C"/>
    <w:rsid w:val="00583DE7"/>
    <w:rsid w:val="00584DB1"/>
    <w:rsid w:val="00586A83"/>
    <w:rsid w:val="00590145"/>
    <w:rsid w:val="00590855"/>
    <w:rsid w:val="00591968"/>
    <w:rsid w:val="0059476A"/>
    <w:rsid w:val="00594F60"/>
    <w:rsid w:val="005952E3"/>
    <w:rsid w:val="00595DE2"/>
    <w:rsid w:val="00596163"/>
    <w:rsid w:val="005A079F"/>
    <w:rsid w:val="005A322C"/>
    <w:rsid w:val="005A56E6"/>
    <w:rsid w:val="005B12BB"/>
    <w:rsid w:val="005B40FE"/>
    <w:rsid w:val="005B6AD3"/>
    <w:rsid w:val="005B6E7A"/>
    <w:rsid w:val="005C189B"/>
    <w:rsid w:val="005C2AB5"/>
    <w:rsid w:val="005C3F36"/>
    <w:rsid w:val="005C43B1"/>
    <w:rsid w:val="005C5653"/>
    <w:rsid w:val="005D1148"/>
    <w:rsid w:val="005D21E2"/>
    <w:rsid w:val="005D2510"/>
    <w:rsid w:val="005D467D"/>
    <w:rsid w:val="005D6424"/>
    <w:rsid w:val="005D72BA"/>
    <w:rsid w:val="005D799B"/>
    <w:rsid w:val="005D7AC9"/>
    <w:rsid w:val="005E31D3"/>
    <w:rsid w:val="005E5199"/>
    <w:rsid w:val="005F00EE"/>
    <w:rsid w:val="005F4304"/>
    <w:rsid w:val="005F4CA0"/>
    <w:rsid w:val="005F4EC1"/>
    <w:rsid w:val="005F5851"/>
    <w:rsid w:val="005F6511"/>
    <w:rsid w:val="00602D0E"/>
    <w:rsid w:val="0060451D"/>
    <w:rsid w:val="0060777F"/>
    <w:rsid w:val="006111F2"/>
    <w:rsid w:val="00611C5A"/>
    <w:rsid w:val="00613207"/>
    <w:rsid w:val="006148B1"/>
    <w:rsid w:val="00617C10"/>
    <w:rsid w:val="0062095B"/>
    <w:rsid w:val="00622485"/>
    <w:rsid w:val="00622B7B"/>
    <w:rsid w:val="00631317"/>
    <w:rsid w:val="006372BC"/>
    <w:rsid w:val="0064032A"/>
    <w:rsid w:val="0064110E"/>
    <w:rsid w:val="00642B0F"/>
    <w:rsid w:val="00643A1D"/>
    <w:rsid w:val="00643CE2"/>
    <w:rsid w:val="00647A06"/>
    <w:rsid w:val="00650533"/>
    <w:rsid w:val="006545A8"/>
    <w:rsid w:val="00657865"/>
    <w:rsid w:val="00661D1C"/>
    <w:rsid w:val="006631F6"/>
    <w:rsid w:val="006634D0"/>
    <w:rsid w:val="00664393"/>
    <w:rsid w:val="00665E96"/>
    <w:rsid w:val="00670E70"/>
    <w:rsid w:val="00672F67"/>
    <w:rsid w:val="00674A01"/>
    <w:rsid w:val="00676452"/>
    <w:rsid w:val="00677A1E"/>
    <w:rsid w:val="00677A2E"/>
    <w:rsid w:val="006855B0"/>
    <w:rsid w:val="006918B9"/>
    <w:rsid w:val="006919BC"/>
    <w:rsid w:val="006924C9"/>
    <w:rsid w:val="006938DC"/>
    <w:rsid w:val="00693C72"/>
    <w:rsid w:val="00693C9C"/>
    <w:rsid w:val="006A4B6C"/>
    <w:rsid w:val="006A6493"/>
    <w:rsid w:val="006B0409"/>
    <w:rsid w:val="006B370B"/>
    <w:rsid w:val="006B6E03"/>
    <w:rsid w:val="006B79F4"/>
    <w:rsid w:val="006C065C"/>
    <w:rsid w:val="006C543C"/>
    <w:rsid w:val="006C5521"/>
    <w:rsid w:val="006C6681"/>
    <w:rsid w:val="006C673F"/>
    <w:rsid w:val="006D0C5E"/>
    <w:rsid w:val="006D154F"/>
    <w:rsid w:val="006D164B"/>
    <w:rsid w:val="006D35F5"/>
    <w:rsid w:val="006D46D5"/>
    <w:rsid w:val="006D6D7B"/>
    <w:rsid w:val="006E5A3C"/>
    <w:rsid w:val="006E6893"/>
    <w:rsid w:val="006F28CB"/>
    <w:rsid w:val="006F3338"/>
    <w:rsid w:val="006F496D"/>
    <w:rsid w:val="00700717"/>
    <w:rsid w:val="00700735"/>
    <w:rsid w:val="00700E7D"/>
    <w:rsid w:val="007029F9"/>
    <w:rsid w:val="00705A11"/>
    <w:rsid w:val="00712A6B"/>
    <w:rsid w:val="00717C6B"/>
    <w:rsid w:val="0072112B"/>
    <w:rsid w:val="0072192D"/>
    <w:rsid w:val="007317BB"/>
    <w:rsid w:val="00733516"/>
    <w:rsid w:val="00733647"/>
    <w:rsid w:val="00736CEB"/>
    <w:rsid w:val="00746E49"/>
    <w:rsid w:val="00746FE2"/>
    <w:rsid w:val="00747358"/>
    <w:rsid w:val="007514F8"/>
    <w:rsid w:val="007518E9"/>
    <w:rsid w:val="00755EB1"/>
    <w:rsid w:val="00760301"/>
    <w:rsid w:val="0076165C"/>
    <w:rsid w:val="007639B8"/>
    <w:rsid w:val="007649D2"/>
    <w:rsid w:val="007650EB"/>
    <w:rsid w:val="0076755C"/>
    <w:rsid w:val="00770AFA"/>
    <w:rsid w:val="00773CD7"/>
    <w:rsid w:val="00775653"/>
    <w:rsid w:val="00776617"/>
    <w:rsid w:val="007768C5"/>
    <w:rsid w:val="00777053"/>
    <w:rsid w:val="007812F8"/>
    <w:rsid w:val="00781906"/>
    <w:rsid w:val="00782DFF"/>
    <w:rsid w:val="00783E6C"/>
    <w:rsid w:val="0078491C"/>
    <w:rsid w:val="00785329"/>
    <w:rsid w:val="00786139"/>
    <w:rsid w:val="007955AB"/>
    <w:rsid w:val="00795D1F"/>
    <w:rsid w:val="00797C7A"/>
    <w:rsid w:val="007A4460"/>
    <w:rsid w:val="007A67DF"/>
    <w:rsid w:val="007B18A0"/>
    <w:rsid w:val="007B4947"/>
    <w:rsid w:val="007B5954"/>
    <w:rsid w:val="007B5BC4"/>
    <w:rsid w:val="007B60C7"/>
    <w:rsid w:val="007C3DB1"/>
    <w:rsid w:val="007D0FC2"/>
    <w:rsid w:val="007D26F8"/>
    <w:rsid w:val="007D7545"/>
    <w:rsid w:val="007D77F4"/>
    <w:rsid w:val="007E32BB"/>
    <w:rsid w:val="007E391E"/>
    <w:rsid w:val="007E3F1B"/>
    <w:rsid w:val="007E4F90"/>
    <w:rsid w:val="007E5845"/>
    <w:rsid w:val="007E7B5B"/>
    <w:rsid w:val="007F0E8B"/>
    <w:rsid w:val="007F1888"/>
    <w:rsid w:val="007F1E32"/>
    <w:rsid w:val="007F329B"/>
    <w:rsid w:val="007F5037"/>
    <w:rsid w:val="007F5557"/>
    <w:rsid w:val="007F6C27"/>
    <w:rsid w:val="007F6D34"/>
    <w:rsid w:val="007F7665"/>
    <w:rsid w:val="00805A3C"/>
    <w:rsid w:val="00811A55"/>
    <w:rsid w:val="008140DF"/>
    <w:rsid w:val="00814469"/>
    <w:rsid w:val="00817D57"/>
    <w:rsid w:val="00820019"/>
    <w:rsid w:val="008224F4"/>
    <w:rsid w:val="0082640D"/>
    <w:rsid w:val="00826D0B"/>
    <w:rsid w:val="00830131"/>
    <w:rsid w:val="00830869"/>
    <w:rsid w:val="00831EB4"/>
    <w:rsid w:val="0083295C"/>
    <w:rsid w:val="00832F87"/>
    <w:rsid w:val="008343A1"/>
    <w:rsid w:val="00835E97"/>
    <w:rsid w:val="008362D9"/>
    <w:rsid w:val="00836FEF"/>
    <w:rsid w:val="00840844"/>
    <w:rsid w:val="008414AF"/>
    <w:rsid w:val="00845496"/>
    <w:rsid w:val="008511E0"/>
    <w:rsid w:val="0085544C"/>
    <w:rsid w:val="00861CD4"/>
    <w:rsid w:val="00861F64"/>
    <w:rsid w:val="00862A22"/>
    <w:rsid w:val="00863D31"/>
    <w:rsid w:val="00865D28"/>
    <w:rsid w:val="0086621E"/>
    <w:rsid w:val="0087090C"/>
    <w:rsid w:val="008713B1"/>
    <w:rsid w:val="00874167"/>
    <w:rsid w:val="00874634"/>
    <w:rsid w:val="00877583"/>
    <w:rsid w:val="00877DE8"/>
    <w:rsid w:val="00877F66"/>
    <w:rsid w:val="00881677"/>
    <w:rsid w:val="008838BA"/>
    <w:rsid w:val="0088770F"/>
    <w:rsid w:val="00887790"/>
    <w:rsid w:val="00892DB2"/>
    <w:rsid w:val="00897183"/>
    <w:rsid w:val="00897614"/>
    <w:rsid w:val="008A1BB1"/>
    <w:rsid w:val="008A1C96"/>
    <w:rsid w:val="008A3D3C"/>
    <w:rsid w:val="008B00B7"/>
    <w:rsid w:val="008B0430"/>
    <w:rsid w:val="008B0F51"/>
    <w:rsid w:val="008B3C59"/>
    <w:rsid w:val="008B438F"/>
    <w:rsid w:val="008B4472"/>
    <w:rsid w:val="008B484A"/>
    <w:rsid w:val="008B4888"/>
    <w:rsid w:val="008B7091"/>
    <w:rsid w:val="008B74EE"/>
    <w:rsid w:val="008C51AE"/>
    <w:rsid w:val="008C6E3F"/>
    <w:rsid w:val="008C7710"/>
    <w:rsid w:val="008D17D0"/>
    <w:rsid w:val="008D746F"/>
    <w:rsid w:val="008E1270"/>
    <w:rsid w:val="008E183F"/>
    <w:rsid w:val="008E4E22"/>
    <w:rsid w:val="008E7FCE"/>
    <w:rsid w:val="008F018D"/>
    <w:rsid w:val="008F1D9C"/>
    <w:rsid w:val="008F2D11"/>
    <w:rsid w:val="008F341A"/>
    <w:rsid w:val="008F5E8C"/>
    <w:rsid w:val="00900226"/>
    <w:rsid w:val="00903DED"/>
    <w:rsid w:val="009040E6"/>
    <w:rsid w:val="0091443A"/>
    <w:rsid w:val="00922839"/>
    <w:rsid w:val="0093189D"/>
    <w:rsid w:val="0093197D"/>
    <w:rsid w:val="00936172"/>
    <w:rsid w:val="00941C8D"/>
    <w:rsid w:val="00943DA2"/>
    <w:rsid w:val="00945A05"/>
    <w:rsid w:val="00950BB2"/>
    <w:rsid w:val="00951109"/>
    <w:rsid w:val="00951676"/>
    <w:rsid w:val="009545FB"/>
    <w:rsid w:val="00954CA5"/>
    <w:rsid w:val="009561EA"/>
    <w:rsid w:val="00956940"/>
    <w:rsid w:val="00960400"/>
    <w:rsid w:val="0096158B"/>
    <w:rsid w:val="009615E9"/>
    <w:rsid w:val="00963141"/>
    <w:rsid w:val="00963528"/>
    <w:rsid w:val="0096413E"/>
    <w:rsid w:val="009671C8"/>
    <w:rsid w:val="00985679"/>
    <w:rsid w:val="0098608A"/>
    <w:rsid w:val="00990F07"/>
    <w:rsid w:val="00993CCB"/>
    <w:rsid w:val="00995E64"/>
    <w:rsid w:val="00995FA6"/>
    <w:rsid w:val="009A0BE2"/>
    <w:rsid w:val="009A1352"/>
    <w:rsid w:val="009A221C"/>
    <w:rsid w:val="009A2CC3"/>
    <w:rsid w:val="009A2E82"/>
    <w:rsid w:val="009A59FF"/>
    <w:rsid w:val="009A62F7"/>
    <w:rsid w:val="009B0D58"/>
    <w:rsid w:val="009B2788"/>
    <w:rsid w:val="009B3291"/>
    <w:rsid w:val="009B56C2"/>
    <w:rsid w:val="009B5C3D"/>
    <w:rsid w:val="009B7F44"/>
    <w:rsid w:val="009C0520"/>
    <w:rsid w:val="009C1006"/>
    <w:rsid w:val="009D025F"/>
    <w:rsid w:val="009D12F8"/>
    <w:rsid w:val="009D1EAF"/>
    <w:rsid w:val="009D341F"/>
    <w:rsid w:val="009D4078"/>
    <w:rsid w:val="009D60A1"/>
    <w:rsid w:val="009D7CA3"/>
    <w:rsid w:val="009E0770"/>
    <w:rsid w:val="009E1364"/>
    <w:rsid w:val="009E1FBB"/>
    <w:rsid w:val="009E51F5"/>
    <w:rsid w:val="009E5F14"/>
    <w:rsid w:val="009E7D26"/>
    <w:rsid w:val="009E7D8D"/>
    <w:rsid w:val="009F227C"/>
    <w:rsid w:val="009F29C1"/>
    <w:rsid w:val="00A00397"/>
    <w:rsid w:val="00A029C5"/>
    <w:rsid w:val="00A047DF"/>
    <w:rsid w:val="00A06162"/>
    <w:rsid w:val="00A15CAD"/>
    <w:rsid w:val="00A1779C"/>
    <w:rsid w:val="00A2027A"/>
    <w:rsid w:val="00A2078E"/>
    <w:rsid w:val="00A22D50"/>
    <w:rsid w:val="00A2360B"/>
    <w:rsid w:val="00A24558"/>
    <w:rsid w:val="00A24FC0"/>
    <w:rsid w:val="00A25939"/>
    <w:rsid w:val="00A25E79"/>
    <w:rsid w:val="00A31C1B"/>
    <w:rsid w:val="00A3260C"/>
    <w:rsid w:val="00A328C1"/>
    <w:rsid w:val="00A36AC0"/>
    <w:rsid w:val="00A405C3"/>
    <w:rsid w:val="00A4123E"/>
    <w:rsid w:val="00A43B1E"/>
    <w:rsid w:val="00A4406C"/>
    <w:rsid w:val="00A501E1"/>
    <w:rsid w:val="00A52706"/>
    <w:rsid w:val="00A54E7B"/>
    <w:rsid w:val="00A60F5F"/>
    <w:rsid w:val="00A6112A"/>
    <w:rsid w:val="00A7463A"/>
    <w:rsid w:val="00A753E0"/>
    <w:rsid w:val="00A8050A"/>
    <w:rsid w:val="00A80A8C"/>
    <w:rsid w:val="00A83A9D"/>
    <w:rsid w:val="00A84832"/>
    <w:rsid w:val="00A84D8A"/>
    <w:rsid w:val="00A84EF2"/>
    <w:rsid w:val="00A86EF0"/>
    <w:rsid w:val="00A905D7"/>
    <w:rsid w:val="00A91839"/>
    <w:rsid w:val="00A959EC"/>
    <w:rsid w:val="00A95B83"/>
    <w:rsid w:val="00AA35B7"/>
    <w:rsid w:val="00AA4B35"/>
    <w:rsid w:val="00AA70DB"/>
    <w:rsid w:val="00AB09D5"/>
    <w:rsid w:val="00AB30CC"/>
    <w:rsid w:val="00AB31EE"/>
    <w:rsid w:val="00AB400A"/>
    <w:rsid w:val="00AB4FCA"/>
    <w:rsid w:val="00AB6AC1"/>
    <w:rsid w:val="00AB7A46"/>
    <w:rsid w:val="00AB7CF1"/>
    <w:rsid w:val="00AC2E76"/>
    <w:rsid w:val="00AD057C"/>
    <w:rsid w:val="00AD15AF"/>
    <w:rsid w:val="00AD3032"/>
    <w:rsid w:val="00AD664A"/>
    <w:rsid w:val="00AD779D"/>
    <w:rsid w:val="00AD7D09"/>
    <w:rsid w:val="00AE1354"/>
    <w:rsid w:val="00AE3445"/>
    <w:rsid w:val="00AE661B"/>
    <w:rsid w:val="00AE73A4"/>
    <w:rsid w:val="00AF072D"/>
    <w:rsid w:val="00AF2CE4"/>
    <w:rsid w:val="00AF3811"/>
    <w:rsid w:val="00AF4BAB"/>
    <w:rsid w:val="00B02E80"/>
    <w:rsid w:val="00B07F27"/>
    <w:rsid w:val="00B107C9"/>
    <w:rsid w:val="00B10C7A"/>
    <w:rsid w:val="00B1242A"/>
    <w:rsid w:val="00B16069"/>
    <w:rsid w:val="00B16423"/>
    <w:rsid w:val="00B169AA"/>
    <w:rsid w:val="00B16F7B"/>
    <w:rsid w:val="00B1749E"/>
    <w:rsid w:val="00B21F25"/>
    <w:rsid w:val="00B22462"/>
    <w:rsid w:val="00B259BE"/>
    <w:rsid w:val="00B26A78"/>
    <w:rsid w:val="00B2754D"/>
    <w:rsid w:val="00B27CE7"/>
    <w:rsid w:val="00B307E2"/>
    <w:rsid w:val="00B309A4"/>
    <w:rsid w:val="00B32071"/>
    <w:rsid w:val="00B32620"/>
    <w:rsid w:val="00B33148"/>
    <w:rsid w:val="00B3520D"/>
    <w:rsid w:val="00B360F9"/>
    <w:rsid w:val="00B36C67"/>
    <w:rsid w:val="00B40493"/>
    <w:rsid w:val="00B434BE"/>
    <w:rsid w:val="00B460E2"/>
    <w:rsid w:val="00B47887"/>
    <w:rsid w:val="00B50795"/>
    <w:rsid w:val="00B51510"/>
    <w:rsid w:val="00B5156E"/>
    <w:rsid w:val="00B51EB4"/>
    <w:rsid w:val="00B53EF7"/>
    <w:rsid w:val="00B5458F"/>
    <w:rsid w:val="00B62D5A"/>
    <w:rsid w:val="00B63161"/>
    <w:rsid w:val="00B635BE"/>
    <w:rsid w:val="00B64200"/>
    <w:rsid w:val="00B64561"/>
    <w:rsid w:val="00B660CF"/>
    <w:rsid w:val="00B665BE"/>
    <w:rsid w:val="00B676DE"/>
    <w:rsid w:val="00B700F9"/>
    <w:rsid w:val="00B70A74"/>
    <w:rsid w:val="00B724D9"/>
    <w:rsid w:val="00B73FA3"/>
    <w:rsid w:val="00B7766D"/>
    <w:rsid w:val="00B80772"/>
    <w:rsid w:val="00B83305"/>
    <w:rsid w:val="00B83950"/>
    <w:rsid w:val="00B84D55"/>
    <w:rsid w:val="00B93C96"/>
    <w:rsid w:val="00B94C3F"/>
    <w:rsid w:val="00B94DCA"/>
    <w:rsid w:val="00B94EA8"/>
    <w:rsid w:val="00B97934"/>
    <w:rsid w:val="00B97B67"/>
    <w:rsid w:val="00BA1094"/>
    <w:rsid w:val="00BA2FDB"/>
    <w:rsid w:val="00BA65A2"/>
    <w:rsid w:val="00BB03AB"/>
    <w:rsid w:val="00BB1949"/>
    <w:rsid w:val="00BB2175"/>
    <w:rsid w:val="00BB24FB"/>
    <w:rsid w:val="00BB39CE"/>
    <w:rsid w:val="00BB79F9"/>
    <w:rsid w:val="00BC3437"/>
    <w:rsid w:val="00BC64D8"/>
    <w:rsid w:val="00BC6553"/>
    <w:rsid w:val="00BC6857"/>
    <w:rsid w:val="00BD0A6C"/>
    <w:rsid w:val="00BD5005"/>
    <w:rsid w:val="00BE3C2D"/>
    <w:rsid w:val="00BE3E75"/>
    <w:rsid w:val="00BE59B1"/>
    <w:rsid w:val="00BE6176"/>
    <w:rsid w:val="00BE64C1"/>
    <w:rsid w:val="00BE6681"/>
    <w:rsid w:val="00BE6E76"/>
    <w:rsid w:val="00BE7AFA"/>
    <w:rsid w:val="00BF375A"/>
    <w:rsid w:val="00C01C73"/>
    <w:rsid w:val="00C07001"/>
    <w:rsid w:val="00C12F89"/>
    <w:rsid w:val="00C13666"/>
    <w:rsid w:val="00C13DF9"/>
    <w:rsid w:val="00C14050"/>
    <w:rsid w:val="00C1415E"/>
    <w:rsid w:val="00C14515"/>
    <w:rsid w:val="00C16C2E"/>
    <w:rsid w:val="00C21E3F"/>
    <w:rsid w:val="00C22BE5"/>
    <w:rsid w:val="00C23D66"/>
    <w:rsid w:val="00C243A3"/>
    <w:rsid w:val="00C24F2D"/>
    <w:rsid w:val="00C31F41"/>
    <w:rsid w:val="00C3242C"/>
    <w:rsid w:val="00C341DF"/>
    <w:rsid w:val="00C34D49"/>
    <w:rsid w:val="00C3675B"/>
    <w:rsid w:val="00C375A9"/>
    <w:rsid w:val="00C40E0D"/>
    <w:rsid w:val="00C411FA"/>
    <w:rsid w:val="00C4326F"/>
    <w:rsid w:val="00C447A8"/>
    <w:rsid w:val="00C46946"/>
    <w:rsid w:val="00C509A4"/>
    <w:rsid w:val="00C517BB"/>
    <w:rsid w:val="00C52083"/>
    <w:rsid w:val="00C52863"/>
    <w:rsid w:val="00C5321E"/>
    <w:rsid w:val="00C53D2D"/>
    <w:rsid w:val="00C57608"/>
    <w:rsid w:val="00C6025D"/>
    <w:rsid w:val="00C603D4"/>
    <w:rsid w:val="00C6302A"/>
    <w:rsid w:val="00C67AA8"/>
    <w:rsid w:val="00C71F65"/>
    <w:rsid w:val="00C7374E"/>
    <w:rsid w:val="00C7435A"/>
    <w:rsid w:val="00C74664"/>
    <w:rsid w:val="00C752CD"/>
    <w:rsid w:val="00C75426"/>
    <w:rsid w:val="00C76F94"/>
    <w:rsid w:val="00C838CF"/>
    <w:rsid w:val="00C84398"/>
    <w:rsid w:val="00C84545"/>
    <w:rsid w:val="00C9073A"/>
    <w:rsid w:val="00C9147F"/>
    <w:rsid w:val="00C92A74"/>
    <w:rsid w:val="00C94F15"/>
    <w:rsid w:val="00C961B1"/>
    <w:rsid w:val="00C96B6B"/>
    <w:rsid w:val="00C96E38"/>
    <w:rsid w:val="00CB29D2"/>
    <w:rsid w:val="00CB38AD"/>
    <w:rsid w:val="00CB3D20"/>
    <w:rsid w:val="00CB3D69"/>
    <w:rsid w:val="00CC3A18"/>
    <w:rsid w:val="00CC4EC5"/>
    <w:rsid w:val="00CC6CDF"/>
    <w:rsid w:val="00CD3A50"/>
    <w:rsid w:val="00CD7DB0"/>
    <w:rsid w:val="00CE0F98"/>
    <w:rsid w:val="00CE307A"/>
    <w:rsid w:val="00CE4EFF"/>
    <w:rsid w:val="00CF32B4"/>
    <w:rsid w:val="00CF3731"/>
    <w:rsid w:val="00CF3933"/>
    <w:rsid w:val="00CF4F29"/>
    <w:rsid w:val="00CF584E"/>
    <w:rsid w:val="00D02BC5"/>
    <w:rsid w:val="00D040A5"/>
    <w:rsid w:val="00D05F20"/>
    <w:rsid w:val="00D10CD9"/>
    <w:rsid w:val="00D11E9F"/>
    <w:rsid w:val="00D17CB4"/>
    <w:rsid w:val="00D20D19"/>
    <w:rsid w:val="00D20D4B"/>
    <w:rsid w:val="00D22943"/>
    <w:rsid w:val="00D2670D"/>
    <w:rsid w:val="00D26DF2"/>
    <w:rsid w:val="00D30A9E"/>
    <w:rsid w:val="00D33F27"/>
    <w:rsid w:val="00D33FDB"/>
    <w:rsid w:val="00D350A3"/>
    <w:rsid w:val="00D40612"/>
    <w:rsid w:val="00D4086E"/>
    <w:rsid w:val="00D42F53"/>
    <w:rsid w:val="00D44576"/>
    <w:rsid w:val="00D44AA4"/>
    <w:rsid w:val="00D44ECD"/>
    <w:rsid w:val="00D4526D"/>
    <w:rsid w:val="00D45A77"/>
    <w:rsid w:val="00D46F79"/>
    <w:rsid w:val="00D4797E"/>
    <w:rsid w:val="00D5244C"/>
    <w:rsid w:val="00D54BF7"/>
    <w:rsid w:val="00D54C67"/>
    <w:rsid w:val="00D54E78"/>
    <w:rsid w:val="00D554D1"/>
    <w:rsid w:val="00D56467"/>
    <w:rsid w:val="00D56A28"/>
    <w:rsid w:val="00D611FC"/>
    <w:rsid w:val="00D6398A"/>
    <w:rsid w:val="00D73BD4"/>
    <w:rsid w:val="00D7480E"/>
    <w:rsid w:val="00D805B0"/>
    <w:rsid w:val="00D81112"/>
    <w:rsid w:val="00D836BF"/>
    <w:rsid w:val="00D91693"/>
    <w:rsid w:val="00D966EF"/>
    <w:rsid w:val="00DA1870"/>
    <w:rsid w:val="00DA30AA"/>
    <w:rsid w:val="00DA4CF7"/>
    <w:rsid w:val="00DA5BA8"/>
    <w:rsid w:val="00DB05C5"/>
    <w:rsid w:val="00DB3E36"/>
    <w:rsid w:val="00DB45FC"/>
    <w:rsid w:val="00DB513C"/>
    <w:rsid w:val="00DB5FCB"/>
    <w:rsid w:val="00DC2D69"/>
    <w:rsid w:val="00DC388D"/>
    <w:rsid w:val="00DC3D63"/>
    <w:rsid w:val="00DD0332"/>
    <w:rsid w:val="00DE08F0"/>
    <w:rsid w:val="00DE0F7D"/>
    <w:rsid w:val="00DE5296"/>
    <w:rsid w:val="00DE7979"/>
    <w:rsid w:val="00DE7C91"/>
    <w:rsid w:val="00DE7D42"/>
    <w:rsid w:val="00DF0035"/>
    <w:rsid w:val="00DF1D7F"/>
    <w:rsid w:val="00E03C0B"/>
    <w:rsid w:val="00E0514D"/>
    <w:rsid w:val="00E068BC"/>
    <w:rsid w:val="00E0747E"/>
    <w:rsid w:val="00E07DDF"/>
    <w:rsid w:val="00E13FF0"/>
    <w:rsid w:val="00E1410A"/>
    <w:rsid w:val="00E14356"/>
    <w:rsid w:val="00E164A5"/>
    <w:rsid w:val="00E21923"/>
    <w:rsid w:val="00E25DFB"/>
    <w:rsid w:val="00E33872"/>
    <w:rsid w:val="00E345C4"/>
    <w:rsid w:val="00E40000"/>
    <w:rsid w:val="00E42484"/>
    <w:rsid w:val="00E44B00"/>
    <w:rsid w:val="00E509A8"/>
    <w:rsid w:val="00E5214D"/>
    <w:rsid w:val="00E52977"/>
    <w:rsid w:val="00E5790C"/>
    <w:rsid w:val="00E62A28"/>
    <w:rsid w:val="00E64007"/>
    <w:rsid w:val="00E71869"/>
    <w:rsid w:val="00E72034"/>
    <w:rsid w:val="00E728F3"/>
    <w:rsid w:val="00E743E7"/>
    <w:rsid w:val="00E75385"/>
    <w:rsid w:val="00E7665F"/>
    <w:rsid w:val="00E767C1"/>
    <w:rsid w:val="00E77323"/>
    <w:rsid w:val="00E77530"/>
    <w:rsid w:val="00E8445A"/>
    <w:rsid w:val="00E85972"/>
    <w:rsid w:val="00E85F8D"/>
    <w:rsid w:val="00E90DA8"/>
    <w:rsid w:val="00E916B0"/>
    <w:rsid w:val="00E91952"/>
    <w:rsid w:val="00E927AF"/>
    <w:rsid w:val="00EA4E53"/>
    <w:rsid w:val="00EB4D09"/>
    <w:rsid w:val="00EB5B08"/>
    <w:rsid w:val="00EB7CA8"/>
    <w:rsid w:val="00EC2EDE"/>
    <w:rsid w:val="00EC398F"/>
    <w:rsid w:val="00ED1EE3"/>
    <w:rsid w:val="00ED22C1"/>
    <w:rsid w:val="00ED25D5"/>
    <w:rsid w:val="00ED6515"/>
    <w:rsid w:val="00ED735B"/>
    <w:rsid w:val="00ED78DF"/>
    <w:rsid w:val="00ED7A91"/>
    <w:rsid w:val="00EE0113"/>
    <w:rsid w:val="00EE180A"/>
    <w:rsid w:val="00EE47EC"/>
    <w:rsid w:val="00EE5EF4"/>
    <w:rsid w:val="00EF09DB"/>
    <w:rsid w:val="00EF209A"/>
    <w:rsid w:val="00EF2A7C"/>
    <w:rsid w:val="00EF5403"/>
    <w:rsid w:val="00EF7646"/>
    <w:rsid w:val="00F007C6"/>
    <w:rsid w:val="00F02459"/>
    <w:rsid w:val="00F02A0E"/>
    <w:rsid w:val="00F02C21"/>
    <w:rsid w:val="00F071FC"/>
    <w:rsid w:val="00F15302"/>
    <w:rsid w:val="00F172DD"/>
    <w:rsid w:val="00F21BBC"/>
    <w:rsid w:val="00F25A69"/>
    <w:rsid w:val="00F2601A"/>
    <w:rsid w:val="00F26739"/>
    <w:rsid w:val="00F26B50"/>
    <w:rsid w:val="00F308A4"/>
    <w:rsid w:val="00F342DB"/>
    <w:rsid w:val="00F34C11"/>
    <w:rsid w:val="00F35DB6"/>
    <w:rsid w:val="00F4153E"/>
    <w:rsid w:val="00F42D5D"/>
    <w:rsid w:val="00F44293"/>
    <w:rsid w:val="00F477E4"/>
    <w:rsid w:val="00F54A26"/>
    <w:rsid w:val="00F579A0"/>
    <w:rsid w:val="00F600AA"/>
    <w:rsid w:val="00F63376"/>
    <w:rsid w:val="00F6747F"/>
    <w:rsid w:val="00F709A6"/>
    <w:rsid w:val="00F7403F"/>
    <w:rsid w:val="00F755A7"/>
    <w:rsid w:val="00F8107D"/>
    <w:rsid w:val="00F810D2"/>
    <w:rsid w:val="00F813DF"/>
    <w:rsid w:val="00F81968"/>
    <w:rsid w:val="00F83147"/>
    <w:rsid w:val="00F83FC8"/>
    <w:rsid w:val="00F8496B"/>
    <w:rsid w:val="00F868FB"/>
    <w:rsid w:val="00F870ED"/>
    <w:rsid w:val="00F87A0B"/>
    <w:rsid w:val="00FA0BAD"/>
    <w:rsid w:val="00FA1ED4"/>
    <w:rsid w:val="00FA2EF0"/>
    <w:rsid w:val="00FA5B73"/>
    <w:rsid w:val="00FA7434"/>
    <w:rsid w:val="00FB3FE1"/>
    <w:rsid w:val="00FB5CA6"/>
    <w:rsid w:val="00FC06CE"/>
    <w:rsid w:val="00FC44AB"/>
    <w:rsid w:val="00FC78B5"/>
    <w:rsid w:val="00FD02CD"/>
    <w:rsid w:val="00FD161A"/>
    <w:rsid w:val="00FD27EE"/>
    <w:rsid w:val="00FD2EFC"/>
    <w:rsid w:val="00FD3F7B"/>
    <w:rsid w:val="00FD521E"/>
    <w:rsid w:val="00FD5731"/>
    <w:rsid w:val="00FD7AEF"/>
    <w:rsid w:val="00FE0272"/>
    <w:rsid w:val="00FE146E"/>
    <w:rsid w:val="00FE7015"/>
    <w:rsid w:val="00FE771A"/>
    <w:rsid w:val="00FF2539"/>
    <w:rsid w:val="00FF3ABF"/>
    <w:rsid w:val="00FF535A"/>
    <w:rsid w:val="00FF7E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A04075"/>
  <w15:docId w15:val="{138F6CED-64DD-48CE-B850-4B47359D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7F6"/>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371B7B"/>
    <w:pPr>
      <w:keepNext/>
      <w:keepLines/>
      <w:spacing w:before="120" w:after="120"/>
      <w:jc w:val="center"/>
      <w:outlineLvl w:val="0"/>
    </w:pPr>
    <w:rPr>
      <w:rFonts w:asciiTheme="majorHAnsi" w:eastAsiaTheme="majorEastAsia" w:hAnsiTheme="majorHAnsi" w:cs="Times New Roman"/>
      <w:b/>
      <w:bCs/>
      <w:sz w:val="28"/>
      <w:szCs w:val="28"/>
      <w:lang w:val="en-GB"/>
    </w:rPr>
  </w:style>
  <w:style w:type="paragraph" w:styleId="Heading2">
    <w:name w:val="heading 2"/>
    <w:basedOn w:val="Normal"/>
    <w:next w:val="Normal"/>
    <w:link w:val="Heading2Char"/>
    <w:uiPriority w:val="9"/>
    <w:semiHidden/>
    <w:unhideWhenUsed/>
    <w:qFormat/>
    <w:rsid w:val="003B2B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
    <w:name w:val="Medium List 2"/>
    <w:basedOn w:val="TableNormal"/>
    <w:uiPriority w:val="66"/>
    <w:rsid w:val="001D4352"/>
    <w:pPr>
      <w:spacing w:after="0" w:line="240" w:lineRule="auto"/>
    </w:pPr>
    <w:rPr>
      <w:rFonts w:asciiTheme="majorHAnsi" w:eastAsiaTheme="majorEastAsia" w:hAnsiTheme="majorHAnsi" w:cstheme="majorBidi"/>
      <w:color w:val="000000" w:themeColor="text1"/>
      <w:lang w:val="et-E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3D52DD"/>
    <w:rPr>
      <w:rFonts w:ascii="Tahoma" w:hAnsi="Tahoma" w:cs="Tahoma"/>
      <w:sz w:val="16"/>
      <w:szCs w:val="16"/>
    </w:rPr>
  </w:style>
  <w:style w:type="character" w:customStyle="1" w:styleId="BalloonTextChar">
    <w:name w:val="Balloon Text Char"/>
    <w:basedOn w:val="DefaultParagraphFont"/>
    <w:link w:val="BalloonText"/>
    <w:uiPriority w:val="99"/>
    <w:semiHidden/>
    <w:rsid w:val="003D52DD"/>
    <w:rPr>
      <w:rFonts w:ascii="Tahoma" w:hAnsi="Tahoma" w:cs="Tahoma"/>
      <w:sz w:val="16"/>
      <w:szCs w:val="16"/>
    </w:rPr>
  </w:style>
  <w:style w:type="paragraph" w:styleId="TOC2">
    <w:name w:val="toc 2"/>
    <w:basedOn w:val="Normal"/>
    <w:next w:val="Normal"/>
    <w:autoRedefine/>
    <w:uiPriority w:val="39"/>
    <w:unhideWhenUsed/>
    <w:rsid w:val="00DE7C91"/>
    <w:pPr>
      <w:tabs>
        <w:tab w:val="right" w:leader="dot" w:pos="9060"/>
      </w:tabs>
      <w:spacing w:after="100"/>
      <w:ind w:left="284"/>
    </w:pPr>
  </w:style>
  <w:style w:type="paragraph" w:styleId="TOC1">
    <w:name w:val="toc 1"/>
    <w:basedOn w:val="Normal"/>
    <w:next w:val="Normal"/>
    <w:autoRedefine/>
    <w:uiPriority w:val="39"/>
    <w:unhideWhenUsed/>
    <w:rsid w:val="00583DE7"/>
    <w:pPr>
      <w:tabs>
        <w:tab w:val="right" w:leader="dot" w:pos="9060"/>
      </w:tabs>
      <w:spacing w:after="100"/>
      <w:ind w:left="284"/>
    </w:pPr>
    <w:rPr>
      <w:rFonts w:cs="Times New Roman"/>
      <w:b/>
      <w:noProof/>
      <w:lang w:val="en-GB"/>
    </w:rPr>
  </w:style>
  <w:style w:type="character" w:styleId="Hyperlink">
    <w:name w:val="Hyperlink"/>
    <w:basedOn w:val="DefaultParagraphFont"/>
    <w:uiPriority w:val="99"/>
    <w:unhideWhenUsed/>
    <w:rsid w:val="003D52DD"/>
    <w:rPr>
      <w:color w:val="0000FF" w:themeColor="hyperlink"/>
      <w:u w:val="single"/>
    </w:rPr>
  </w:style>
  <w:style w:type="paragraph" w:styleId="ListParagraph">
    <w:name w:val="List Paragraph"/>
    <w:aliases w:val="F List Paragraph"/>
    <w:basedOn w:val="Normal"/>
    <w:link w:val="ListParagraphChar"/>
    <w:uiPriority w:val="1"/>
    <w:qFormat/>
    <w:rsid w:val="00BB79F9"/>
    <w:pPr>
      <w:ind w:left="720"/>
      <w:contextualSpacing/>
      <w:jc w:val="center"/>
    </w:pPr>
    <w:rPr>
      <w:b/>
    </w:rPr>
  </w:style>
  <w:style w:type="character" w:styleId="CommentReference">
    <w:name w:val="annotation reference"/>
    <w:basedOn w:val="DefaultParagraphFont"/>
    <w:uiPriority w:val="99"/>
    <w:semiHidden/>
    <w:unhideWhenUsed/>
    <w:rsid w:val="003E3CEB"/>
    <w:rPr>
      <w:sz w:val="16"/>
      <w:szCs w:val="16"/>
    </w:rPr>
  </w:style>
  <w:style w:type="paragraph" w:styleId="CommentText">
    <w:name w:val="annotation text"/>
    <w:basedOn w:val="Normal"/>
    <w:link w:val="CommentTextChar"/>
    <w:uiPriority w:val="99"/>
    <w:unhideWhenUsed/>
    <w:rsid w:val="003E3CEB"/>
    <w:rPr>
      <w:sz w:val="20"/>
      <w:szCs w:val="20"/>
    </w:rPr>
  </w:style>
  <w:style w:type="character" w:customStyle="1" w:styleId="CommentTextChar">
    <w:name w:val="Comment Text Char"/>
    <w:basedOn w:val="DefaultParagraphFont"/>
    <w:link w:val="CommentText"/>
    <w:uiPriority w:val="99"/>
    <w:rsid w:val="003E3CEB"/>
    <w:rPr>
      <w:sz w:val="20"/>
      <w:szCs w:val="20"/>
    </w:rPr>
  </w:style>
  <w:style w:type="paragraph" w:styleId="CommentSubject">
    <w:name w:val="annotation subject"/>
    <w:basedOn w:val="CommentText"/>
    <w:next w:val="CommentText"/>
    <w:link w:val="CommentSubjectChar"/>
    <w:uiPriority w:val="99"/>
    <w:semiHidden/>
    <w:unhideWhenUsed/>
    <w:rsid w:val="003E3CEB"/>
    <w:rPr>
      <w:b/>
      <w:bCs/>
    </w:rPr>
  </w:style>
  <w:style w:type="character" w:customStyle="1" w:styleId="CommentSubjectChar">
    <w:name w:val="Comment Subject Char"/>
    <w:basedOn w:val="CommentTextChar"/>
    <w:link w:val="CommentSubject"/>
    <w:uiPriority w:val="99"/>
    <w:semiHidden/>
    <w:rsid w:val="003E3CEB"/>
    <w:rPr>
      <w:b/>
      <w:bCs/>
      <w:sz w:val="20"/>
      <w:szCs w:val="20"/>
    </w:rPr>
  </w:style>
  <w:style w:type="paragraph" w:styleId="Revision">
    <w:name w:val="Revision"/>
    <w:hidden/>
    <w:uiPriority w:val="99"/>
    <w:semiHidden/>
    <w:rsid w:val="00881677"/>
    <w:pPr>
      <w:spacing w:after="0" w:line="240" w:lineRule="auto"/>
    </w:pPr>
  </w:style>
  <w:style w:type="paragraph" w:customStyle="1" w:styleId="Default">
    <w:name w:val="Default"/>
    <w:rsid w:val="00817D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F List Paragraph Char"/>
    <w:basedOn w:val="DefaultParagraphFont"/>
    <w:link w:val="ListParagraph"/>
    <w:uiPriority w:val="1"/>
    <w:locked/>
    <w:rsid w:val="00BB79F9"/>
    <w:rPr>
      <w:rFonts w:ascii="Times New Roman" w:hAnsi="Times New Roman"/>
      <w:b/>
      <w:sz w:val="24"/>
    </w:rPr>
  </w:style>
  <w:style w:type="character" w:customStyle="1" w:styleId="Heading1Char">
    <w:name w:val="Heading 1 Char"/>
    <w:basedOn w:val="DefaultParagraphFont"/>
    <w:link w:val="Heading1"/>
    <w:rsid w:val="00371B7B"/>
    <w:rPr>
      <w:rFonts w:asciiTheme="majorHAnsi" w:eastAsiaTheme="majorEastAsia" w:hAnsiTheme="majorHAnsi" w:cs="Times New Roman"/>
      <w:b/>
      <w:bCs/>
      <w:sz w:val="28"/>
      <w:szCs w:val="28"/>
      <w:lang w:val="en-GB"/>
    </w:rPr>
  </w:style>
  <w:style w:type="character" w:styleId="Strong">
    <w:name w:val="Strong"/>
    <w:basedOn w:val="DefaultParagraphFont"/>
    <w:uiPriority w:val="22"/>
    <w:qFormat/>
    <w:rsid w:val="00AD057C"/>
    <w:rPr>
      <w:b/>
      <w:bCs/>
    </w:rPr>
  </w:style>
  <w:style w:type="character" w:styleId="PlaceholderText">
    <w:name w:val="Placeholder Text"/>
    <w:basedOn w:val="DefaultParagraphFont"/>
    <w:uiPriority w:val="99"/>
    <w:semiHidden/>
    <w:rsid w:val="00D040A5"/>
    <w:rPr>
      <w:color w:val="808080"/>
    </w:rPr>
  </w:style>
  <w:style w:type="paragraph" w:styleId="Header">
    <w:name w:val="header"/>
    <w:basedOn w:val="Normal"/>
    <w:link w:val="HeaderChar"/>
    <w:uiPriority w:val="99"/>
    <w:unhideWhenUsed/>
    <w:rsid w:val="002E09F9"/>
    <w:pPr>
      <w:tabs>
        <w:tab w:val="center" w:pos="4153"/>
        <w:tab w:val="right" w:pos="8306"/>
      </w:tabs>
    </w:pPr>
  </w:style>
  <w:style w:type="character" w:customStyle="1" w:styleId="HeaderChar">
    <w:name w:val="Header Char"/>
    <w:basedOn w:val="DefaultParagraphFont"/>
    <w:link w:val="Header"/>
    <w:uiPriority w:val="99"/>
    <w:rsid w:val="002E09F9"/>
    <w:rPr>
      <w:rFonts w:ascii="Times New Roman" w:hAnsi="Times New Roman"/>
      <w:sz w:val="24"/>
    </w:rPr>
  </w:style>
  <w:style w:type="paragraph" w:styleId="Footer">
    <w:name w:val="footer"/>
    <w:basedOn w:val="Normal"/>
    <w:link w:val="FooterChar"/>
    <w:uiPriority w:val="99"/>
    <w:unhideWhenUsed/>
    <w:rsid w:val="002E09F9"/>
    <w:pPr>
      <w:tabs>
        <w:tab w:val="center" w:pos="4153"/>
        <w:tab w:val="right" w:pos="8306"/>
      </w:tabs>
    </w:pPr>
  </w:style>
  <w:style w:type="character" w:customStyle="1" w:styleId="FooterChar">
    <w:name w:val="Footer Char"/>
    <w:basedOn w:val="DefaultParagraphFont"/>
    <w:link w:val="Footer"/>
    <w:uiPriority w:val="99"/>
    <w:rsid w:val="002E09F9"/>
    <w:rPr>
      <w:rFonts w:ascii="Times New Roman" w:hAnsi="Times New Roman"/>
      <w:sz w:val="24"/>
    </w:rPr>
  </w:style>
  <w:style w:type="paragraph" w:styleId="Title">
    <w:name w:val="Title"/>
    <w:basedOn w:val="Normal"/>
    <w:next w:val="Normal"/>
    <w:link w:val="TitleChar"/>
    <w:uiPriority w:val="10"/>
    <w:qFormat/>
    <w:rsid w:val="006545A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45A8"/>
    <w:rPr>
      <w:rFonts w:asciiTheme="majorHAnsi" w:eastAsiaTheme="majorEastAsia" w:hAnsiTheme="majorHAnsi" w:cstheme="majorBidi"/>
      <w:spacing w:val="-10"/>
      <w:kern w:val="28"/>
      <w:sz w:val="56"/>
      <w:szCs w:val="56"/>
    </w:rPr>
  </w:style>
  <w:style w:type="paragraph" w:customStyle="1" w:styleId="HeadingforCross-zone">
    <w:name w:val="Heading for Cross-zone"/>
    <w:basedOn w:val="Normal"/>
    <w:link w:val="HeadingforCross-zoneChar"/>
    <w:qFormat/>
    <w:rsid w:val="00887790"/>
    <w:pPr>
      <w:numPr>
        <w:numId w:val="38"/>
      </w:numPr>
      <w:spacing w:after="120"/>
      <w:ind w:left="360"/>
    </w:pPr>
    <w:rPr>
      <w:b/>
    </w:rPr>
  </w:style>
  <w:style w:type="table" w:styleId="TableGrid">
    <w:name w:val="Table Grid"/>
    <w:basedOn w:val="TableNormal"/>
    <w:uiPriority w:val="59"/>
    <w:rsid w:val="009F2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forCross-zoneChar">
    <w:name w:val="Heading for Cross-zone Char"/>
    <w:basedOn w:val="DefaultParagraphFont"/>
    <w:link w:val="HeadingforCross-zone"/>
    <w:rsid w:val="00887790"/>
    <w:rPr>
      <w:rFonts w:ascii="Times New Roman" w:hAnsi="Times New Roman"/>
      <w:b/>
      <w:sz w:val="24"/>
    </w:rPr>
  </w:style>
  <w:style w:type="paragraph" w:styleId="Caption">
    <w:name w:val="caption"/>
    <w:basedOn w:val="Normal"/>
    <w:next w:val="Normal"/>
    <w:uiPriority w:val="35"/>
    <w:unhideWhenUsed/>
    <w:qFormat/>
    <w:rsid w:val="009F227C"/>
    <w:pPr>
      <w:spacing w:after="200"/>
    </w:pPr>
    <w:rPr>
      <w:b/>
      <w:iCs/>
      <w:szCs w:val="18"/>
    </w:rPr>
  </w:style>
  <w:style w:type="character" w:customStyle="1" w:styleId="Heading2Char">
    <w:name w:val="Heading 2 Char"/>
    <w:basedOn w:val="DefaultParagraphFont"/>
    <w:link w:val="Heading2"/>
    <w:uiPriority w:val="9"/>
    <w:semiHidden/>
    <w:rsid w:val="003B2BA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864604">
      <w:bodyDiv w:val="1"/>
      <w:marLeft w:val="0"/>
      <w:marRight w:val="0"/>
      <w:marTop w:val="0"/>
      <w:marBottom w:val="0"/>
      <w:divBdr>
        <w:top w:val="none" w:sz="0" w:space="0" w:color="auto"/>
        <w:left w:val="none" w:sz="0" w:space="0" w:color="auto"/>
        <w:bottom w:val="none" w:sz="0" w:space="0" w:color="auto"/>
        <w:right w:val="none" w:sz="0" w:space="0" w:color="auto"/>
      </w:divBdr>
    </w:div>
    <w:div w:id="658075006">
      <w:bodyDiv w:val="1"/>
      <w:marLeft w:val="0"/>
      <w:marRight w:val="0"/>
      <w:marTop w:val="0"/>
      <w:marBottom w:val="0"/>
      <w:divBdr>
        <w:top w:val="none" w:sz="0" w:space="0" w:color="auto"/>
        <w:left w:val="none" w:sz="0" w:space="0" w:color="auto"/>
        <w:bottom w:val="none" w:sz="0" w:space="0" w:color="auto"/>
        <w:right w:val="none" w:sz="0" w:space="0" w:color="auto"/>
      </w:divBdr>
      <w:divsChild>
        <w:div w:id="912861449">
          <w:marLeft w:val="0"/>
          <w:marRight w:val="0"/>
          <w:marTop w:val="0"/>
          <w:marBottom w:val="0"/>
          <w:divBdr>
            <w:top w:val="none" w:sz="0" w:space="0" w:color="auto"/>
            <w:left w:val="none" w:sz="0" w:space="0" w:color="auto"/>
            <w:bottom w:val="none" w:sz="0" w:space="0" w:color="auto"/>
            <w:right w:val="none" w:sz="0" w:space="0" w:color="auto"/>
          </w:divBdr>
        </w:div>
      </w:divsChild>
    </w:div>
    <w:div w:id="784809666">
      <w:bodyDiv w:val="1"/>
      <w:marLeft w:val="0"/>
      <w:marRight w:val="0"/>
      <w:marTop w:val="0"/>
      <w:marBottom w:val="0"/>
      <w:divBdr>
        <w:top w:val="none" w:sz="0" w:space="0" w:color="auto"/>
        <w:left w:val="none" w:sz="0" w:space="0" w:color="auto"/>
        <w:bottom w:val="none" w:sz="0" w:space="0" w:color="auto"/>
        <w:right w:val="none" w:sz="0" w:space="0" w:color="auto"/>
      </w:divBdr>
      <w:divsChild>
        <w:div w:id="62946289">
          <w:marLeft w:val="0"/>
          <w:marRight w:val="0"/>
          <w:marTop w:val="0"/>
          <w:marBottom w:val="0"/>
          <w:divBdr>
            <w:top w:val="none" w:sz="0" w:space="0" w:color="auto"/>
            <w:left w:val="none" w:sz="0" w:space="0" w:color="auto"/>
            <w:bottom w:val="none" w:sz="0" w:space="0" w:color="auto"/>
            <w:right w:val="none" w:sz="0" w:space="0" w:color="auto"/>
          </w:divBdr>
        </w:div>
      </w:divsChild>
    </w:div>
    <w:div w:id="1233081406">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9C0AA-8088-4747-B391-5D69DE61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14800</Words>
  <Characters>8437</Characters>
  <Application>Microsoft Office Word</Application>
  <DocSecurity>0</DocSecurity>
  <Lines>70</Lines>
  <Paragraphs>46</Paragraphs>
  <ScaleCrop>false</ScaleCrop>
  <HeadingPairs>
    <vt:vector size="8" baseType="variant">
      <vt:variant>
        <vt:lpstr>Tytuł</vt:lpstr>
      </vt:variant>
      <vt:variant>
        <vt:i4>1</vt:i4>
      </vt:variant>
      <vt:variant>
        <vt:lpstr>Title</vt:lpstr>
      </vt:variant>
      <vt:variant>
        <vt:i4>1</vt:i4>
      </vt:variant>
      <vt:variant>
        <vt:lpstr>Rubrik</vt:lpstr>
      </vt:variant>
      <vt:variant>
        <vt:i4>1</vt:i4>
      </vt:variant>
      <vt:variant>
        <vt:lpstr>Otsikko</vt:lpstr>
      </vt:variant>
      <vt:variant>
        <vt:i4>1</vt:i4>
      </vt:variant>
    </vt:vector>
  </HeadingPairs>
  <TitlesOfParts>
    <vt:vector size="4" baseType="lpstr">
      <vt:lpstr>19012018_Baltic_CCR_MCRC_for_consultations.pdf</vt:lpstr>
      <vt:lpstr>19012018_Baltic_CCR_MCRC_for_consultations.pdf</vt:lpstr>
      <vt:lpstr>19012018_Baltic_CCR_MCRC_for_consultations.pdf</vt:lpstr>
      <vt:lpstr/>
    </vt:vector>
  </TitlesOfParts>
  <Company>AST</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19012018_Baltic_CCR_MCRC_for_consultations.pdf</dc:title>
  <dc:creator>Aleksandrs Lvovs</dc:creator>
  <cp:lastModifiedBy>Aleksandrs Ļvovs</cp:lastModifiedBy>
  <cp:revision>3</cp:revision>
  <cp:lastPrinted>2018-10-08T10:10:00Z</cp:lastPrinted>
  <dcterms:created xsi:type="dcterms:W3CDTF">2019-06-04T09:08:00Z</dcterms:created>
  <dcterms:modified xsi:type="dcterms:W3CDTF">2019-06-05T08:53:00Z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