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35AB5" w14:textId="77777777" w:rsidR="004F245D" w:rsidRPr="004F285F" w:rsidRDefault="00E8551A" w:rsidP="00B55253">
      <w:pPr>
        <w:jc w:val="center"/>
        <w:rPr>
          <w:b/>
          <w:color w:val="23236E"/>
          <w:sz w:val="28"/>
          <w:szCs w:val="28"/>
          <w:lang w:val="en-GB"/>
        </w:rPr>
      </w:pPr>
      <w:bookmarkStart w:id="0" w:name="_Toc378091729"/>
      <w:r>
        <w:rPr>
          <w:b/>
          <w:color w:val="23236E"/>
          <w:sz w:val="28"/>
          <w:szCs w:val="28"/>
          <w:lang w:val="en-GB"/>
        </w:rPr>
        <w:t>February</w:t>
      </w:r>
      <w:r w:rsidR="00B55253">
        <w:rPr>
          <w:b/>
          <w:color w:val="23236E"/>
          <w:sz w:val="28"/>
          <w:szCs w:val="28"/>
          <w:lang w:val="en-GB"/>
        </w:rPr>
        <w:t xml:space="preserve"> 201</w:t>
      </w:r>
      <w:r>
        <w:rPr>
          <w:b/>
          <w:color w:val="23236E"/>
          <w:sz w:val="28"/>
          <w:szCs w:val="28"/>
          <w:lang w:val="en-GB"/>
        </w:rPr>
        <w:t>8</w:t>
      </w:r>
    </w:p>
    <w:tbl>
      <w:tblPr>
        <w:tblStyle w:val="TableGrid1"/>
        <w:tblpPr w:leftFromText="142" w:rightFromText="142" w:topFromText="5528" w:vertAnchor="page" w:horzAnchor="page" w:tblpX="1362" w:tblpY="5104"/>
        <w:tblW w:w="0" w:type="auto"/>
        <w:tblBorders>
          <w:top w:val="single" w:sz="8" w:space="0" w:color="23236E"/>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9524"/>
      </w:tblGrid>
      <w:tr w:rsidR="004F0618" w:rsidRPr="009B6082" w14:paraId="7A535AB7" w14:textId="77777777" w:rsidTr="00DC0ABD">
        <w:tc>
          <w:tcPr>
            <w:tcW w:w="9524" w:type="dxa"/>
            <w:tcMar>
              <w:top w:w="198" w:type="dxa"/>
            </w:tcMar>
          </w:tcPr>
          <w:p w14:paraId="7A535AB6" w14:textId="77777777" w:rsidR="004F245D" w:rsidRPr="004F0618" w:rsidRDefault="00E25AF8" w:rsidP="009F12AD">
            <w:pPr>
              <w:spacing w:after="280" w:line="600" w:lineRule="exact"/>
              <w:jc w:val="center"/>
              <w:rPr>
                <w:rFonts w:cs="Arial"/>
                <w:b/>
                <w:sz w:val="44"/>
                <w:szCs w:val="44"/>
                <w:lang w:val="en-GB"/>
              </w:rPr>
            </w:pPr>
            <w:sdt>
              <w:sdtPr>
                <w:rPr>
                  <w:sz w:val="38"/>
                  <w:szCs w:val="38"/>
                  <w:lang w:val="en-US"/>
                </w:rPr>
                <w:alias w:val="Titel"/>
                <w:tag w:val="Titel"/>
                <w:id w:val="32412703"/>
                <w:dataBinding w:prefixMappings="xmlns:ns0='http://purl.org/dc/elements/1.1/' xmlns:ns1='http://schemas.openxmlformats.org/package/2006/metadata/core-properties' " w:xpath="/ns1:coreProperties[1]/ns0:title[1]" w:storeItemID="{6C3C8BC8-F283-45AE-878A-BAB7291924A1}"/>
                <w:text w:multiLine="1"/>
              </w:sdtPr>
              <w:sdtEndPr/>
              <w:sdtContent>
                <w:r w:rsidR="006E4999" w:rsidRPr="004F0618">
                  <w:rPr>
                    <w:sz w:val="38"/>
                    <w:szCs w:val="38"/>
                    <w:lang w:val="en-GB"/>
                  </w:rPr>
                  <w:t>Italy North TSOs proposal for D-2 co</w:t>
                </w:r>
                <w:r w:rsidR="009F12AD" w:rsidRPr="004F0618">
                  <w:rPr>
                    <w:sz w:val="38"/>
                    <w:szCs w:val="38"/>
                    <w:lang w:val="en-GB"/>
                  </w:rPr>
                  <w:t>mmon</w:t>
                </w:r>
                <w:r w:rsidR="006E4999" w:rsidRPr="004F0618">
                  <w:rPr>
                    <w:sz w:val="38"/>
                    <w:szCs w:val="38"/>
                    <w:lang w:val="en-GB"/>
                  </w:rPr>
                  <w:t xml:space="preserve"> capacity calculation in accordance with Article 21 of Commission Regulation (EU) 2015/1222 of 24 July 2015 establishing a guideline on capacity allocation and congestion management</w:t>
                </w:r>
              </w:sdtContent>
            </w:sdt>
            <w:r w:rsidR="004F245D" w:rsidRPr="004F0618">
              <w:rPr>
                <w:rFonts w:cs="Arial"/>
                <w:b/>
                <w:sz w:val="44"/>
                <w:szCs w:val="44"/>
                <w:lang w:val="en-GB"/>
              </w:rPr>
              <w:t xml:space="preserve"> </w:t>
            </w:r>
          </w:p>
        </w:tc>
      </w:tr>
      <w:tr w:rsidR="004F0618" w:rsidRPr="009B6082" w14:paraId="7A535AB9" w14:textId="77777777" w:rsidTr="00B55253">
        <w:trPr>
          <w:trHeight w:val="80"/>
        </w:trPr>
        <w:tc>
          <w:tcPr>
            <w:tcW w:w="9524" w:type="dxa"/>
            <w:tcMar>
              <w:bottom w:w="142" w:type="dxa"/>
            </w:tcMar>
          </w:tcPr>
          <w:p w14:paraId="7A535AB8" w14:textId="77777777" w:rsidR="004F245D" w:rsidRPr="004F0618" w:rsidRDefault="004F245D" w:rsidP="00DC0ABD">
            <w:pPr>
              <w:spacing w:line="320" w:lineRule="exact"/>
              <w:rPr>
                <w:rFonts w:cs="Arial"/>
                <w:sz w:val="29"/>
                <w:szCs w:val="29"/>
                <w:lang w:val="en-GB"/>
              </w:rPr>
            </w:pPr>
          </w:p>
        </w:tc>
      </w:tr>
    </w:tbl>
    <w:p w14:paraId="7A535ABA" w14:textId="77777777" w:rsidR="004F245D" w:rsidRPr="004F285F" w:rsidRDefault="006E4999" w:rsidP="006E4999">
      <w:pPr>
        <w:tabs>
          <w:tab w:val="left" w:pos="3735"/>
        </w:tabs>
        <w:rPr>
          <w:rFonts w:ascii="Times New Roman" w:hAnsi="Times New Roman"/>
          <w:szCs w:val="22"/>
          <w:lang w:val="en-GB" w:eastAsia="en-US"/>
        </w:rPr>
      </w:pPr>
      <w:r>
        <w:rPr>
          <w:rFonts w:ascii="Times New Roman" w:hAnsi="Times New Roman"/>
          <w:szCs w:val="22"/>
          <w:lang w:val="en-GB" w:eastAsia="en-US"/>
        </w:rPr>
        <w:tab/>
      </w:r>
    </w:p>
    <w:p w14:paraId="7A535ABB" w14:textId="77777777" w:rsidR="004F245D" w:rsidRPr="004F285F" w:rsidRDefault="004F245D" w:rsidP="004F245D">
      <w:pPr>
        <w:rPr>
          <w:rFonts w:ascii="Times New Roman" w:hAnsi="Times New Roman"/>
          <w:szCs w:val="22"/>
          <w:lang w:val="en-GB" w:eastAsia="en-US"/>
        </w:rPr>
      </w:pPr>
    </w:p>
    <w:p w14:paraId="7A535ABC" w14:textId="77777777" w:rsidR="00FF5885" w:rsidRDefault="004F245D" w:rsidP="00FF5885">
      <w:pPr>
        <w:rPr>
          <w:rFonts w:ascii="Times New Roman" w:hAnsi="Times New Roman"/>
          <w:szCs w:val="22"/>
          <w:lang w:val="en-GB" w:eastAsia="en-US"/>
        </w:rPr>
      </w:pPr>
      <w:r w:rsidRPr="004F285F">
        <w:rPr>
          <w:rFonts w:ascii="Times New Roman" w:hAnsi="Times New Roman"/>
          <w:szCs w:val="22"/>
          <w:lang w:val="en-GB" w:eastAsia="en-US"/>
        </w:rPr>
        <w:br w:type="page"/>
      </w:r>
    </w:p>
    <w:p w14:paraId="7A535ABD" w14:textId="77777777" w:rsidR="00596149" w:rsidRDefault="00596149" w:rsidP="00D162A5">
      <w:pPr>
        <w:pStyle w:val="En-ttedetabledesmatires"/>
        <w:spacing w:before="0" w:line="240" w:lineRule="auto"/>
        <w:rPr>
          <w:rFonts w:ascii="Arial" w:eastAsia="Times New Roman" w:hAnsi="Arial" w:cs="Arial"/>
          <w:color w:val="auto"/>
          <w:sz w:val="22"/>
          <w:szCs w:val="24"/>
          <w:lang w:val="en-IE"/>
        </w:rPr>
      </w:pPr>
    </w:p>
    <w:sdt>
      <w:sdtPr>
        <w:rPr>
          <w:rFonts w:ascii="Arial" w:eastAsia="Times New Roman" w:hAnsi="Arial" w:cs="Arial"/>
          <w:b w:val="0"/>
          <w:bCs w:val="0"/>
          <w:color w:val="auto"/>
          <w:sz w:val="22"/>
          <w:szCs w:val="24"/>
          <w:lang w:val="en-IE"/>
        </w:rPr>
        <w:id w:val="2126265190"/>
        <w:docPartObj>
          <w:docPartGallery w:val="Table of Contents"/>
          <w:docPartUnique/>
        </w:docPartObj>
      </w:sdtPr>
      <w:sdtEndPr>
        <w:rPr>
          <w:noProof/>
          <w:lang w:val="de-DE"/>
        </w:rPr>
      </w:sdtEndPr>
      <w:sdtContent>
        <w:p w14:paraId="7A535ABE" w14:textId="77777777" w:rsidR="00D162A5" w:rsidRPr="00FF5885" w:rsidRDefault="00D162A5" w:rsidP="00D162A5">
          <w:pPr>
            <w:pStyle w:val="En-ttedetabledesmatires"/>
            <w:spacing w:before="0" w:line="240" w:lineRule="auto"/>
            <w:rPr>
              <w:rFonts w:ascii="Times New Roman" w:hAnsi="Times New Roman"/>
              <w:szCs w:val="22"/>
              <w:lang w:val="en-GB" w:eastAsia="en-US"/>
            </w:rPr>
          </w:pPr>
          <w:r w:rsidRPr="00031540">
            <w:rPr>
              <w:rFonts w:ascii="Arial" w:hAnsi="Arial" w:cs="Arial"/>
            </w:rPr>
            <w:t xml:space="preserve">Table </w:t>
          </w:r>
          <w:proofErr w:type="spellStart"/>
          <w:r w:rsidRPr="00031540">
            <w:rPr>
              <w:rFonts w:ascii="Arial" w:hAnsi="Arial" w:cs="Arial"/>
            </w:rPr>
            <w:t>of</w:t>
          </w:r>
          <w:proofErr w:type="spellEnd"/>
          <w:r w:rsidRPr="00031540">
            <w:rPr>
              <w:rFonts w:ascii="Arial" w:hAnsi="Arial" w:cs="Arial"/>
            </w:rPr>
            <w:t xml:space="preserve"> Contents</w:t>
          </w:r>
        </w:p>
        <w:p w14:paraId="7A535ABF" w14:textId="77777777" w:rsidR="00FF5885" w:rsidRDefault="00FF5885">
          <w:pPr>
            <w:pStyle w:val="TM1"/>
            <w:tabs>
              <w:tab w:val="right" w:leader="dot" w:pos="9514"/>
            </w:tabs>
            <w:rPr>
              <w:rFonts w:cs="Arial"/>
            </w:rPr>
          </w:pPr>
        </w:p>
        <w:p w14:paraId="7A535AC0" w14:textId="77777777" w:rsidR="00FF5885" w:rsidRDefault="00FF5885">
          <w:pPr>
            <w:pStyle w:val="TM1"/>
            <w:tabs>
              <w:tab w:val="right" w:leader="dot" w:pos="9514"/>
            </w:tabs>
            <w:rPr>
              <w:rFonts w:cs="Arial"/>
            </w:rPr>
          </w:pPr>
        </w:p>
        <w:p w14:paraId="7A535AC1" w14:textId="77777777" w:rsidR="008125D0" w:rsidRDefault="003B3855">
          <w:pPr>
            <w:pStyle w:val="TM1"/>
            <w:tabs>
              <w:tab w:val="right" w:leader="dot" w:pos="9514"/>
            </w:tabs>
            <w:rPr>
              <w:rFonts w:asciiTheme="minorHAnsi" w:eastAsiaTheme="minorEastAsia" w:hAnsiTheme="minorHAnsi" w:cstheme="minorBidi"/>
              <w:noProof/>
              <w:szCs w:val="22"/>
              <w:lang w:val="fr-FR" w:eastAsia="fr-FR"/>
            </w:rPr>
          </w:pPr>
          <w:r w:rsidRPr="00031540">
            <w:rPr>
              <w:rFonts w:cs="Arial"/>
            </w:rPr>
            <w:fldChar w:fldCharType="begin"/>
          </w:r>
          <w:r w:rsidR="00D162A5" w:rsidRPr="00031540">
            <w:rPr>
              <w:rFonts w:cs="Arial"/>
            </w:rPr>
            <w:instrText xml:space="preserve"> TOC \o "1-3" \h \z \u </w:instrText>
          </w:r>
          <w:r w:rsidRPr="00031540">
            <w:rPr>
              <w:rFonts w:cs="Arial"/>
            </w:rPr>
            <w:fldChar w:fldCharType="separate"/>
          </w:r>
          <w:hyperlink w:anchor="_Toc496628109" w:history="1">
            <w:r w:rsidR="008125D0" w:rsidRPr="0022638E">
              <w:rPr>
                <w:rStyle w:val="Lienhypertexte"/>
                <w:rFonts w:ascii="Times New Roman" w:hAnsi="Times New Roman" w:cs="Arial"/>
                <w:b/>
                <w:noProof/>
                <w:lang w:val="en-GB" w:eastAsia="en-US"/>
              </w:rPr>
              <w:t>Whereas</w:t>
            </w:r>
            <w:r w:rsidR="008125D0">
              <w:rPr>
                <w:noProof/>
                <w:webHidden/>
              </w:rPr>
              <w:tab/>
            </w:r>
            <w:r>
              <w:rPr>
                <w:noProof/>
                <w:webHidden/>
              </w:rPr>
              <w:fldChar w:fldCharType="begin"/>
            </w:r>
            <w:r w:rsidR="008125D0">
              <w:rPr>
                <w:noProof/>
                <w:webHidden/>
              </w:rPr>
              <w:instrText xml:space="preserve"> PAGEREF _Toc496628109 \h </w:instrText>
            </w:r>
            <w:r>
              <w:rPr>
                <w:noProof/>
                <w:webHidden/>
              </w:rPr>
            </w:r>
            <w:r>
              <w:rPr>
                <w:noProof/>
                <w:webHidden/>
              </w:rPr>
              <w:fldChar w:fldCharType="separate"/>
            </w:r>
            <w:r w:rsidR="008125D0">
              <w:rPr>
                <w:noProof/>
                <w:webHidden/>
              </w:rPr>
              <w:t>3</w:t>
            </w:r>
            <w:r>
              <w:rPr>
                <w:noProof/>
                <w:webHidden/>
              </w:rPr>
              <w:fldChar w:fldCharType="end"/>
            </w:r>
          </w:hyperlink>
        </w:p>
        <w:p w14:paraId="7A535AC2" w14:textId="77777777" w:rsidR="008125D0" w:rsidRDefault="00E25AF8">
          <w:pPr>
            <w:pStyle w:val="TM2"/>
            <w:tabs>
              <w:tab w:val="right" w:leader="dot" w:pos="9514"/>
            </w:tabs>
            <w:rPr>
              <w:rFonts w:asciiTheme="minorHAnsi" w:eastAsiaTheme="minorEastAsia" w:hAnsiTheme="minorHAnsi" w:cstheme="minorBidi"/>
              <w:noProof/>
              <w:szCs w:val="22"/>
              <w:lang w:val="fr-FR" w:eastAsia="fr-FR"/>
            </w:rPr>
          </w:pPr>
          <w:hyperlink w:anchor="_Toc496628110" w:history="1">
            <w:r w:rsidR="008125D0" w:rsidRPr="0022638E">
              <w:rPr>
                <w:rStyle w:val="Lienhypertexte"/>
                <w:rFonts w:ascii="Times New Roman" w:hAnsi="Times New Roman" w:cs="Arial"/>
                <w:b/>
                <w:noProof/>
                <w:lang w:val="en-GB" w:eastAsia="en-US"/>
              </w:rPr>
              <w:t>Article 1 Subject matter and scope</w:t>
            </w:r>
            <w:r w:rsidR="008125D0">
              <w:rPr>
                <w:noProof/>
                <w:webHidden/>
              </w:rPr>
              <w:tab/>
            </w:r>
            <w:r w:rsidR="003B3855">
              <w:rPr>
                <w:noProof/>
                <w:webHidden/>
              </w:rPr>
              <w:fldChar w:fldCharType="begin"/>
            </w:r>
            <w:r w:rsidR="008125D0">
              <w:rPr>
                <w:noProof/>
                <w:webHidden/>
              </w:rPr>
              <w:instrText xml:space="preserve"> PAGEREF _Toc496628110 \h </w:instrText>
            </w:r>
            <w:r w:rsidR="003B3855">
              <w:rPr>
                <w:noProof/>
                <w:webHidden/>
              </w:rPr>
            </w:r>
            <w:r w:rsidR="003B3855">
              <w:rPr>
                <w:noProof/>
                <w:webHidden/>
              </w:rPr>
              <w:fldChar w:fldCharType="separate"/>
            </w:r>
            <w:r w:rsidR="008125D0">
              <w:rPr>
                <w:noProof/>
                <w:webHidden/>
              </w:rPr>
              <w:t>7</w:t>
            </w:r>
            <w:r w:rsidR="003B3855">
              <w:rPr>
                <w:noProof/>
                <w:webHidden/>
              </w:rPr>
              <w:fldChar w:fldCharType="end"/>
            </w:r>
          </w:hyperlink>
        </w:p>
        <w:p w14:paraId="7A535AC3" w14:textId="77777777" w:rsidR="008125D0" w:rsidRDefault="00E25AF8">
          <w:pPr>
            <w:pStyle w:val="TM2"/>
            <w:tabs>
              <w:tab w:val="right" w:leader="dot" w:pos="9514"/>
            </w:tabs>
            <w:rPr>
              <w:rFonts w:asciiTheme="minorHAnsi" w:eastAsiaTheme="minorEastAsia" w:hAnsiTheme="minorHAnsi" w:cstheme="minorBidi"/>
              <w:noProof/>
              <w:szCs w:val="22"/>
              <w:lang w:val="fr-FR" w:eastAsia="fr-FR"/>
            </w:rPr>
          </w:pPr>
          <w:hyperlink w:anchor="_Toc496628111" w:history="1">
            <w:r w:rsidR="008125D0" w:rsidRPr="0022638E">
              <w:rPr>
                <w:rStyle w:val="Lienhypertexte"/>
                <w:rFonts w:ascii="Times New Roman" w:hAnsi="Times New Roman" w:cs="Arial"/>
                <w:b/>
                <w:noProof/>
                <w:lang w:val="en-GB" w:eastAsia="en-US"/>
              </w:rPr>
              <w:t>Article 2 Definitions and interpretation</w:t>
            </w:r>
            <w:r w:rsidR="008125D0">
              <w:rPr>
                <w:noProof/>
                <w:webHidden/>
              </w:rPr>
              <w:tab/>
            </w:r>
            <w:r w:rsidR="003B3855">
              <w:rPr>
                <w:noProof/>
                <w:webHidden/>
              </w:rPr>
              <w:fldChar w:fldCharType="begin"/>
            </w:r>
            <w:r w:rsidR="008125D0">
              <w:rPr>
                <w:noProof/>
                <w:webHidden/>
              </w:rPr>
              <w:instrText xml:space="preserve"> PAGEREF _Toc496628111 \h </w:instrText>
            </w:r>
            <w:r w:rsidR="003B3855">
              <w:rPr>
                <w:noProof/>
                <w:webHidden/>
              </w:rPr>
            </w:r>
            <w:r w:rsidR="003B3855">
              <w:rPr>
                <w:noProof/>
                <w:webHidden/>
              </w:rPr>
              <w:fldChar w:fldCharType="separate"/>
            </w:r>
            <w:r w:rsidR="008125D0">
              <w:rPr>
                <w:noProof/>
                <w:webHidden/>
              </w:rPr>
              <w:t>7</w:t>
            </w:r>
            <w:r w:rsidR="003B3855">
              <w:rPr>
                <w:noProof/>
                <w:webHidden/>
              </w:rPr>
              <w:fldChar w:fldCharType="end"/>
            </w:r>
          </w:hyperlink>
        </w:p>
        <w:p w14:paraId="7A535AC4" w14:textId="77777777" w:rsidR="008125D0" w:rsidRDefault="00E25AF8">
          <w:pPr>
            <w:pStyle w:val="TM2"/>
            <w:tabs>
              <w:tab w:val="right" w:leader="dot" w:pos="9514"/>
            </w:tabs>
            <w:rPr>
              <w:rFonts w:asciiTheme="minorHAnsi" w:eastAsiaTheme="minorEastAsia" w:hAnsiTheme="minorHAnsi" w:cstheme="minorBidi"/>
              <w:noProof/>
              <w:szCs w:val="22"/>
              <w:lang w:val="fr-FR" w:eastAsia="fr-FR"/>
            </w:rPr>
          </w:pPr>
          <w:hyperlink w:anchor="_Toc496628112" w:history="1">
            <w:r w:rsidR="008125D0" w:rsidRPr="0022638E">
              <w:rPr>
                <w:rStyle w:val="Lienhypertexte"/>
                <w:rFonts w:ascii="Times New Roman" w:hAnsi="Times New Roman" w:cs="Arial"/>
                <w:b/>
                <w:noProof/>
                <w:lang w:val="en-GB" w:eastAsia="en-US"/>
              </w:rPr>
              <w:t>Article 3 Application of this proposal</w:t>
            </w:r>
            <w:r w:rsidR="008125D0">
              <w:rPr>
                <w:noProof/>
                <w:webHidden/>
              </w:rPr>
              <w:tab/>
            </w:r>
            <w:r w:rsidR="003B3855">
              <w:rPr>
                <w:noProof/>
                <w:webHidden/>
              </w:rPr>
              <w:fldChar w:fldCharType="begin"/>
            </w:r>
            <w:r w:rsidR="008125D0">
              <w:rPr>
                <w:noProof/>
                <w:webHidden/>
              </w:rPr>
              <w:instrText xml:space="preserve"> PAGEREF _Toc496628112 \h </w:instrText>
            </w:r>
            <w:r w:rsidR="003B3855">
              <w:rPr>
                <w:noProof/>
                <w:webHidden/>
              </w:rPr>
            </w:r>
            <w:r w:rsidR="003B3855">
              <w:rPr>
                <w:noProof/>
                <w:webHidden/>
              </w:rPr>
              <w:fldChar w:fldCharType="separate"/>
            </w:r>
            <w:r w:rsidR="008125D0">
              <w:rPr>
                <w:noProof/>
                <w:webHidden/>
              </w:rPr>
              <w:t>7</w:t>
            </w:r>
            <w:r w:rsidR="003B3855">
              <w:rPr>
                <w:noProof/>
                <w:webHidden/>
              </w:rPr>
              <w:fldChar w:fldCharType="end"/>
            </w:r>
          </w:hyperlink>
        </w:p>
        <w:p w14:paraId="7A535AC5" w14:textId="77777777" w:rsidR="008125D0" w:rsidRDefault="00E25AF8">
          <w:pPr>
            <w:pStyle w:val="TM2"/>
            <w:tabs>
              <w:tab w:val="right" w:leader="dot" w:pos="9514"/>
            </w:tabs>
            <w:rPr>
              <w:rFonts w:asciiTheme="minorHAnsi" w:eastAsiaTheme="minorEastAsia" w:hAnsiTheme="minorHAnsi" w:cstheme="minorBidi"/>
              <w:noProof/>
              <w:szCs w:val="22"/>
              <w:lang w:val="fr-FR" w:eastAsia="fr-FR"/>
            </w:rPr>
          </w:pPr>
          <w:hyperlink w:anchor="_Toc496628113" w:history="1">
            <w:r w:rsidR="008125D0" w:rsidRPr="0022638E">
              <w:rPr>
                <w:rStyle w:val="Lienhypertexte"/>
                <w:rFonts w:ascii="Times New Roman" w:hAnsi="Times New Roman" w:cs="Arial"/>
                <w:b/>
                <w:noProof/>
                <w:lang w:val="en-GB" w:eastAsia="en-US"/>
              </w:rPr>
              <w:t>Article 4 Cross-zonal capacities for the day-ahead market</w:t>
            </w:r>
            <w:r w:rsidR="008125D0">
              <w:rPr>
                <w:noProof/>
                <w:webHidden/>
              </w:rPr>
              <w:tab/>
            </w:r>
            <w:r w:rsidR="003B3855">
              <w:rPr>
                <w:noProof/>
                <w:webHidden/>
              </w:rPr>
              <w:fldChar w:fldCharType="begin"/>
            </w:r>
            <w:r w:rsidR="008125D0">
              <w:rPr>
                <w:noProof/>
                <w:webHidden/>
              </w:rPr>
              <w:instrText xml:space="preserve"> PAGEREF _Toc496628113 \h </w:instrText>
            </w:r>
            <w:r w:rsidR="003B3855">
              <w:rPr>
                <w:noProof/>
                <w:webHidden/>
              </w:rPr>
            </w:r>
            <w:r w:rsidR="003B3855">
              <w:rPr>
                <w:noProof/>
                <w:webHidden/>
              </w:rPr>
              <w:fldChar w:fldCharType="separate"/>
            </w:r>
            <w:r w:rsidR="008125D0">
              <w:rPr>
                <w:noProof/>
                <w:webHidden/>
              </w:rPr>
              <w:t>7</w:t>
            </w:r>
            <w:r w:rsidR="003B3855">
              <w:rPr>
                <w:noProof/>
                <w:webHidden/>
              </w:rPr>
              <w:fldChar w:fldCharType="end"/>
            </w:r>
          </w:hyperlink>
        </w:p>
        <w:p w14:paraId="7A535AC6" w14:textId="77777777" w:rsidR="008125D0" w:rsidRDefault="00E25AF8">
          <w:pPr>
            <w:pStyle w:val="TM2"/>
            <w:tabs>
              <w:tab w:val="right" w:leader="dot" w:pos="9514"/>
            </w:tabs>
            <w:rPr>
              <w:rFonts w:asciiTheme="minorHAnsi" w:eastAsiaTheme="minorEastAsia" w:hAnsiTheme="minorHAnsi" w:cstheme="minorBidi"/>
              <w:noProof/>
              <w:szCs w:val="22"/>
              <w:lang w:val="fr-FR" w:eastAsia="fr-FR"/>
            </w:rPr>
          </w:pPr>
          <w:hyperlink w:anchor="_Toc496628114" w:history="1">
            <w:r w:rsidR="008125D0" w:rsidRPr="0022638E">
              <w:rPr>
                <w:rStyle w:val="Lienhypertexte"/>
                <w:rFonts w:ascii="Times New Roman" w:hAnsi="Times New Roman" w:cs="Arial"/>
                <w:b/>
                <w:noProof/>
                <w:lang w:val="en-GB" w:eastAsia="en-US"/>
              </w:rPr>
              <w:t>Article 5 Reliability margin methodology</w:t>
            </w:r>
            <w:r w:rsidR="008125D0">
              <w:rPr>
                <w:noProof/>
                <w:webHidden/>
              </w:rPr>
              <w:tab/>
            </w:r>
            <w:r w:rsidR="003B3855">
              <w:rPr>
                <w:noProof/>
                <w:webHidden/>
              </w:rPr>
              <w:fldChar w:fldCharType="begin"/>
            </w:r>
            <w:r w:rsidR="008125D0">
              <w:rPr>
                <w:noProof/>
                <w:webHidden/>
              </w:rPr>
              <w:instrText xml:space="preserve"> PAGEREF _Toc496628114 \h </w:instrText>
            </w:r>
            <w:r w:rsidR="003B3855">
              <w:rPr>
                <w:noProof/>
                <w:webHidden/>
              </w:rPr>
            </w:r>
            <w:r w:rsidR="003B3855">
              <w:rPr>
                <w:noProof/>
                <w:webHidden/>
              </w:rPr>
              <w:fldChar w:fldCharType="separate"/>
            </w:r>
            <w:r w:rsidR="008125D0">
              <w:rPr>
                <w:noProof/>
                <w:webHidden/>
              </w:rPr>
              <w:t>8</w:t>
            </w:r>
            <w:r w:rsidR="003B3855">
              <w:rPr>
                <w:noProof/>
                <w:webHidden/>
              </w:rPr>
              <w:fldChar w:fldCharType="end"/>
            </w:r>
          </w:hyperlink>
        </w:p>
        <w:p w14:paraId="7A535AC7" w14:textId="77777777" w:rsidR="008125D0" w:rsidRDefault="00E25AF8">
          <w:pPr>
            <w:pStyle w:val="TM2"/>
            <w:tabs>
              <w:tab w:val="right" w:leader="dot" w:pos="9514"/>
            </w:tabs>
            <w:rPr>
              <w:rFonts w:asciiTheme="minorHAnsi" w:eastAsiaTheme="minorEastAsia" w:hAnsiTheme="minorHAnsi" w:cstheme="minorBidi"/>
              <w:noProof/>
              <w:szCs w:val="22"/>
              <w:lang w:val="fr-FR" w:eastAsia="fr-FR"/>
            </w:rPr>
          </w:pPr>
          <w:hyperlink w:anchor="_Toc496628115" w:history="1">
            <w:r w:rsidR="008125D0" w:rsidRPr="0022638E">
              <w:rPr>
                <w:rStyle w:val="Lienhypertexte"/>
                <w:rFonts w:ascii="Times New Roman" w:hAnsi="Times New Roman" w:cs="Arial"/>
                <w:b/>
                <w:noProof/>
                <w:lang w:val="en-GB" w:eastAsia="en-US"/>
              </w:rPr>
              <w:t>Article 6 Methodologies for operational security limits, contingencies and allocation constraints</w:t>
            </w:r>
            <w:r w:rsidR="008125D0">
              <w:rPr>
                <w:noProof/>
                <w:webHidden/>
              </w:rPr>
              <w:tab/>
            </w:r>
            <w:r w:rsidR="003B3855">
              <w:rPr>
                <w:noProof/>
                <w:webHidden/>
              </w:rPr>
              <w:fldChar w:fldCharType="begin"/>
            </w:r>
            <w:r w:rsidR="008125D0">
              <w:rPr>
                <w:noProof/>
                <w:webHidden/>
              </w:rPr>
              <w:instrText xml:space="preserve"> PAGEREF _Toc496628115 \h </w:instrText>
            </w:r>
            <w:r w:rsidR="003B3855">
              <w:rPr>
                <w:noProof/>
                <w:webHidden/>
              </w:rPr>
            </w:r>
            <w:r w:rsidR="003B3855">
              <w:rPr>
                <w:noProof/>
                <w:webHidden/>
              </w:rPr>
              <w:fldChar w:fldCharType="separate"/>
            </w:r>
            <w:r w:rsidR="008125D0">
              <w:rPr>
                <w:noProof/>
                <w:webHidden/>
              </w:rPr>
              <w:t>8</w:t>
            </w:r>
            <w:r w:rsidR="003B3855">
              <w:rPr>
                <w:noProof/>
                <w:webHidden/>
              </w:rPr>
              <w:fldChar w:fldCharType="end"/>
            </w:r>
          </w:hyperlink>
        </w:p>
        <w:p w14:paraId="7A535AC8" w14:textId="77777777" w:rsidR="008125D0" w:rsidRDefault="00E25AF8">
          <w:pPr>
            <w:pStyle w:val="TM2"/>
            <w:tabs>
              <w:tab w:val="right" w:leader="dot" w:pos="9514"/>
            </w:tabs>
            <w:rPr>
              <w:rFonts w:asciiTheme="minorHAnsi" w:eastAsiaTheme="minorEastAsia" w:hAnsiTheme="minorHAnsi" w:cstheme="minorBidi"/>
              <w:noProof/>
              <w:szCs w:val="22"/>
              <w:lang w:val="fr-FR" w:eastAsia="fr-FR"/>
            </w:rPr>
          </w:pPr>
          <w:hyperlink w:anchor="_Toc496628116" w:history="1">
            <w:r w:rsidR="008125D0" w:rsidRPr="0022638E">
              <w:rPr>
                <w:rStyle w:val="Lienhypertexte"/>
                <w:rFonts w:ascii="Times New Roman" w:hAnsi="Times New Roman" w:cs="Arial"/>
                <w:b/>
                <w:noProof/>
                <w:lang w:val="en-GB" w:eastAsia="en-US"/>
              </w:rPr>
              <w:t>Article 7 Generation shift keys methodology</w:t>
            </w:r>
            <w:r w:rsidR="008125D0">
              <w:rPr>
                <w:noProof/>
                <w:webHidden/>
              </w:rPr>
              <w:tab/>
            </w:r>
            <w:r w:rsidR="003B3855">
              <w:rPr>
                <w:noProof/>
                <w:webHidden/>
              </w:rPr>
              <w:fldChar w:fldCharType="begin"/>
            </w:r>
            <w:r w:rsidR="008125D0">
              <w:rPr>
                <w:noProof/>
                <w:webHidden/>
              </w:rPr>
              <w:instrText xml:space="preserve"> PAGEREF _Toc496628116 \h </w:instrText>
            </w:r>
            <w:r w:rsidR="003B3855">
              <w:rPr>
                <w:noProof/>
                <w:webHidden/>
              </w:rPr>
            </w:r>
            <w:r w:rsidR="003B3855">
              <w:rPr>
                <w:noProof/>
                <w:webHidden/>
              </w:rPr>
              <w:fldChar w:fldCharType="separate"/>
            </w:r>
            <w:r w:rsidR="008125D0">
              <w:rPr>
                <w:noProof/>
                <w:webHidden/>
              </w:rPr>
              <w:t>9</w:t>
            </w:r>
            <w:r w:rsidR="003B3855">
              <w:rPr>
                <w:noProof/>
                <w:webHidden/>
              </w:rPr>
              <w:fldChar w:fldCharType="end"/>
            </w:r>
          </w:hyperlink>
        </w:p>
        <w:p w14:paraId="7A535AC9" w14:textId="77777777" w:rsidR="008125D0" w:rsidRDefault="00E25AF8">
          <w:pPr>
            <w:pStyle w:val="TM2"/>
            <w:tabs>
              <w:tab w:val="right" w:leader="dot" w:pos="9514"/>
            </w:tabs>
            <w:rPr>
              <w:rFonts w:asciiTheme="minorHAnsi" w:eastAsiaTheme="minorEastAsia" w:hAnsiTheme="minorHAnsi" w:cstheme="minorBidi"/>
              <w:noProof/>
              <w:szCs w:val="22"/>
              <w:lang w:val="fr-FR" w:eastAsia="fr-FR"/>
            </w:rPr>
          </w:pPr>
          <w:hyperlink w:anchor="_Toc496628117" w:history="1">
            <w:r w:rsidR="008125D0" w:rsidRPr="0022638E">
              <w:rPr>
                <w:rStyle w:val="Lienhypertexte"/>
                <w:rFonts w:ascii="Times New Roman" w:hAnsi="Times New Roman" w:cs="Arial"/>
                <w:b/>
                <w:noProof/>
                <w:lang w:val="en-GB" w:eastAsia="en-US"/>
              </w:rPr>
              <w:t>Article 8 Methodology for remedial actions in capacity calculation</w:t>
            </w:r>
            <w:r w:rsidR="008125D0">
              <w:rPr>
                <w:noProof/>
                <w:webHidden/>
              </w:rPr>
              <w:tab/>
            </w:r>
            <w:r w:rsidR="003B3855">
              <w:rPr>
                <w:noProof/>
                <w:webHidden/>
              </w:rPr>
              <w:fldChar w:fldCharType="begin"/>
            </w:r>
            <w:r w:rsidR="008125D0">
              <w:rPr>
                <w:noProof/>
                <w:webHidden/>
              </w:rPr>
              <w:instrText xml:space="preserve"> PAGEREF _Toc496628117 \h </w:instrText>
            </w:r>
            <w:r w:rsidR="003B3855">
              <w:rPr>
                <w:noProof/>
                <w:webHidden/>
              </w:rPr>
            </w:r>
            <w:r w:rsidR="003B3855">
              <w:rPr>
                <w:noProof/>
                <w:webHidden/>
              </w:rPr>
              <w:fldChar w:fldCharType="separate"/>
            </w:r>
            <w:r w:rsidR="008125D0">
              <w:rPr>
                <w:noProof/>
                <w:webHidden/>
              </w:rPr>
              <w:t>9</w:t>
            </w:r>
            <w:r w:rsidR="003B3855">
              <w:rPr>
                <w:noProof/>
                <w:webHidden/>
              </w:rPr>
              <w:fldChar w:fldCharType="end"/>
            </w:r>
          </w:hyperlink>
        </w:p>
        <w:p w14:paraId="7A535ACA" w14:textId="77777777" w:rsidR="008125D0" w:rsidRDefault="00E25AF8">
          <w:pPr>
            <w:pStyle w:val="TM2"/>
            <w:tabs>
              <w:tab w:val="right" w:leader="dot" w:pos="9514"/>
            </w:tabs>
            <w:rPr>
              <w:rFonts w:asciiTheme="minorHAnsi" w:eastAsiaTheme="minorEastAsia" w:hAnsiTheme="minorHAnsi" w:cstheme="minorBidi"/>
              <w:noProof/>
              <w:szCs w:val="22"/>
              <w:lang w:val="fr-FR" w:eastAsia="fr-FR"/>
            </w:rPr>
          </w:pPr>
          <w:hyperlink w:anchor="_Toc496628118" w:history="1">
            <w:r w:rsidR="008125D0" w:rsidRPr="0022638E">
              <w:rPr>
                <w:rStyle w:val="Lienhypertexte"/>
                <w:rFonts w:ascii="Times New Roman" w:hAnsi="Times New Roman" w:cs="Arial"/>
                <w:b/>
                <w:noProof/>
                <w:lang w:val="en-GB" w:eastAsia="en-US"/>
              </w:rPr>
              <w:t>Article 9 Cross-zonal capacity validation methodology</w:t>
            </w:r>
            <w:r w:rsidR="008125D0">
              <w:rPr>
                <w:noProof/>
                <w:webHidden/>
              </w:rPr>
              <w:tab/>
            </w:r>
            <w:r w:rsidR="003B3855">
              <w:rPr>
                <w:noProof/>
                <w:webHidden/>
              </w:rPr>
              <w:fldChar w:fldCharType="begin"/>
            </w:r>
            <w:r w:rsidR="008125D0">
              <w:rPr>
                <w:noProof/>
                <w:webHidden/>
              </w:rPr>
              <w:instrText xml:space="preserve"> PAGEREF _Toc496628118 \h </w:instrText>
            </w:r>
            <w:r w:rsidR="003B3855">
              <w:rPr>
                <w:noProof/>
                <w:webHidden/>
              </w:rPr>
            </w:r>
            <w:r w:rsidR="003B3855">
              <w:rPr>
                <w:noProof/>
                <w:webHidden/>
              </w:rPr>
              <w:fldChar w:fldCharType="separate"/>
            </w:r>
            <w:r w:rsidR="008125D0">
              <w:rPr>
                <w:noProof/>
                <w:webHidden/>
              </w:rPr>
              <w:t>9</w:t>
            </w:r>
            <w:r w:rsidR="003B3855">
              <w:rPr>
                <w:noProof/>
                <w:webHidden/>
              </w:rPr>
              <w:fldChar w:fldCharType="end"/>
            </w:r>
          </w:hyperlink>
        </w:p>
        <w:p w14:paraId="7A535ACB" w14:textId="77777777" w:rsidR="008125D0" w:rsidRDefault="00E25AF8">
          <w:pPr>
            <w:pStyle w:val="TM2"/>
            <w:tabs>
              <w:tab w:val="right" w:leader="dot" w:pos="9514"/>
            </w:tabs>
            <w:rPr>
              <w:rFonts w:asciiTheme="minorHAnsi" w:eastAsiaTheme="minorEastAsia" w:hAnsiTheme="minorHAnsi" w:cstheme="minorBidi"/>
              <w:noProof/>
              <w:szCs w:val="22"/>
              <w:lang w:val="fr-FR" w:eastAsia="fr-FR"/>
            </w:rPr>
          </w:pPr>
          <w:hyperlink w:anchor="_Toc496628119" w:history="1">
            <w:r w:rsidR="008125D0" w:rsidRPr="0022638E">
              <w:rPr>
                <w:rStyle w:val="Lienhypertexte"/>
                <w:rFonts w:ascii="Times New Roman" w:hAnsi="Times New Roman" w:cs="Arial"/>
                <w:b/>
                <w:noProof/>
                <w:lang w:val="en-GB" w:eastAsia="en-US"/>
              </w:rPr>
              <w:t>Article 10 Day-ahead capacity calculation</w:t>
            </w:r>
            <w:r w:rsidR="008125D0">
              <w:rPr>
                <w:noProof/>
                <w:webHidden/>
              </w:rPr>
              <w:tab/>
            </w:r>
            <w:r w:rsidR="003B3855">
              <w:rPr>
                <w:noProof/>
                <w:webHidden/>
              </w:rPr>
              <w:fldChar w:fldCharType="begin"/>
            </w:r>
            <w:r w:rsidR="008125D0">
              <w:rPr>
                <w:noProof/>
                <w:webHidden/>
              </w:rPr>
              <w:instrText xml:space="preserve"> PAGEREF _Toc496628119 \h </w:instrText>
            </w:r>
            <w:r w:rsidR="003B3855">
              <w:rPr>
                <w:noProof/>
                <w:webHidden/>
              </w:rPr>
            </w:r>
            <w:r w:rsidR="003B3855">
              <w:rPr>
                <w:noProof/>
                <w:webHidden/>
              </w:rPr>
              <w:fldChar w:fldCharType="separate"/>
            </w:r>
            <w:r w:rsidR="008125D0">
              <w:rPr>
                <w:noProof/>
                <w:webHidden/>
              </w:rPr>
              <w:t>10</w:t>
            </w:r>
            <w:r w:rsidR="003B3855">
              <w:rPr>
                <w:noProof/>
                <w:webHidden/>
              </w:rPr>
              <w:fldChar w:fldCharType="end"/>
            </w:r>
          </w:hyperlink>
        </w:p>
        <w:p w14:paraId="7A535ACC" w14:textId="77777777" w:rsidR="008125D0" w:rsidRDefault="00E25AF8">
          <w:pPr>
            <w:pStyle w:val="TM2"/>
            <w:tabs>
              <w:tab w:val="right" w:leader="dot" w:pos="9514"/>
            </w:tabs>
            <w:rPr>
              <w:rFonts w:asciiTheme="minorHAnsi" w:eastAsiaTheme="minorEastAsia" w:hAnsiTheme="minorHAnsi" w:cstheme="minorBidi"/>
              <w:noProof/>
              <w:szCs w:val="22"/>
              <w:lang w:val="fr-FR" w:eastAsia="fr-FR"/>
            </w:rPr>
          </w:pPr>
          <w:hyperlink w:anchor="_Toc496628120" w:history="1">
            <w:r w:rsidR="008125D0" w:rsidRPr="0022638E">
              <w:rPr>
                <w:rStyle w:val="Lienhypertexte"/>
                <w:rFonts w:ascii="Times New Roman" w:hAnsi="Times New Roman" w:cs="Arial"/>
                <w:b/>
                <w:noProof/>
                <w:lang w:val="en-GB" w:eastAsia="en-US"/>
              </w:rPr>
              <w:t>Article 11 Fallback procedures</w:t>
            </w:r>
            <w:r w:rsidR="008125D0">
              <w:rPr>
                <w:noProof/>
                <w:webHidden/>
              </w:rPr>
              <w:tab/>
            </w:r>
            <w:r w:rsidR="003B3855">
              <w:rPr>
                <w:noProof/>
                <w:webHidden/>
              </w:rPr>
              <w:fldChar w:fldCharType="begin"/>
            </w:r>
            <w:r w:rsidR="008125D0">
              <w:rPr>
                <w:noProof/>
                <w:webHidden/>
              </w:rPr>
              <w:instrText xml:space="preserve"> PAGEREF _Toc496628120 \h </w:instrText>
            </w:r>
            <w:r w:rsidR="003B3855">
              <w:rPr>
                <w:noProof/>
                <w:webHidden/>
              </w:rPr>
            </w:r>
            <w:r w:rsidR="003B3855">
              <w:rPr>
                <w:noProof/>
                <w:webHidden/>
              </w:rPr>
              <w:fldChar w:fldCharType="separate"/>
            </w:r>
            <w:r w:rsidR="008125D0">
              <w:rPr>
                <w:noProof/>
                <w:webHidden/>
              </w:rPr>
              <w:t>11</w:t>
            </w:r>
            <w:r w:rsidR="003B3855">
              <w:rPr>
                <w:noProof/>
                <w:webHidden/>
              </w:rPr>
              <w:fldChar w:fldCharType="end"/>
            </w:r>
          </w:hyperlink>
        </w:p>
        <w:p w14:paraId="7A535ACD" w14:textId="77777777" w:rsidR="008125D0" w:rsidRDefault="00E25AF8">
          <w:pPr>
            <w:pStyle w:val="TM2"/>
            <w:tabs>
              <w:tab w:val="right" w:leader="dot" w:pos="9514"/>
            </w:tabs>
            <w:rPr>
              <w:rFonts w:asciiTheme="minorHAnsi" w:eastAsiaTheme="minorEastAsia" w:hAnsiTheme="minorHAnsi" w:cstheme="minorBidi"/>
              <w:noProof/>
              <w:szCs w:val="22"/>
              <w:lang w:val="fr-FR" w:eastAsia="fr-FR"/>
            </w:rPr>
          </w:pPr>
          <w:hyperlink w:anchor="_Toc496628121" w:history="1">
            <w:r w:rsidR="008125D0" w:rsidRPr="0022638E">
              <w:rPr>
                <w:rStyle w:val="Lienhypertexte"/>
                <w:rFonts w:ascii="Times New Roman" w:hAnsi="Times New Roman" w:cs="Arial"/>
                <w:b/>
                <w:noProof/>
                <w:lang w:val="en-GB" w:eastAsia="en-US"/>
              </w:rPr>
              <w:t>Article 12 Publication and Implementation of the D-2 CCC methodology Proposal</w:t>
            </w:r>
            <w:r w:rsidR="008125D0">
              <w:rPr>
                <w:noProof/>
                <w:webHidden/>
              </w:rPr>
              <w:tab/>
            </w:r>
            <w:r w:rsidR="003B3855">
              <w:rPr>
                <w:noProof/>
                <w:webHidden/>
              </w:rPr>
              <w:fldChar w:fldCharType="begin"/>
            </w:r>
            <w:r w:rsidR="008125D0">
              <w:rPr>
                <w:noProof/>
                <w:webHidden/>
              </w:rPr>
              <w:instrText xml:space="preserve"> PAGEREF _Toc496628121 \h </w:instrText>
            </w:r>
            <w:r w:rsidR="003B3855">
              <w:rPr>
                <w:noProof/>
                <w:webHidden/>
              </w:rPr>
            </w:r>
            <w:r w:rsidR="003B3855">
              <w:rPr>
                <w:noProof/>
                <w:webHidden/>
              </w:rPr>
              <w:fldChar w:fldCharType="separate"/>
            </w:r>
            <w:r w:rsidR="008125D0">
              <w:rPr>
                <w:noProof/>
                <w:webHidden/>
              </w:rPr>
              <w:t>11</w:t>
            </w:r>
            <w:r w:rsidR="003B3855">
              <w:rPr>
                <w:noProof/>
                <w:webHidden/>
              </w:rPr>
              <w:fldChar w:fldCharType="end"/>
            </w:r>
          </w:hyperlink>
        </w:p>
        <w:p w14:paraId="7A535ACE" w14:textId="77777777" w:rsidR="008125D0" w:rsidRDefault="00E25AF8">
          <w:pPr>
            <w:pStyle w:val="TM2"/>
            <w:tabs>
              <w:tab w:val="right" w:leader="dot" w:pos="9514"/>
            </w:tabs>
            <w:rPr>
              <w:rFonts w:asciiTheme="minorHAnsi" w:eastAsiaTheme="minorEastAsia" w:hAnsiTheme="minorHAnsi" w:cstheme="minorBidi"/>
              <w:noProof/>
              <w:szCs w:val="22"/>
              <w:lang w:val="fr-FR" w:eastAsia="fr-FR"/>
            </w:rPr>
          </w:pPr>
          <w:hyperlink w:anchor="_Toc496628122" w:history="1">
            <w:r w:rsidR="008125D0" w:rsidRPr="0022638E">
              <w:rPr>
                <w:rStyle w:val="Lienhypertexte"/>
                <w:rFonts w:ascii="Times New Roman" w:hAnsi="Times New Roman" w:cs="Arial"/>
                <w:b/>
                <w:noProof/>
                <w:lang w:val="en-GB" w:eastAsia="en-US"/>
              </w:rPr>
              <w:t>Article 13 Language</w:t>
            </w:r>
            <w:r w:rsidR="008125D0">
              <w:rPr>
                <w:noProof/>
                <w:webHidden/>
              </w:rPr>
              <w:tab/>
            </w:r>
            <w:r w:rsidR="003B3855">
              <w:rPr>
                <w:noProof/>
                <w:webHidden/>
              </w:rPr>
              <w:fldChar w:fldCharType="begin"/>
            </w:r>
            <w:r w:rsidR="008125D0">
              <w:rPr>
                <w:noProof/>
                <w:webHidden/>
              </w:rPr>
              <w:instrText xml:space="preserve"> PAGEREF _Toc496628122 \h </w:instrText>
            </w:r>
            <w:r w:rsidR="003B3855">
              <w:rPr>
                <w:noProof/>
                <w:webHidden/>
              </w:rPr>
            </w:r>
            <w:r w:rsidR="003B3855">
              <w:rPr>
                <w:noProof/>
                <w:webHidden/>
              </w:rPr>
              <w:fldChar w:fldCharType="separate"/>
            </w:r>
            <w:r w:rsidR="008125D0">
              <w:rPr>
                <w:noProof/>
                <w:webHidden/>
              </w:rPr>
              <w:t>11</w:t>
            </w:r>
            <w:r w:rsidR="003B3855">
              <w:rPr>
                <w:noProof/>
                <w:webHidden/>
              </w:rPr>
              <w:fldChar w:fldCharType="end"/>
            </w:r>
          </w:hyperlink>
        </w:p>
        <w:p w14:paraId="7A535ACF" w14:textId="77777777" w:rsidR="00D162A5" w:rsidRDefault="003B3855" w:rsidP="00D162A5">
          <w:pPr>
            <w:rPr>
              <w:rFonts w:cs="Arial"/>
              <w:b/>
              <w:bCs/>
              <w:noProof/>
            </w:rPr>
          </w:pPr>
          <w:r w:rsidRPr="00031540">
            <w:rPr>
              <w:rFonts w:cs="Arial"/>
              <w:b/>
              <w:bCs/>
              <w:noProof/>
            </w:rPr>
            <w:fldChar w:fldCharType="end"/>
          </w:r>
        </w:p>
      </w:sdtContent>
    </w:sdt>
    <w:p w14:paraId="7A535AD0" w14:textId="77777777" w:rsidR="00D162A5" w:rsidRDefault="00D162A5">
      <w:pPr>
        <w:rPr>
          <w:rFonts w:ascii="Times New Roman" w:hAnsi="Times New Roman"/>
          <w:szCs w:val="22"/>
          <w:lang w:val="en-GB" w:eastAsia="en-US"/>
        </w:rPr>
      </w:pPr>
    </w:p>
    <w:p w14:paraId="7A535AD1" w14:textId="77777777" w:rsidR="00D162A5" w:rsidRDefault="00D162A5">
      <w:pPr>
        <w:rPr>
          <w:rFonts w:ascii="Times New Roman" w:hAnsi="Times New Roman"/>
          <w:szCs w:val="22"/>
          <w:lang w:val="en-GB" w:eastAsia="en-US"/>
        </w:rPr>
      </w:pPr>
      <w:r>
        <w:rPr>
          <w:rFonts w:ascii="Times New Roman" w:hAnsi="Times New Roman"/>
          <w:szCs w:val="22"/>
          <w:lang w:val="en-GB" w:eastAsia="en-US"/>
        </w:rPr>
        <w:br w:type="page"/>
      </w:r>
    </w:p>
    <w:p w14:paraId="7A535AD2" w14:textId="77777777" w:rsidR="00596149" w:rsidRDefault="00596149" w:rsidP="007E7F9C">
      <w:pPr>
        <w:rPr>
          <w:rFonts w:ascii="Times New Roman" w:hAnsi="Times New Roman"/>
          <w:szCs w:val="22"/>
          <w:lang w:val="en-GB" w:eastAsia="en-US"/>
        </w:rPr>
      </w:pPr>
    </w:p>
    <w:p w14:paraId="7A535AD3" w14:textId="77777777" w:rsidR="004F245D" w:rsidRPr="004F285F" w:rsidRDefault="004F245D" w:rsidP="007E7F9C">
      <w:pPr>
        <w:rPr>
          <w:rFonts w:ascii="Times New Roman" w:hAnsi="Times New Roman"/>
          <w:szCs w:val="22"/>
          <w:lang w:val="en-GB" w:eastAsia="en-US"/>
        </w:rPr>
      </w:pPr>
      <w:r w:rsidRPr="004F285F">
        <w:rPr>
          <w:rFonts w:ascii="Times New Roman" w:hAnsi="Times New Roman"/>
          <w:szCs w:val="22"/>
          <w:lang w:val="en-GB" w:eastAsia="en-US"/>
        </w:rPr>
        <w:t>All TSOs, taking into account the following:</w:t>
      </w:r>
    </w:p>
    <w:p w14:paraId="7A535AD4" w14:textId="77777777" w:rsidR="004F245D" w:rsidRPr="004F285F" w:rsidRDefault="004F245D" w:rsidP="004F245D">
      <w:pPr>
        <w:spacing w:before="400" w:after="120" w:line="340" w:lineRule="exact"/>
        <w:jc w:val="center"/>
        <w:outlineLvl w:val="0"/>
        <w:rPr>
          <w:rFonts w:ascii="Times New Roman" w:hAnsi="Times New Roman" w:cs="Arial"/>
          <w:b/>
          <w:color w:val="23236E"/>
          <w:sz w:val="24"/>
          <w:szCs w:val="28"/>
          <w:lang w:val="en-GB" w:eastAsia="en-US"/>
        </w:rPr>
      </w:pPr>
      <w:bookmarkStart w:id="1" w:name="_Toc432586767"/>
      <w:bookmarkStart w:id="2" w:name="_Toc432586787"/>
      <w:bookmarkStart w:id="3" w:name="_Toc445298912"/>
      <w:bookmarkStart w:id="4" w:name="_Toc445299174"/>
      <w:bookmarkStart w:id="5" w:name="_Toc445825430"/>
      <w:bookmarkStart w:id="6" w:name="_Toc496628109"/>
      <w:r w:rsidRPr="004F285F">
        <w:rPr>
          <w:rFonts w:ascii="Times New Roman" w:hAnsi="Times New Roman" w:cs="Arial"/>
          <w:b/>
          <w:color w:val="23236E"/>
          <w:sz w:val="24"/>
          <w:szCs w:val="28"/>
          <w:lang w:val="en-GB" w:eastAsia="en-US"/>
        </w:rPr>
        <w:t>Whereas</w:t>
      </w:r>
      <w:bookmarkEnd w:id="1"/>
      <w:bookmarkEnd w:id="2"/>
      <w:bookmarkEnd w:id="3"/>
      <w:bookmarkEnd w:id="4"/>
      <w:bookmarkEnd w:id="5"/>
      <w:bookmarkEnd w:id="6"/>
    </w:p>
    <w:p w14:paraId="7A535AD5" w14:textId="77777777" w:rsidR="004F245D" w:rsidRDefault="000C3FA6" w:rsidP="000C3FA6">
      <w:pPr>
        <w:numPr>
          <w:ilvl w:val="0"/>
          <w:numId w:val="11"/>
        </w:numPr>
        <w:spacing w:after="120" w:line="259" w:lineRule="auto"/>
        <w:ind w:left="993" w:hanging="633"/>
        <w:contextualSpacing/>
        <w:jc w:val="both"/>
        <w:rPr>
          <w:rFonts w:ascii="Times New Roman" w:hAnsi="Times New Roman"/>
          <w:szCs w:val="22"/>
          <w:lang w:val="en-GB" w:eastAsia="en-US"/>
        </w:rPr>
      </w:pPr>
      <w:r w:rsidRPr="000C3FA6">
        <w:rPr>
          <w:rFonts w:ascii="Times New Roman" w:hAnsi="Times New Roman"/>
          <w:szCs w:val="22"/>
          <w:lang w:val="en-GB" w:eastAsia="en-US"/>
        </w:rPr>
        <w:t xml:space="preserve">This document (hereafter referred to as “Italy North Borders </w:t>
      </w:r>
      <w:r>
        <w:rPr>
          <w:rFonts w:ascii="Times New Roman" w:hAnsi="Times New Roman"/>
          <w:szCs w:val="22"/>
          <w:lang w:val="en-GB" w:eastAsia="en-US"/>
        </w:rPr>
        <w:t xml:space="preserve">D-2 </w:t>
      </w:r>
      <w:r w:rsidR="009F12AD">
        <w:rPr>
          <w:rFonts w:ascii="Times New Roman" w:hAnsi="Times New Roman"/>
          <w:szCs w:val="22"/>
          <w:lang w:val="en-GB" w:eastAsia="en-US"/>
        </w:rPr>
        <w:t>common c</w:t>
      </w:r>
      <w:r>
        <w:rPr>
          <w:rFonts w:ascii="Times New Roman" w:hAnsi="Times New Roman"/>
          <w:szCs w:val="22"/>
          <w:lang w:val="en-GB" w:eastAsia="en-US"/>
        </w:rPr>
        <w:t>apacity calculation methodology</w:t>
      </w:r>
      <w:r w:rsidRPr="000C3FA6">
        <w:rPr>
          <w:rFonts w:ascii="Times New Roman" w:hAnsi="Times New Roman"/>
          <w:szCs w:val="22"/>
          <w:lang w:val="en-GB" w:eastAsia="en-US"/>
        </w:rPr>
        <w:t xml:space="preserve">”), including its annexes, is a common proposal developed by all Transmission System Operators (hereafter referred to as “TSOs”) within the Italy North Capacity Calculation Region (hereafter referred to as “Italy North Region”) regarding the proposal for </w:t>
      </w:r>
      <w:r>
        <w:rPr>
          <w:rFonts w:ascii="Times New Roman" w:hAnsi="Times New Roman"/>
          <w:szCs w:val="22"/>
          <w:lang w:val="en-GB" w:eastAsia="en-US"/>
        </w:rPr>
        <w:t>the co</w:t>
      </w:r>
      <w:r w:rsidR="00750BA7">
        <w:rPr>
          <w:rFonts w:ascii="Times New Roman" w:hAnsi="Times New Roman"/>
          <w:szCs w:val="22"/>
          <w:lang w:val="en-GB" w:eastAsia="en-US"/>
        </w:rPr>
        <w:t>mmon</w:t>
      </w:r>
      <w:r>
        <w:rPr>
          <w:rFonts w:ascii="Times New Roman" w:hAnsi="Times New Roman"/>
          <w:szCs w:val="22"/>
          <w:lang w:val="en-GB" w:eastAsia="en-US"/>
        </w:rPr>
        <w:t xml:space="preserve"> capacity calculation </w:t>
      </w:r>
      <w:r w:rsidR="00A060D1">
        <w:rPr>
          <w:rFonts w:ascii="Times New Roman" w:hAnsi="Times New Roman"/>
          <w:szCs w:val="22"/>
          <w:lang w:val="en-GB" w:eastAsia="en-US"/>
        </w:rPr>
        <w:t>performed for the capacity allocation within the day-ahead timeframe</w:t>
      </w:r>
      <w:r w:rsidRPr="000C3FA6">
        <w:rPr>
          <w:rFonts w:ascii="Times New Roman" w:hAnsi="Times New Roman"/>
          <w:szCs w:val="22"/>
          <w:lang w:val="en-GB" w:eastAsia="en-US"/>
        </w:rPr>
        <w:t xml:space="preserve">. This proposal is required by Article </w:t>
      </w:r>
      <w:r>
        <w:rPr>
          <w:rFonts w:ascii="Times New Roman" w:hAnsi="Times New Roman"/>
          <w:szCs w:val="22"/>
          <w:lang w:val="en-GB" w:eastAsia="en-US"/>
        </w:rPr>
        <w:t>21</w:t>
      </w:r>
      <w:r w:rsidRPr="000C3FA6">
        <w:rPr>
          <w:rFonts w:ascii="Times New Roman" w:hAnsi="Times New Roman"/>
          <w:szCs w:val="22"/>
          <w:lang w:val="en-GB" w:eastAsia="en-US"/>
        </w:rPr>
        <w:t xml:space="preserve"> of Regulation (EU) 2015/1222 on Capacity Allocation and Congestion Management (the “CACM Regulation”).</w:t>
      </w:r>
    </w:p>
    <w:p w14:paraId="7A535AD6" w14:textId="77777777" w:rsidR="00FB15EB" w:rsidRDefault="00FB15EB" w:rsidP="00FB15EB">
      <w:pPr>
        <w:spacing w:after="120" w:line="259" w:lineRule="auto"/>
        <w:ind w:left="720"/>
        <w:contextualSpacing/>
        <w:jc w:val="both"/>
        <w:rPr>
          <w:rFonts w:ascii="Times New Roman" w:hAnsi="Times New Roman"/>
          <w:szCs w:val="22"/>
          <w:lang w:val="en-GB" w:eastAsia="en-US"/>
        </w:rPr>
      </w:pPr>
    </w:p>
    <w:p w14:paraId="7A535AD7" w14:textId="77777777" w:rsidR="00FB15EB" w:rsidRPr="00FB15EB" w:rsidRDefault="00FB15EB" w:rsidP="00FB15EB">
      <w:pPr>
        <w:numPr>
          <w:ilvl w:val="0"/>
          <w:numId w:val="11"/>
        </w:numPr>
        <w:spacing w:after="120" w:line="259" w:lineRule="auto"/>
        <w:ind w:left="993" w:hanging="633"/>
        <w:contextualSpacing/>
        <w:jc w:val="both"/>
        <w:rPr>
          <w:rFonts w:ascii="Times New Roman" w:hAnsi="Times New Roman"/>
          <w:szCs w:val="22"/>
          <w:lang w:val="en-GB" w:eastAsia="en-US"/>
        </w:rPr>
      </w:pPr>
      <w:r w:rsidRPr="00F94470">
        <w:rPr>
          <w:rFonts w:ascii="Times New Roman" w:hAnsi="Times New Roman"/>
          <w:szCs w:val="22"/>
          <w:lang w:val="en-GB" w:eastAsia="en-US"/>
        </w:rPr>
        <w:t>In addition, this proposal takes into account the effec</w:t>
      </w:r>
      <w:r>
        <w:rPr>
          <w:rFonts w:ascii="Times New Roman" w:hAnsi="Times New Roman"/>
          <w:szCs w:val="22"/>
          <w:lang w:val="en-GB" w:eastAsia="en-US"/>
        </w:rPr>
        <w:t xml:space="preserve">tive structure of the grid and </w:t>
      </w:r>
      <w:r w:rsidRPr="00F94470">
        <w:rPr>
          <w:rFonts w:ascii="Times New Roman" w:hAnsi="Times New Roman"/>
          <w:szCs w:val="22"/>
          <w:lang w:val="en-GB" w:eastAsia="en-US"/>
        </w:rPr>
        <w:t xml:space="preserve">it includes the border between Italy and Switzerland. Therefore this proposal is developed by TSOs of the Italy North Capacity Calculation Region together with </w:t>
      </w:r>
      <w:proofErr w:type="spellStart"/>
      <w:r w:rsidRPr="00F94470">
        <w:rPr>
          <w:rFonts w:ascii="Times New Roman" w:hAnsi="Times New Roman"/>
          <w:szCs w:val="22"/>
          <w:lang w:val="en-GB" w:eastAsia="en-US"/>
        </w:rPr>
        <w:t>Swissgrid</w:t>
      </w:r>
      <w:proofErr w:type="spellEnd"/>
      <w:r>
        <w:rPr>
          <w:rFonts w:ascii="Times New Roman" w:hAnsi="Times New Roman"/>
          <w:szCs w:val="22"/>
          <w:lang w:val="en-GB" w:eastAsia="en-US"/>
        </w:rPr>
        <w:t xml:space="preserve">. </w:t>
      </w:r>
    </w:p>
    <w:p w14:paraId="7A535AD8" w14:textId="77777777" w:rsidR="000C3FA6" w:rsidRPr="000C3FA6" w:rsidRDefault="000C3FA6" w:rsidP="000C3FA6">
      <w:pPr>
        <w:spacing w:after="120" w:line="259" w:lineRule="auto"/>
        <w:ind w:left="993"/>
        <w:contextualSpacing/>
        <w:jc w:val="both"/>
        <w:rPr>
          <w:rFonts w:ascii="Times New Roman" w:hAnsi="Times New Roman"/>
          <w:szCs w:val="22"/>
          <w:lang w:val="en-GB" w:eastAsia="en-US"/>
        </w:rPr>
      </w:pPr>
    </w:p>
    <w:p w14:paraId="7A535AD9" w14:textId="77777777" w:rsidR="00D05609" w:rsidRDefault="004F245D" w:rsidP="004F245D">
      <w:pPr>
        <w:numPr>
          <w:ilvl w:val="0"/>
          <w:numId w:val="11"/>
        </w:numPr>
        <w:spacing w:after="120" w:line="259" w:lineRule="auto"/>
        <w:ind w:left="993" w:hanging="633"/>
        <w:contextualSpacing/>
        <w:jc w:val="both"/>
        <w:rPr>
          <w:rFonts w:ascii="Times New Roman" w:hAnsi="Times New Roman"/>
          <w:szCs w:val="22"/>
          <w:lang w:val="en-GB" w:eastAsia="en-US"/>
        </w:rPr>
      </w:pPr>
      <w:r w:rsidRPr="004F285F">
        <w:rPr>
          <w:rFonts w:ascii="Times New Roman" w:hAnsi="Times New Roman"/>
          <w:szCs w:val="22"/>
          <w:lang w:val="en-GB" w:eastAsia="en-US"/>
        </w:rPr>
        <w:t xml:space="preserve">This proposal </w:t>
      </w:r>
      <w:r w:rsidR="00750BA7">
        <w:rPr>
          <w:rFonts w:ascii="Times New Roman" w:hAnsi="Times New Roman"/>
          <w:szCs w:val="22"/>
          <w:lang w:val="en-GB" w:eastAsia="en-US"/>
        </w:rPr>
        <w:t>(hereafter referred to as the “D-2 CCC methodology</w:t>
      </w:r>
      <w:r w:rsidRPr="004F285F">
        <w:rPr>
          <w:rFonts w:ascii="Times New Roman" w:hAnsi="Times New Roman"/>
          <w:szCs w:val="22"/>
          <w:lang w:val="en-GB" w:eastAsia="en-US"/>
        </w:rPr>
        <w:t xml:space="preserve"> Proposal”) takes into account the general principles and goals set in Commission Regulation (EU) 2015/1222 establishing a guideline on capacity allocation and congestion management (hereafter referred to as the “CACM Regulation”) as well as Regulation (EC) No 714/2009 of the European Parliament and of the Council of 13  July 2009 on conditions for access to the network for cross-border exchanges in electricity (hereafter referred to as “Regulation (EC) No 714/2009”). </w:t>
      </w:r>
    </w:p>
    <w:p w14:paraId="7A535ADA" w14:textId="77777777" w:rsidR="00D05609" w:rsidRDefault="00D05609" w:rsidP="00201086">
      <w:pPr>
        <w:spacing w:after="120" w:line="259" w:lineRule="auto"/>
        <w:ind w:left="993"/>
        <w:contextualSpacing/>
        <w:jc w:val="both"/>
        <w:rPr>
          <w:rFonts w:ascii="Times New Roman" w:hAnsi="Times New Roman"/>
          <w:szCs w:val="22"/>
          <w:lang w:val="en-GB" w:eastAsia="en-US"/>
        </w:rPr>
      </w:pPr>
    </w:p>
    <w:p w14:paraId="7A535ADB" w14:textId="77777777" w:rsidR="004F245D" w:rsidRPr="00D05609" w:rsidRDefault="004F245D" w:rsidP="00D05609">
      <w:pPr>
        <w:numPr>
          <w:ilvl w:val="0"/>
          <w:numId w:val="11"/>
        </w:numPr>
        <w:spacing w:after="120" w:line="259" w:lineRule="auto"/>
        <w:ind w:left="993" w:hanging="633"/>
        <w:contextualSpacing/>
        <w:jc w:val="both"/>
        <w:rPr>
          <w:rFonts w:ascii="Times New Roman" w:hAnsi="Times New Roman"/>
          <w:szCs w:val="22"/>
          <w:lang w:val="en-GB" w:eastAsia="en-US"/>
        </w:rPr>
      </w:pPr>
      <w:r w:rsidRPr="00D05609">
        <w:rPr>
          <w:rFonts w:ascii="Times New Roman" w:hAnsi="Times New Roman"/>
          <w:szCs w:val="22"/>
          <w:lang w:val="en-GB" w:eastAsia="en-US"/>
        </w:rPr>
        <w:t xml:space="preserve">The goal of the CACM Regulation is the coordination and harmonisation of capacity calculation and allocation in the day-ahead and intraday cross-border markets. To facilitate these </w:t>
      </w:r>
      <w:r w:rsidR="00B9070F">
        <w:rPr>
          <w:rFonts w:ascii="Times New Roman" w:hAnsi="Times New Roman"/>
          <w:szCs w:val="22"/>
          <w:lang w:val="en-GB" w:eastAsia="en-US"/>
        </w:rPr>
        <w:t>aims</w:t>
      </w:r>
      <w:r w:rsidR="00AB270F">
        <w:rPr>
          <w:rFonts w:ascii="Times New Roman" w:hAnsi="Times New Roman"/>
          <w:szCs w:val="22"/>
          <w:lang w:val="en-GB" w:eastAsia="en-US"/>
        </w:rPr>
        <w:t xml:space="preserve"> and implement single day-ahead and intraday coupling</w:t>
      </w:r>
      <w:r w:rsidR="00B9070F">
        <w:rPr>
          <w:rFonts w:ascii="Times New Roman" w:hAnsi="Times New Roman"/>
          <w:szCs w:val="22"/>
          <w:lang w:val="en-GB" w:eastAsia="en-US"/>
        </w:rPr>
        <w:t xml:space="preserve">, </w:t>
      </w:r>
      <w:r w:rsidR="006C65CF">
        <w:rPr>
          <w:rFonts w:ascii="Times New Roman" w:hAnsi="Times New Roman"/>
          <w:szCs w:val="22"/>
          <w:lang w:val="en-GB" w:eastAsia="en-US"/>
        </w:rPr>
        <w:t xml:space="preserve">it is necessary to </w:t>
      </w:r>
      <w:r w:rsidR="00AB270F">
        <w:rPr>
          <w:rFonts w:ascii="Times New Roman" w:hAnsi="Times New Roman"/>
          <w:szCs w:val="22"/>
          <w:lang w:val="en-GB" w:eastAsia="en-US"/>
        </w:rPr>
        <w:t>calculate in a coordinated manner by the TSOs the available cross-border capacity</w:t>
      </w:r>
      <w:r w:rsidRPr="00D05609">
        <w:rPr>
          <w:rFonts w:ascii="Times New Roman" w:hAnsi="Times New Roman"/>
          <w:szCs w:val="22"/>
          <w:lang w:val="en-GB" w:eastAsia="en-US"/>
        </w:rPr>
        <w:t>.</w:t>
      </w:r>
    </w:p>
    <w:p w14:paraId="7A535ADC" w14:textId="77777777" w:rsidR="004F245D" w:rsidRPr="004F285F" w:rsidRDefault="004F245D" w:rsidP="004F245D">
      <w:pPr>
        <w:spacing w:after="160" w:line="259" w:lineRule="auto"/>
        <w:ind w:left="993" w:hanging="633"/>
        <w:contextualSpacing/>
        <w:jc w:val="both"/>
        <w:rPr>
          <w:rFonts w:ascii="Times New Roman" w:hAnsi="Times New Roman"/>
          <w:szCs w:val="22"/>
          <w:lang w:val="en-GB" w:eastAsia="en-US"/>
        </w:rPr>
      </w:pPr>
    </w:p>
    <w:p w14:paraId="7A535ADD" w14:textId="77777777" w:rsidR="004F245D" w:rsidRPr="004F285F" w:rsidRDefault="004F245D" w:rsidP="004F245D">
      <w:pPr>
        <w:numPr>
          <w:ilvl w:val="0"/>
          <w:numId w:val="11"/>
        </w:numPr>
        <w:spacing w:after="120"/>
        <w:ind w:left="993" w:hanging="633"/>
        <w:jc w:val="both"/>
        <w:rPr>
          <w:rFonts w:ascii="Times New Roman" w:hAnsi="Times New Roman"/>
          <w:szCs w:val="22"/>
          <w:lang w:val="en-GB" w:eastAsia="en-US"/>
        </w:rPr>
      </w:pPr>
      <w:r w:rsidRPr="004F285F">
        <w:rPr>
          <w:rFonts w:ascii="Times New Roman" w:hAnsi="Times New Roman"/>
          <w:szCs w:val="22"/>
          <w:lang w:val="en-GB" w:eastAsia="en-US"/>
        </w:rPr>
        <w:t xml:space="preserve">Article </w:t>
      </w:r>
      <w:r w:rsidR="00FD1A58">
        <w:rPr>
          <w:rFonts w:ascii="Times New Roman" w:hAnsi="Times New Roman"/>
          <w:szCs w:val="22"/>
          <w:lang w:val="en-GB" w:eastAsia="en-US"/>
        </w:rPr>
        <w:t>21 (1)</w:t>
      </w:r>
      <w:r w:rsidRPr="004F285F">
        <w:rPr>
          <w:rFonts w:ascii="Times New Roman" w:hAnsi="Times New Roman"/>
          <w:szCs w:val="22"/>
          <w:lang w:val="en-GB" w:eastAsia="en-US"/>
        </w:rPr>
        <w:t xml:space="preserve"> of the CACM Regulation constitutes the legal basis for this proposal and defines several specific requirements that the </w:t>
      </w:r>
      <w:r w:rsidR="008851DC">
        <w:rPr>
          <w:rFonts w:ascii="Times New Roman" w:hAnsi="Times New Roman"/>
          <w:szCs w:val="22"/>
          <w:lang w:val="en-GB" w:eastAsia="en-US"/>
        </w:rPr>
        <w:t>D-2 CCC methodology</w:t>
      </w:r>
      <w:r w:rsidR="008851DC" w:rsidRPr="004F285F">
        <w:rPr>
          <w:rFonts w:ascii="Times New Roman" w:hAnsi="Times New Roman"/>
          <w:szCs w:val="22"/>
          <w:lang w:val="en-GB" w:eastAsia="en-US"/>
        </w:rPr>
        <w:t xml:space="preserve"> Proposal </w:t>
      </w:r>
      <w:r w:rsidRPr="004F285F">
        <w:rPr>
          <w:rFonts w:ascii="Times New Roman" w:hAnsi="Times New Roman"/>
          <w:szCs w:val="22"/>
          <w:lang w:val="en-GB" w:eastAsia="en-US"/>
        </w:rPr>
        <w:t>should take into account:</w:t>
      </w:r>
    </w:p>
    <w:p w14:paraId="7A535ADE" w14:textId="77777777" w:rsidR="00EA6954" w:rsidRPr="008851DC" w:rsidRDefault="00EA6954" w:rsidP="008851DC">
      <w:pPr>
        <w:spacing w:after="120"/>
        <w:ind w:left="993"/>
        <w:jc w:val="both"/>
        <w:rPr>
          <w:rFonts w:ascii="Times New Roman" w:hAnsi="Times New Roman"/>
          <w:i/>
          <w:szCs w:val="22"/>
          <w:lang w:val="en-GB" w:eastAsia="en-US"/>
        </w:rPr>
      </w:pPr>
      <w:r w:rsidRPr="008851DC">
        <w:rPr>
          <w:rFonts w:ascii="Times New Roman" w:hAnsi="Times New Roman"/>
          <w:i/>
          <w:szCs w:val="22"/>
          <w:lang w:val="en-GB" w:eastAsia="en-US"/>
        </w:rPr>
        <w:t>“1.   The proposal for a common capacity calculation methodology for a capacity calculation region determined in accordance with Article 20(2) shall include at least the following items for each capacity calculation time-frame:</w:t>
      </w:r>
    </w:p>
    <w:tbl>
      <w:tblPr>
        <w:tblW w:w="5000" w:type="pct"/>
        <w:tblCellSpacing w:w="0" w:type="dxa"/>
        <w:tblCellMar>
          <w:left w:w="0" w:type="dxa"/>
          <w:right w:w="0" w:type="dxa"/>
        </w:tblCellMar>
        <w:tblLook w:val="04A0" w:firstRow="1" w:lastRow="0" w:firstColumn="1" w:lastColumn="0" w:noHBand="0" w:noVBand="1"/>
      </w:tblPr>
      <w:tblGrid>
        <w:gridCol w:w="1250"/>
        <w:gridCol w:w="8274"/>
      </w:tblGrid>
      <w:tr w:rsidR="00EA6954" w:rsidRPr="009B6082" w14:paraId="7A535AEE" w14:textId="77777777" w:rsidTr="00EA6954">
        <w:trPr>
          <w:tblCellSpacing w:w="0" w:type="dxa"/>
        </w:trPr>
        <w:tc>
          <w:tcPr>
            <w:tcW w:w="0" w:type="auto"/>
            <w:hideMark/>
          </w:tcPr>
          <w:p w14:paraId="7A535ADF"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(a)</w:t>
            </w:r>
          </w:p>
        </w:tc>
        <w:tc>
          <w:tcPr>
            <w:tcW w:w="0" w:type="auto"/>
            <w:hideMark/>
          </w:tcPr>
          <w:p w14:paraId="7A535AE0"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methodologies for the calculation of the inputs to capacity calculation, which shall include the following parameters:</w:t>
            </w:r>
          </w:p>
          <w:tbl>
            <w:tblPr>
              <w:tblW w:w="5000" w:type="pct"/>
              <w:tblCellSpacing w:w="0" w:type="dxa"/>
              <w:tblCellMar>
                <w:left w:w="0" w:type="dxa"/>
                <w:right w:w="0" w:type="dxa"/>
              </w:tblCellMar>
              <w:tblLook w:val="04A0" w:firstRow="1" w:lastRow="0" w:firstColumn="1" w:lastColumn="0" w:noHBand="0" w:noVBand="1"/>
            </w:tblPr>
            <w:tblGrid>
              <w:gridCol w:w="1323"/>
              <w:gridCol w:w="6951"/>
            </w:tblGrid>
            <w:tr w:rsidR="00EA6954" w:rsidRPr="009B6082" w14:paraId="7A535AE3" w14:textId="77777777">
              <w:trPr>
                <w:tblCellSpacing w:w="0" w:type="dxa"/>
              </w:trPr>
              <w:tc>
                <w:tcPr>
                  <w:tcW w:w="0" w:type="auto"/>
                  <w:hideMark/>
                </w:tcPr>
                <w:p w14:paraId="7A535AE1"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w:t>
                  </w:r>
                  <w:proofErr w:type="spellStart"/>
                  <w:r w:rsidRPr="00EA6954">
                    <w:rPr>
                      <w:rFonts w:ascii="Times New Roman" w:hAnsi="Times New Roman"/>
                      <w:i/>
                      <w:szCs w:val="22"/>
                      <w:lang w:val="en-GB" w:eastAsia="en-US"/>
                    </w:rPr>
                    <w:t>i</w:t>
                  </w:r>
                  <w:proofErr w:type="spellEnd"/>
                  <w:r w:rsidRPr="00EA6954">
                    <w:rPr>
                      <w:rFonts w:ascii="Times New Roman" w:hAnsi="Times New Roman"/>
                      <w:i/>
                      <w:szCs w:val="22"/>
                      <w:lang w:val="en-GB" w:eastAsia="en-US"/>
                    </w:rPr>
                    <w:t>)</w:t>
                  </w:r>
                </w:p>
              </w:tc>
              <w:tc>
                <w:tcPr>
                  <w:tcW w:w="0" w:type="auto"/>
                  <w:hideMark/>
                </w:tcPr>
                <w:p w14:paraId="7A535AE2"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a methodology for determining the reliability margin in accordance with Article 22;</w:t>
                  </w:r>
                </w:p>
              </w:tc>
            </w:tr>
            <w:tr w:rsidR="00EA6954" w:rsidRPr="009B6082" w14:paraId="7A535AE6" w14:textId="77777777">
              <w:trPr>
                <w:tblCellSpacing w:w="0" w:type="dxa"/>
              </w:trPr>
              <w:tc>
                <w:tcPr>
                  <w:tcW w:w="0" w:type="auto"/>
                  <w:hideMark/>
                </w:tcPr>
                <w:p w14:paraId="7A535AE4"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(ii)</w:t>
                  </w:r>
                </w:p>
              </w:tc>
              <w:tc>
                <w:tcPr>
                  <w:tcW w:w="0" w:type="auto"/>
                  <w:hideMark/>
                </w:tcPr>
                <w:p w14:paraId="7A535AE5"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the methodologies for determining operational security limits, contingencies relevant to capacity calculation and allocation constraints that may be applied in accordance with Article 23;</w:t>
                  </w:r>
                </w:p>
              </w:tc>
            </w:tr>
            <w:tr w:rsidR="00EA6954" w:rsidRPr="009B6082" w14:paraId="7A535AE9" w14:textId="77777777">
              <w:trPr>
                <w:tblCellSpacing w:w="0" w:type="dxa"/>
              </w:trPr>
              <w:tc>
                <w:tcPr>
                  <w:tcW w:w="0" w:type="auto"/>
                  <w:hideMark/>
                </w:tcPr>
                <w:p w14:paraId="7A535AE7"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(iii)</w:t>
                  </w:r>
                </w:p>
              </w:tc>
              <w:tc>
                <w:tcPr>
                  <w:tcW w:w="0" w:type="auto"/>
                  <w:hideMark/>
                </w:tcPr>
                <w:p w14:paraId="7A535AE8"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the methodology for determining the generation shift keys in accordance with Article 24;</w:t>
                  </w:r>
                </w:p>
              </w:tc>
            </w:tr>
            <w:tr w:rsidR="00EA6954" w:rsidRPr="009B6082" w14:paraId="7A535AEC" w14:textId="77777777">
              <w:trPr>
                <w:tblCellSpacing w:w="0" w:type="dxa"/>
              </w:trPr>
              <w:tc>
                <w:tcPr>
                  <w:tcW w:w="0" w:type="auto"/>
                  <w:hideMark/>
                </w:tcPr>
                <w:p w14:paraId="7A535AEA"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(iv)</w:t>
                  </w:r>
                </w:p>
              </w:tc>
              <w:tc>
                <w:tcPr>
                  <w:tcW w:w="0" w:type="auto"/>
                  <w:hideMark/>
                </w:tcPr>
                <w:p w14:paraId="7A535AEB"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the methodology for determining remedial actions to be considered in capacity calculation in accordance with Article 25.</w:t>
                  </w:r>
                </w:p>
              </w:tc>
            </w:tr>
          </w:tbl>
          <w:p w14:paraId="7A535AED" w14:textId="77777777" w:rsidR="00EA6954" w:rsidRPr="00EA6954" w:rsidRDefault="00EA6954" w:rsidP="00EA6954">
            <w:pPr>
              <w:spacing w:after="120"/>
              <w:jc w:val="both"/>
              <w:rPr>
                <w:rFonts w:ascii="Times New Roman" w:hAnsi="Times New Roman"/>
                <w:i/>
                <w:lang w:val="en-GB" w:eastAsia="en-US"/>
              </w:rPr>
            </w:pPr>
          </w:p>
        </w:tc>
      </w:tr>
      <w:tr w:rsidR="00EA6954" w:rsidRPr="009B6082" w14:paraId="7A535B07" w14:textId="77777777" w:rsidTr="00EA6954">
        <w:trPr>
          <w:tblCellSpacing w:w="0" w:type="dxa"/>
        </w:trPr>
        <w:tc>
          <w:tcPr>
            <w:tcW w:w="0" w:type="auto"/>
            <w:hideMark/>
          </w:tcPr>
          <w:p w14:paraId="7A535AEF"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lastRenderedPageBreak/>
              <w:t>(b)</w:t>
            </w:r>
          </w:p>
        </w:tc>
        <w:tc>
          <w:tcPr>
            <w:tcW w:w="0" w:type="auto"/>
            <w:hideMark/>
          </w:tcPr>
          <w:p w14:paraId="7A535AF0"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a detailed description of the capacity calculation approach which shall include the following:</w:t>
            </w:r>
          </w:p>
          <w:tbl>
            <w:tblPr>
              <w:tblW w:w="5000" w:type="pct"/>
              <w:tblCellSpacing w:w="0" w:type="dxa"/>
              <w:tblCellMar>
                <w:left w:w="0" w:type="dxa"/>
                <w:right w:w="0" w:type="dxa"/>
              </w:tblCellMar>
              <w:tblLook w:val="04A0" w:firstRow="1" w:lastRow="0" w:firstColumn="1" w:lastColumn="0" w:noHBand="0" w:noVBand="1"/>
            </w:tblPr>
            <w:tblGrid>
              <w:gridCol w:w="1360"/>
              <w:gridCol w:w="6914"/>
            </w:tblGrid>
            <w:tr w:rsidR="00EA6954" w:rsidRPr="009B6082" w14:paraId="7A535AF3" w14:textId="77777777">
              <w:trPr>
                <w:tblCellSpacing w:w="0" w:type="dxa"/>
              </w:trPr>
              <w:tc>
                <w:tcPr>
                  <w:tcW w:w="0" w:type="auto"/>
                  <w:hideMark/>
                </w:tcPr>
                <w:p w14:paraId="7A535AF1"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w:t>
                  </w:r>
                  <w:proofErr w:type="spellStart"/>
                  <w:r w:rsidRPr="00EA6954">
                    <w:rPr>
                      <w:rFonts w:ascii="Times New Roman" w:hAnsi="Times New Roman"/>
                      <w:i/>
                      <w:szCs w:val="22"/>
                      <w:lang w:val="en-GB" w:eastAsia="en-US"/>
                    </w:rPr>
                    <w:t>i</w:t>
                  </w:r>
                  <w:proofErr w:type="spellEnd"/>
                  <w:r w:rsidRPr="00EA6954">
                    <w:rPr>
                      <w:rFonts w:ascii="Times New Roman" w:hAnsi="Times New Roman"/>
                      <w:i/>
                      <w:szCs w:val="22"/>
                      <w:lang w:val="en-GB" w:eastAsia="en-US"/>
                    </w:rPr>
                    <w:t>)</w:t>
                  </w:r>
                </w:p>
              </w:tc>
              <w:tc>
                <w:tcPr>
                  <w:tcW w:w="0" w:type="auto"/>
                  <w:hideMark/>
                </w:tcPr>
                <w:p w14:paraId="7A535AF2"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a mathematical description of the applied capacity calculation approach with different capacity calculation inputs;</w:t>
                  </w:r>
                </w:p>
              </w:tc>
            </w:tr>
            <w:tr w:rsidR="00EA6954" w:rsidRPr="009B6082" w14:paraId="7A535AF6" w14:textId="77777777">
              <w:trPr>
                <w:tblCellSpacing w:w="0" w:type="dxa"/>
              </w:trPr>
              <w:tc>
                <w:tcPr>
                  <w:tcW w:w="0" w:type="auto"/>
                  <w:hideMark/>
                </w:tcPr>
                <w:p w14:paraId="7A535AF4"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(ii)</w:t>
                  </w:r>
                </w:p>
              </w:tc>
              <w:tc>
                <w:tcPr>
                  <w:tcW w:w="0" w:type="auto"/>
                  <w:hideMark/>
                </w:tcPr>
                <w:p w14:paraId="7A535AF5"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rules for avoiding undue discrimination between internal and cross-zonal exchanges to ensure compliance with point 1.7 of Annex I to Regulation (EC) No 714/2009;</w:t>
                  </w:r>
                </w:p>
              </w:tc>
            </w:tr>
            <w:tr w:rsidR="00EA6954" w:rsidRPr="009B6082" w14:paraId="7A535AF9" w14:textId="77777777">
              <w:trPr>
                <w:tblCellSpacing w:w="0" w:type="dxa"/>
              </w:trPr>
              <w:tc>
                <w:tcPr>
                  <w:tcW w:w="0" w:type="auto"/>
                  <w:hideMark/>
                </w:tcPr>
                <w:p w14:paraId="7A535AF7"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(iii)</w:t>
                  </w:r>
                </w:p>
              </w:tc>
              <w:tc>
                <w:tcPr>
                  <w:tcW w:w="0" w:type="auto"/>
                  <w:hideMark/>
                </w:tcPr>
                <w:p w14:paraId="7A535AF8"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rules for taking into account, where appropriate, previously allocated cross-zonal capacity;</w:t>
                  </w:r>
                </w:p>
              </w:tc>
            </w:tr>
            <w:tr w:rsidR="00EA6954" w:rsidRPr="009B6082" w14:paraId="7A535AFC" w14:textId="77777777">
              <w:trPr>
                <w:tblCellSpacing w:w="0" w:type="dxa"/>
              </w:trPr>
              <w:tc>
                <w:tcPr>
                  <w:tcW w:w="0" w:type="auto"/>
                  <w:hideMark/>
                </w:tcPr>
                <w:p w14:paraId="7A535AFA"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(iv)</w:t>
                  </w:r>
                </w:p>
              </w:tc>
              <w:tc>
                <w:tcPr>
                  <w:tcW w:w="0" w:type="auto"/>
                  <w:hideMark/>
                </w:tcPr>
                <w:p w14:paraId="7A535AFB"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rules on the adjustment of power flows on critical network elements or of cross-zonal capacity due to remedial actions in accordance with Article 25;</w:t>
                  </w:r>
                </w:p>
              </w:tc>
            </w:tr>
            <w:tr w:rsidR="00EA6954" w:rsidRPr="009B6082" w14:paraId="7A535AFF" w14:textId="77777777">
              <w:trPr>
                <w:tblCellSpacing w:w="0" w:type="dxa"/>
              </w:trPr>
              <w:tc>
                <w:tcPr>
                  <w:tcW w:w="0" w:type="auto"/>
                  <w:hideMark/>
                </w:tcPr>
                <w:p w14:paraId="7A535AFD"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(v)</w:t>
                  </w:r>
                </w:p>
              </w:tc>
              <w:tc>
                <w:tcPr>
                  <w:tcW w:w="0" w:type="auto"/>
                  <w:hideMark/>
                </w:tcPr>
                <w:p w14:paraId="7A535AFE"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for the flow-based approach, a mathematical description of the calculation of power transfer distribution factors and of the calculation of available margins on critical network elements;</w:t>
                  </w:r>
                </w:p>
              </w:tc>
            </w:tr>
            <w:tr w:rsidR="00EA6954" w:rsidRPr="009B6082" w14:paraId="7A535B02" w14:textId="77777777">
              <w:trPr>
                <w:tblCellSpacing w:w="0" w:type="dxa"/>
              </w:trPr>
              <w:tc>
                <w:tcPr>
                  <w:tcW w:w="0" w:type="auto"/>
                  <w:hideMark/>
                </w:tcPr>
                <w:p w14:paraId="7A535B00"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(vi)</w:t>
                  </w:r>
                </w:p>
              </w:tc>
              <w:tc>
                <w:tcPr>
                  <w:tcW w:w="0" w:type="auto"/>
                  <w:hideMark/>
                </w:tcPr>
                <w:p w14:paraId="7A535B01"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for the coordinated net transmission capacity approach, the rules for calculating cross-zonal capacity, including the rules for efficiently sharing the power flow capabilities of critical network elements among different bidding zone borders;</w:t>
                  </w:r>
                </w:p>
              </w:tc>
            </w:tr>
            <w:tr w:rsidR="00EA6954" w:rsidRPr="009B6082" w14:paraId="7A535B05" w14:textId="77777777">
              <w:trPr>
                <w:tblCellSpacing w:w="0" w:type="dxa"/>
              </w:trPr>
              <w:tc>
                <w:tcPr>
                  <w:tcW w:w="0" w:type="auto"/>
                  <w:hideMark/>
                </w:tcPr>
                <w:p w14:paraId="7A535B03"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(vii)</w:t>
                  </w:r>
                </w:p>
              </w:tc>
              <w:tc>
                <w:tcPr>
                  <w:tcW w:w="0" w:type="auto"/>
                  <w:hideMark/>
                </w:tcPr>
                <w:p w14:paraId="7A535B04" w14:textId="77777777" w:rsidR="00EA6954" w:rsidRPr="00EA6954" w:rsidRDefault="00EA6954" w:rsidP="00EA6954">
                  <w:pPr>
                    <w:spacing w:after="120"/>
                    <w:ind w:left="993"/>
                    <w:jc w:val="both"/>
                    <w:rPr>
                      <w:rFonts w:ascii="Times New Roman" w:hAnsi="Times New Roman"/>
                      <w:i/>
                      <w:lang w:val="en-GB" w:eastAsia="en-US"/>
                    </w:rPr>
                  </w:pPr>
                  <w:proofErr w:type="gramStart"/>
                  <w:r w:rsidRPr="00EA6954">
                    <w:rPr>
                      <w:rFonts w:ascii="Times New Roman" w:hAnsi="Times New Roman"/>
                      <w:i/>
                      <w:szCs w:val="22"/>
                      <w:lang w:val="en-GB" w:eastAsia="en-US"/>
                    </w:rPr>
                    <w:t>where</w:t>
                  </w:r>
                  <w:proofErr w:type="gramEnd"/>
                  <w:r w:rsidRPr="00EA6954">
                    <w:rPr>
                      <w:rFonts w:ascii="Times New Roman" w:hAnsi="Times New Roman"/>
                      <w:i/>
                      <w:szCs w:val="22"/>
                      <w:lang w:val="en-GB" w:eastAsia="en-US"/>
                    </w:rPr>
                    <w:t xml:space="preserve"> the power flows on critical network elements are influenced by cross-zonal power exchanges in different capacity calculation regions, the rules for sharing the power flow capabilities of critical network elements among different capacity calculation regions in order to accommodate these flows.</w:t>
                  </w:r>
                </w:p>
              </w:tc>
            </w:tr>
          </w:tbl>
          <w:p w14:paraId="7A535B06" w14:textId="77777777" w:rsidR="00EA6954" w:rsidRPr="00EA6954" w:rsidRDefault="00EA6954" w:rsidP="00EA6954">
            <w:pPr>
              <w:spacing w:after="120"/>
              <w:jc w:val="both"/>
              <w:rPr>
                <w:rFonts w:ascii="Times New Roman" w:hAnsi="Times New Roman"/>
                <w:i/>
                <w:lang w:val="en-GB" w:eastAsia="en-US"/>
              </w:rPr>
            </w:pPr>
          </w:p>
        </w:tc>
      </w:tr>
      <w:tr w:rsidR="00EA6954" w:rsidRPr="009B6082" w14:paraId="7A535B0B" w14:textId="77777777" w:rsidTr="00EA6954">
        <w:trPr>
          <w:tblCellSpacing w:w="0" w:type="dxa"/>
        </w:trPr>
        <w:tc>
          <w:tcPr>
            <w:tcW w:w="0" w:type="auto"/>
            <w:hideMark/>
          </w:tcPr>
          <w:p w14:paraId="7A535B08" w14:textId="77777777" w:rsidR="00EA6954" w:rsidRPr="00EA6954" w:rsidRDefault="00EA6954" w:rsidP="00EA6954">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(c)</w:t>
            </w:r>
          </w:p>
        </w:tc>
        <w:tc>
          <w:tcPr>
            <w:tcW w:w="0" w:type="auto"/>
            <w:hideMark/>
          </w:tcPr>
          <w:p w14:paraId="7A535B09" w14:textId="77777777" w:rsidR="007D4520" w:rsidRDefault="00EA6954" w:rsidP="007D4520">
            <w:pPr>
              <w:spacing w:after="120"/>
              <w:ind w:left="993"/>
              <w:jc w:val="both"/>
              <w:rPr>
                <w:rFonts w:ascii="Times New Roman" w:hAnsi="Times New Roman"/>
                <w:i/>
                <w:lang w:val="en-GB" w:eastAsia="en-US"/>
              </w:rPr>
            </w:pPr>
            <w:r w:rsidRPr="00EA6954">
              <w:rPr>
                <w:rFonts w:ascii="Times New Roman" w:hAnsi="Times New Roman"/>
                <w:i/>
                <w:szCs w:val="22"/>
                <w:lang w:val="en-GB" w:eastAsia="en-US"/>
              </w:rPr>
              <w:t>a methodology for the validation of cross-zonal capacity in accordance with Article 26.</w:t>
            </w:r>
            <w:r w:rsidR="00FD1A58">
              <w:rPr>
                <w:rFonts w:ascii="Times New Roman" w:hAnsi="Times New Roman"/>
                <w:i/>
                <w:szCs w:val="22"/>
                <w:lang w:val="en-GB" w:eastAsia="en-US"/>
              </w:rPr>
              <w:t>”</w:t>
            </w:r>
          </w:p>
          <w:p w14:paraId="7A535B0A" w14:textId="77777777" w:rsidR="007D4520" w:rsidRPr="007D4520" w:rsidRDefault="007D4520" w:rsidP="00234DAB">
            <w:pPr>
              <w:rPr>
                <w:lang w:val="en-GB" w:eastAsia="en-US"/>
              </w:rPr>
            </w:pPr>
          </w:p>
        </w:tc>
      </w:tr>
    </w:tbl>
    <w:p w14:paraId="7A535B0C" w14:textId="77777777" w:rsidR="004F245D" w:rsidRPr="00FD1A58" w:rsidRDefault="004F245D" w:rsidP="004F245D">
      <w:pPr>
        <w:numPr>
          <w:ilvl w:val="0"/>
          <w:numId w:val="11"/>
        </w:numPr>
        <w:spacing w:after="120" w:line="259" w:lineRule="auto"/>
        <w:ind w:left="993" w:hanging="633"/>
        <w:contextualSpacing/>
        <w:jc w:val="both"/>
        <w:rPr>
          <w:rFonts w:ascii="Times New Roman" w:hAnsi="Times New Roman"/>
          <w:szCs w:val="22"/>
          <w:lang w:val="en-GB" w:eastAsia="en-US"/>
        </w:rPr>
      </w:pPr>
      <w:r w:rsidRPr="004F285F">
        <w:rPr>
          <w:rFonts w:ascii="Times New Roman" w:hAnsi="Times New Roman"/>
          <w:szCs w:val="22"/>
          <w:lang w:val="en-GB" w:eastAsia="en-US"/>
        </w:rPr>
        <w:t xml:space="preserve">Article </w:t>
      </w:r>
      <w:r w:rsidR="00351344">
        <w:rPr>
          <w:rFonts w:ascii="Times New Roman" w:hAnsi="Times New Roman"/>
          <w:szCs w:val="22"/>
          <w:lang w:val="en-GB" w:eastAsia="en-US"/>
        </w:rPr>
        <w:t>14</w:t>
      </w:r>
      <w:r w:rsidRPr="004F285F">
        <w:rPr>
          <w:rFonts w:ascii="Times New Roman" w:hAnsi="Times New Roman"/>
          <w:szCs w:val="22"/>
          <w:lang w:val="en-GB" w:eastAsia="en-US"/>
        </w:rPr>
        <w:t xml:space="preserve"> of the CACM Regulation defines the </w:t>
      </w:r>
      <w:r w:rsidR="00351344">
        <w:rPr>
          <w:rFonts w:ascii="Times New Roman" w:hAnsi="Times New Roman"/>
          <w:szCs w:val="22"/>
          <w:lang w:val="en-GB" w:eastAsia="en-US"/>
        </w:rPr>
        <w:t>capacity calculation time-frames</w:t>
      </w:r>
      <w:r w:rsidRPr="004F285F">
        <w:rPr>
          <w:rFonts w:ascii="Times New Roman" w:hAnsi="Times New Roman"/>
          <w:szCs w:val="22"/>
          <w:lang w:val="en-GB" w:eastAsia="en-US"/>
        </w:rPr>
        <w:t xml:space="preserve"> as “</w:t>
      </w:r>
      <w:r w:rsidR="00394D30" w:rsidRPr="00394D30">
        <w:rPr>
          <w:rFonts w:ascii="Times New Roman" w:hAnsi="Times New Roman"/>
          <w:i/>
          <w:szCs w:val="22"/>
          <w:lang w:val="en-GB" w:eastAsia="en-US"/>
        </w:rPr>
        <w:t>day-ahead, for the day-ahead market. For the day-ahead market time-frame, individual values for cross-zonal capacity for each day-ahead market time unit shall be calculated. For the day-ahead market time-frame, the capacity calculation shall be based on the latest available information. The information update for the day-ahead market time-frame shall not start before 15:00 market time two days before the day of delivery</w:t>
      </w:r>
      <w:r w:rsidRPr="00394D30">
        <w:rPr>
          <w:rFonts w:ascii="Times New Roman" w:hAnsi="Times New Roman"/>
          <w:i/>
          <w:szCs w:val="22"/>
          <w:lang w:val="en-GB" w:eastAsia="en-US"/>
        </w:rPr>
        <w:t xml:space="preserve">”. </w:t>
      </w:r>
    </w:p>
    <w:p w14:paraId="7A535B0D" w14:textId="77777777" w:rsidR="00FD1A58" w:rsidRPr="00FD1A58" w:rsidRDefault="00FD1A58" w:rsidP="00234DAB">
      <w:pPr>
        <w:rPr>
          <w:lang w:val="en-GB" w:eastAsia="en-US"/>
        </w:rPr>
      </w:pPr>
    </w:p>
    <w:p w14:paraId="7A535B0E" w14:textId="77777777" w:rsidR="00F3065E" w:rsidRDefault="00F3065E" w:rsidP="004F245D">
      <w:pPr>
        <w:numPr>
          <w:ilvl w:val="0"/>
          <w:numId w:val="11"/>
        </w:numPr>
        <w:spacing w:after="120" w:line="259" w:lineRule="auto"/>
        <w:ind w:left="993" w:hanging="633"/>
        <w:contextualSpacing/>
        <w:jc w:val="both"/>
        <w:rPr>
          <w:rFonts w:ascii="Times New Roman" w:hAnsi="Times New Roman"/>
          <w:szCs w:val="22"/>
          <w:lang w:val="en-GB" w:eastAsia="en-US"/>
        </w:rPr>
      </w:pPr>
      <w:r>
        <w:rPr>
          <w:rFonts w:ascii="Times New Roman" w:hAnsi="Times New Roman"/>
          <w:szCs w:val="22"/>
          <w:lang w:val="en-GB" w:eastAsia="en-US"/>
        </w:rPr>
        <w:t>Article 20 (1</w:t>
      </w:r>
      <w:r w:rsidRPr="00FD1A58">
        <w:rPr>
          <w:rFonts w:ascii="Times New Roman" w:hAnsi="Times New Roman"/>
          <w:szCs w:val="22"/>
          <w:lang w:val="en-GB" w:eastAsia="en-US"/>
        </w:rPr>
        <w:t>)</w:t>
      </w:r>
      <w:r w:rsidRPr="004F285F">
        <w:rPr>
          <w:rFonts w:ascii="Times New Roman" w:hAnsi="Times New Roman"/>
          <w:szCs w:val="22"/>
          <w:lang w:val="en-GB" w:eastAsia="en-US"/>
        </w:rPr>
        <w:t xml:space="preserve"> of the CACM Regulation defines</w:t>
      </w:r>
      <w:r>
        <w:rPr>
          <w:rFonts w:ascii="Times New Roman" w:hAnsi="Times New Roman"/>
          <w:szCs w:val="22"/>
          <w:lang w:val="en-GB" w:eastAsia="en-US"/>
        </w:rPr>
        <w:t xml:space="preserve"> the approach to use </w:t>
      </w:r>
      <w:r w:rsidRPr="00F3065E">
        <w:rPr>
          <w:rFonts w:ascii="Times New Roman" w:hAnsi="Times New Roman"/>
          <w:szCs w:val="22"/>
          <w:lang w:val="en-GB" w:eastAsia="en-US"/>
        </w:rPr>
        <w:t>in the common capacity calculation methodologies as</w:t>
      </w:r>
      <w:r w:rsidR="00BD3113">
        <w:rPr>
          <w:rFonts w:ascii="Times New Roman" w:hAnsi="Times New Roman"/>
          <w:szCs w:val="22"/>
          <w:lang w:val="en-GB" w:eastAsia="en-US"/>
        </w:rPr>
        <w:t xml:space="preserve"> “</w:t>
      </w:r>
      <w:r w:rsidRPr="00F3065E">
        <w:rPr>
          <w:rFonts w:ascii="Times New Roman" w:hAnsi="Times New Roman"/>
          <w:i/>
          <w:szCs w:val="22"/>
          <w:lang w:val="en-GB" w:eastAsia="en-US"/>
        </w:rPr>
        <w:t>flow-based approach</w:t>
      </w:r>
      <w:r>
        <w:rPr>
          <w:rFonts w:ascii="Times New Roman" w:hAnsi="Times New Roman"/>
          <w:i/>
          <w:szCs w:val="22"/>
          <w:lang w:val="en-GB" w:eastAsia="en-US"/>
        </w:rPr>
        <w:t xml:space="preserve">” </w:t>
      </w:r>
      <w:r w:rsidRPr="00F3065E">
        <w:rPr>
          <w:rFonts w:ascii="Times New Roman" w:hAnsi="Times New Roman"/>
          <w:szCs w:val="22"/>
          <w:lang w:val="en-GB" w:eastAsia="en-US"/>
        </w:rPr>
        <w:t xml:space="preserve">and </w:t>
      </w:r>
      <w:r>
        <w:rPr>
          <w:rFonts w:ascii="Times New Roman" w:hAnsi="Times New Roman"/>
          <w:szCs w:val="22"/>
          <w:lang w:val="en-GB" w:eastAsia="en-US"/>
        </w:rPr>
        <w:t>Article 20 (3</w:t>
      </w:r>
      <w:r w:rsidRPr="00FD1A58">
        <w:rPr>
          <w:rFonts w:ascii="Times New Roman" w:hAnsi="Times New Roman"/>
          <w:szCs w:val="22"/>
          <w:lang w:val="en-GB" w:eastAsia="en-US"/>
        </w:rPr>
        <w:t>)</w:t>
      </w:r>
      <w:r w:rsidRPr="004F285F">
        <w:rPr>
          <w:rFonts w:ascii="Times New Roman" w:hAnsi="Times New Roman"/>
          <w:szCs w:val="22"/>
          <w:lang w:val="en-GB" w:eastAsia="en-US"/>
        </w:rPr>
        <w:t xml:space="preserve"> of the CACM Regulation</w:t>
      </w:r>
      <w:r>
        <w:rPr>
          <w:rFonts w:ascii="Times New Roman" w:hAnsi="Times New Roman"/>
          <w:szCs w:val="22"/>
          <w:lang w:val="en-GB" w:eastAsia="en-US"/>
        </w:rPr>
        <w:t xml:space="preserve"> specifies that: </w:t>
      </w:r>
      <w:r w:rsidRPr="00F3065E">
        <w:rPr>
          <w:rFonts w:ascii="Times New Roman" w:hAnsi="Times New Roman"/>
          <w:i/>
          <w:szCs w:val="22"/>
          <w:lang w:val="en-GB" w:eastAsia="en-US"/>
        </w:rPr>
        <w:t>“The TSOs from the capacity calculation region where Italy, as defined in point (c) of point 3.2 of Annex I to Regulation (EC) No 714/2009, is included, may extend the deadline without prejudice to the obligation in paragraph 1 for submitting the proposal for a common coordinated capacity calculation methodology using flow-based approach for the respective region pursuant to paragraph 2 up to six months after Switzerland joins the single day-ahead coupling.“</w:t>
      </w:r>
    </w:p>
    <w:p w14:paraId="7A535B0F" w14:textId="77777777" w:rsidR="00F3065E" w:rsidRDefault="00F3065E" w:rsidP="00234DAB">
      <w:pPr>
        <w:rPr>
          <w:lang w:val="en-GB" w:eastAsia="en-US"/>
        </w:rPr>
      </w:pPr>
    </w:p>
    <w:p w14:paraId="7A535B10" w14:textId="77777777" w:rsidR="00437E8B" w:rsidRDefault="00FD1A58" w:rsidP="00444FA3">
      <w:pPr>
        <w:numPr>
          <w:ilvl w:val="0"/>
          <w:numId w:val="11"/>
        </w:numPr>
        <w:spacing w:after="120" w:line="259" w:lineRule="auto"/>
        <w:ind w:left="993" w:hanging="633"/>
        <w:contextualSpacing/>
        <w:jc w:val="both"/>
        <w:rPr>
          <w:rFonts w:ascii="Times New Roman" w:hAnsi="Times New Roman"/>
          <w:szCs w:val="22"/>
          <w:lang w:val="en-GB" w:eastAsia="en-US"/>
        </w:rPr>
      </w:pPr>
      <w:r w:rsidRPr="00FD1A58">
        <w:rPr>
          <w:rFonts w:ascii="Times New Roman" w:hAnsi="Times New Roman"/>
          <w:szCs w:val="22"/>
          <w:lang w:val="en-GB" w:eastAsia="en-US"/>
        </w:rPr>
        <w:t>Article 20 (2)</w:t>
      </w:r>
      <w:r w:rsidRPr="004F285F">
        <w:rPr>
          <w:rFonts w:ascii="Times New Roman" w:hAnsi="Times New Roman"/>
          <w:szCs w:val="22"/>
          <w:lang w:val="en-GB" w:eastAsia="en-US"/>
        </w:rPr>
        <w:t xml:space="preserve"> of the CACM Regulation defines</w:t>
      </w:r>
      <w:r>
        <w:rPr>
          <w:rFonts w:ascii="Times New Roman" w:hAnsi="Times New Roman"/>
          <w:szCs w:val="22"/>
          <w:lang w:val="en-GB" w:eastAsia="en-US"/>
        </w:rPr>
        <w:t xml:space="preserve"> the deadline to submit the common proposal</w:t>
      </w:r>
      <w:r w:rsidR="00F3065E">
        <w:rPr>
          <w:rFonts w:ascii="Times New Roman" w:hAnsi="Times New Roman"/>
          <w:szCs w:val="22"/>
          <w:lang w:val="en-GB" w:eastAsia="en-US"/>
        </w:rPr>
        <w:t xml:space="preserve"> based on </w:t>
      </w:r>
      <w:r w:rsidR="00F3065E" w:rsidRPr="00F3065E">
        <w:rPr>
          <w:rFonts w:ascii="Times New Roman" w:hAnsi="Times New Roman"/>
          <w:szCs w:val="22"/>
          <w:lang w:val="en-GB" w:eastAsia="en-US"/>
        </w:rPr>
        <w:t>the coordinated net transmission capacity approach</w:t>
      </w:r>
      <w:r w:rsidR="00F3065E">
        <w:rPr>
          <w:rFonts w:ascii="Times New Roman" w:hAnsi="Times New Roman"/>
          <w:szCs w:val="22"/>
          <w:lang w:val="en-GB" w:eastAsia="en-US"/>
        </w:rPr>
        <w:t xml:space="preserve"> for </w:t>
      </w:r>
      <w:r w:rsidR="00F3065E" w:rsidRPr="00BD3113">
        <w:rPr>
          <w:rFonts w:ascii="Times New Roman" w:hAnsi="Times New Roman"/>
          <w:szCs w:val="22"/>
          <w:lang w:val="en-GB" w:eastAsia="en-US"/>
        </w:rPr>
        <w:t xml:space="preserve">the TSOs from the capacity calculation </w:t>
      </w:r>
      <w:r w:rsidR="00F3065E" w:rsidRPr="00BD3113">
        <w:rPr>
          <w:rFonts w:ascii="Times New Roman" w:hAnsi="Times New Roman"/>
          <w:szCs w:val="22"/>
          <w:lang w:val="en-GB" w:eastAsia="en-US"/>
        </w:rPr>
        <w:lastRenderedPageBreak/>
        <w:t>region where Italy, as defined in point (c) of point 3.2 of Annex I to Regulation (EC) No 714/2009, is included</w:t>
      </w:r>
      <w:r w:rsidR="00437E8B">
        <w:rPr>
          <w:rFonts w:ascii="Times New Roman" w:hAnsi="Times New Roman"/>
          <w:szCs w:val="22"/>
          <w:lang w:val="en-GB" w:eastAsia="en-US"/>
        </w:rPr>
        <w:t>:</w:t>
      </w:r>
      <w:r>
        <w:rPr>
          <w:rFonts w:ascii="Times New Roman" w:hAnsi="Times New Roman"/>
          <w:szCs w:val="22"/>
          <w:lang w:val="en-GB" w:eastAsia="en-US"/>
        </w:rPr>
        <w:t xml:space="preserve"> </w:t>
      </w:r>
    </w:p>
    <w:p w14:paraId="7A535B11" w14:textId="77777777" w:rsidR="00FD1A58" w:rsidRDefault="00437E8B" w:rsidP="00437E8B">
      <w:pPr>
        <w:spacing w:after="120" w:line="259" w:lineRule="auto"/>
        <w:ind w:left="993"/>
        <w:contextualSpacing/>
        <w:jc w:val="both"/>
        <w:rPr>
          <w:rFonts w:ascii="Times New Roman" w:hAnsi="Times New Roman"/>
          <w:i/>
          <w:szCs w:val="22"/>
          <w:lang w:val="en-GB" w:eastAsia="en-US"/>
        </w:rPr>
      </w:pPr>
      <w:r w:rsidRPr="00437E8B">
        <w:rPr>
          <w:rFonts w:ascii="Times New Roman" w:hAnsi="Times New Roman"/>
          <w:i/>
          <w:szCs w:val="22"/>
          <w:lang w:val="en-GB" w:eastAsia="en-US"/>
        </w:rPr>
        <w:t xml:space="preserve">2.   </w:t>
      </w:r>
      <w:r w:rsidR="00FD1A58" w:rsidRPr="00437E8B">
        <w:rPr>
          <w:rFonts w:ascii="Times New Roman" w:hAnsi="Times New Roman"/>
          <w:i/>
          <w:szCs w:val="22"/>
          <w:lang w:val="en-GB" w:eastAsia="en-US"/>
        </w:rPr>
        <w:t>“No later than 10 months after the approval of the proposal for a capacity calculation region in accordance with Article 15(1), all TSOs in each capacity calculation region shall submit a proposal for</w:t>
      </w:r>
      <w:r w:rsidR="00FD1A58" w:rsidRPr="00FD1A58">
        <w:rPr>
          <w:rFonts w:ascii="Times New Roman" w:hAnsi="Times New Roman"/>
          <w:i/>
          <w:szCs w:val="22"/>
          <w:lang w:val="en-GB" w:eastAsia="en-US"/>
        </w:rPr>
        <w:t xml:space="preserve"> a common coordinated capacity calculation methodology within the respective region. The proposal shall be subject to consultation in accordance with Article 12.</w:t>
      </w:r>
      <w:r w:rsidR="007D4520">
        <w:rPr>
          <w:rFonts w:ascii="Times New Roman" w:hAnsi="Times New Roman"/>
          <w:i/>
          <w:szCs w:val="22"/>
          <w:lang w:val="en-GB" w:eastAsia="en-US"/>
        </w:rPr>
        <w:t>”</w:t>
      </w:r>
    </w:p>
    <w:p w14:paraId="7A535B12" w14:textId="77777777" w:rsidR="00E155F0" w:rsidRPr="004F285F" w:rsidRDefault="00E155F0" w:rsidP="00437E8B">
      <w:pPr>
        <w:spacing w:after="120" w:line="259" w:lineRule="auto"/>
        <w:ind w:left="993"/>
        <w:contextualSpacing/>
        <w:jc w:val="both"/>
        <w:rPr>
          <w:rFonts w:ascii="Times New Roman" w:hAnsi="Times New Roman"/>
          <w:szCs w:val="22"/>
          <w:lang w:val="en-GB" w:eastAsia="en-US"/>
        </w:rPr>
      </w:pPr>
    </w:p>
    <w:p w14:paraId="7A535B13" w14:textId="77777777" w:rsidR="00E155F0" w:rsidRPr="004F285F" w:rsidRDefault="00E155F0" w:rsidP="00E155F0">
      <w:pPr>
        <w:numPr>
          <w:ilvl w:val="0"/>
          <w:numId w:val="11"/>
        </w:numPr>
        <w:spacing w:after="120" w:line="259" w:lineRule="auto"/>
        <w:ind w:left="993" w:hanging="633"/>
        <w:contextualSpacing/>
        <w:jc w:val="both"/>
        <w:rPr>
          <w:rFonts w:ascii="Times New Roman" w:hAnsi="Times New Roman"/>
          <w:szCs w:val="22"/>
          <w:lang w:val="en-GB" w:eastAsia="en-US"/>
        </w:rPr>
      </w:pPr>
      <w:r>
        <w:rPr>
          <w:rFonts w:ascii="Times New Roman" w:hAnsi="Times New Roman"/>
          <w:szCs w:val="22"/>
          <w:lang w:val="en-GB" w:eastAsia="en-US"/>
        </w:rPr>
        <w:t>TSOs of Italy North Region intend to apply a coordinated net transmission capacity methodology as interim approach for capacity calculation within the Italy North Region, without prejudice to the future implementation of a Flow Based approach as the target methodology for the Italy North Region as foreseen in Article 20(1) of the CACM Regulation</w:t>
      </w:r>
      <w:r w:rsidRPr="002531B7">
        <w:rPr>
          <w:rFonts w:ascii="Times New Roman" w:hAnsi="Times New Roman"/>
          <w:i/>
          <w:szCs w:val="22"/>
          <w:lang w:val="en-GB" w:eastAsia="en-US"/>
        </w:rPr>
        <w:t>.</w:t>
      </w:r>
      <w:r w:rsidRPr="004F285F">
        <w:rPr>
          <w:rFonts w:ascii="Times New Roman" w:hAnsi="Times New Roman"/>
          <w:szCs w:val="22"/>
          <w:lang w:val="en-GB" w:eastAsia="en-US"/>
        </w:rPr>
        <w:t xml:space="preserve"> </w:t>
      </w:r>
    </w:p>
    <w:p w14:paraId="7A535B14" w14:textId="77777777" w:rsidR="004F245D" w:rsidRDefault="004F245D" w:rsidP="004F245D">
      <w:pPr>
        <w:spacing w:after="160" w:line="259" w:lineRule="auto"/>
        <w:ind w:left="993" w:hanging="633"/>
        <w:contextualSpacing/>
        <w:jc w:val="both"/>
        <w:rPr>
          <w:rFonts w:ascii="Times New Roman" w:hAnsi="Times New Roman"/>
          <w:szCs w:val="22"/>
          <w:lang w:val="en-GB" w:eastAsia="en-US"/>
        </w:rPr>
      </w:pPr>
    </w:p>
    <w:p w14:paraId="7A535B15" w14:textId="77777777" w:rsidR="00E155F0" w:rsidRDefault="00E155F0" w:rsidP="004F245D">
      <w:pPr>
        <w:spacing w:after="160" w:line="259" w:lineRule="auto"/>
        <w:ind w:left="993" w:hanging="633"/>
        <w:contextualSpacing/>
        <w:jc w:val="both"/>
        <w:rPr>
          <w:rFonts w:ascii="Times New Roman" w:hAnsi="Times New Roman"/>
          <w:szCs w:val="22"/>
          <w:lang w:val="en-GB" w:eastAsia="en-US"/>
        </w:rPr>
      </w:pPr>
    </w:p>
    <w:p w14:paraId="7A535B16" w14:textId="77777777" w:rsidR="004F245D" w:rsidRPr="004F285F" w:rsidRDefault="004F245D" w:rsidP="004F245D">
      <w:pPr>
        <w:numPr>
          <w:ilvl w:val="0"/>
          <w:numId w:val="11"/>
        </w:numPr>
        <w:spacing w:after="120" w:line="259" w:lineRule="auto"/>
        <w:ind w:left="993" w:hanging="633"/>
        <w:contextualSpacing/>
        <w:jc w:val="both"/>
        <w:rPr>
          <w:rFonts w:ascii="Times New Roman" w:hAnsi="Times New Roman"/>
          <w:szCs w:val="22"/>
          <w:lang w:val="en-GB" w:eastAsia="en-US"/>
        </w:rPr>
      </w:pPr>
      <w:r w:rsidRPr="004F285F">
        <w:rPr>
          <w:rFonts w:ascii="Times New Roman" w:hAnsi="Times New Roman"/>
          <w:szCs w:val="22"/>
          <w:lang w:val="en-GB" w:eastAsia="en-US"/>
        </w:rPr>
        <w:t>Article 2 (</w:t>
      </w:r>
      <w:r w:rsidR="002531B7">
        <w:rPr>
          <w:rFonts w:ascii="Times New Roman" w:hAnsi="Times New Roman"/>
          <w:szCs w:val="22"/>
          <w:lang w:val="en-GB" w:eastAsia="en-US"/>
        </w:rPr>
        <w:t>8</w:t>
      </w:r>
      <w:r w:rsidRPr="004F285F">
        <w:rPr>
          <w:rFonts w:ascii="Times New Roman" w:hAnsi="Times New Roman"/>
          <w:szCs w:val="22"/>
          <w:lang w:val="en-GB" w:eastAsia="en-US"/>
        </w:rPr>
        <w:t xml:space="preserve">) of the CACM Regulation defines the </w:t>
      </w:r>
      <w:r w:rsidR="002531B7" w:rsidRPr="002531B7">
        <w:rPr>
          <w:rFonts w:ascii="Times New Roman" w:hAnsi="Times New Roman"/>
          <w:szCs w:val="22"/>
          <w:lang w:val="en-GB" w:eastAsia="en-US"/>
        </w:rPr>
        <w:t>coordinated net transmission capacity approach</w:t>
      </w:r>
      <w:r w:rsidR="002531B7" w:rsidRPr="00407285">
        <w:rPr>
          <w:sz w:val="19"/>
          <w:szCs w:val="19"/>
          <w:lang w:val="en-GB"/>
        </w:rPr>
        <w:t xml:space="preserve"> </w:t>
      </w:r>
      <w:r w:rsidRPr="004F285F">
        <w:rPr>
          <w:rFonts w:ascii="Times New Roman" w:hAnsi="Times New Roman"/>
          <w:szCs w:val="22"/>
          <w:lang w:val="en-GB" w:eastAsia="en-US"/>
        </w:rPr>
        <w:t xml:space="preserve">as </w:t>
      </w:r>
      <w:r w:rsidRPr="002531B7">
        <w:rPr>
          <w:rFonts w:ascii="Times New Roman" w:hAnsi="Times New Roman"/>
          <w:i/>
          <w:szCs w:val="22"/>
          <w:lang w:val="en-GB" w:eastAsia="en-US"/>
        </w:rPr>
        <w:t>“</w:t>
      </w:r>
      <w:r w:rsidR="002531B7" w:rsidRPr="002531B7">
        <w:rPr>
          <w:rFonts w:ascii="Times New Roman" w:hAnsi="Times New Roman"/>
          <w:i/>
          <w:szCs w:val="22"/>
          <w:lang w:val="en-GB" w:eastAsia="en-US"/>
        </w:rPr>
        <w:t>the capacity calculation method based on the principle of assessing and defining ex ante a maximum energy exchange between adjacent bidding zones</w:t>
      </w:r>
      <w:r w:rsidRPr="002531B7">
        <w:rPr>
          <w:rFonts w:ascii="Times New Roman" w:hAnsi="Times New Roman"/>
          <w:i/>
          <w:szCs w:val="22"/>
          <w:lang w:val="en-GB" w:eastAsia="en-US"/>
        </w:rPr>
        <w:t>”.</w:t>
      </w:r>
      <w:r w:rsidRPr="004F285F">
        <w:rPr>
          <w:rFonts w:ascii="Times New Roman" w:hAnsi="Times New Roman"/>
          <w:szCs w:val="22"/>
          <w:lang w:val="en-GB" w:eastAsia="en-US"/>
        </w:rPr>
        <w:t xml:space="preserve"> </w:t>
      </w:r>
    </w:p>
    <w:p w14:paraId="7A535B17" w14:textId="77777777" w:rsidR="004F245D" w:rsidRPr="005314EE" w:rsidRDefault="004F245D" w:rsidP="004F245D">
      <w:pPr>
        <w:spacing w:after="160" w:line="259" w:lineRule="auto"/>
        <w:ind w:left="993" w:hanging="633"/>
        <w:contextualSpacing/>
        <w:jc w:val="both"/>
        <w:rPr>
          <w:rFonts w:ascii="Times New Roman" w:hAnsi="Times New Roman"/>
          <w:szCs w:val="22"/>
          <w:lang w:val="en-US" w:eastAsia="en-US"/>
        </w:rPr>
      </w:pPr>
    </w:p>
    <w:p w14:paraId="7A535B18" w14:textId="77777777" w:rsidR="0058241D" w:rsidRPr="004F285F" w:rsidRDefault="004F245D" w:rsidP="0058241D">
      <w:pPr>
        <w:numPr>
          <w:ilvl w:val="0"/>
          <w:numId w:val="11"/>
        </w:numPr>
        <w:spacing w:after="120" w:line="259" w:lineRule="auto"/>
        <w:ind w:left="993" w:hanging="633"/>
        <w:contextualSpacing/>
        <w:jc w:val="both"/>
        <w:rPr>
          <w:rFonts w:ascii="Times New Roman" w:hAnsi="Times New Roman"/>
          <w:szCs w:val="22"/>
          <w:lang w:val="en-GB" w:eastAsia="en-US"/>
        </w:rPr>
      </w:pPr>
      <w:r w:rsidRPr="0058241D">
        <w:rPr>
          <w:rFonts w:ascii="Times New Roman" w:hAnsi="Times New Roman"/>
          <w:szCs w:val="22"/>
          <w:lang w:val="en-GB" w:eastAsia="en-US"/>
        </w:rPr>
        <w:t>In the context of this proposal, the definition of “</w:t>
      </w:r>
      <w:r w:rsidR="0058241D" w:rsidRPr="0058241D">
        <w:rPr>
          <w:rFonts w:ascii="Times New Roman" w:hAnsi="Times New Roman"/>
          <w:szCs w:val="22"/>
          <w:lang w:val="en-GB" w:eastAsia="en-US"/>
        </w:rPr>
        <w:t>coordinated capacity calculator</w:t>
      </w:r>
      <w:r w:rsidRPr="0058241D">
        <w:rPr>
          <w:rFonts w:ascii="Times New Roman" w:hAnsi="Times New Roman"/>
          <w:szCs w:val="22"/>
          <w:lang w:val="en-GB" w:eastAsia="en-US"/>
        </w:rPr>
        <w:t xml:space="preserve">” is important and </w:t>
      </w:r>
      <w:r w:rsidR="0058241D">
        <w:rPr>
          <w:rFonts w:ascii="Times New Roman" w:hAnsi="Times New Roman"/>
          <w:szCs w:val="22"/>
          <w:lang w:val="en-GB" w:eastAsia="en-US"/>
        </w:rPr>
        <w:t>is defined in Article 2 (11</w:t>
      </w:r>
      <w:r w:rsidR="0058241D" w:rsidRPr="004F285F">
        <w:rPr>
          <w:rFonts w:ascii="Times New Roman" w:hAnsi="Times New Roman"/>
          <w:szCs w:val="22"/>
          <w:lang w:val="en-GB" w:eastAsia="en-US"/>
        </w:rPr>
        <w:t xml:space="preserve">) of </w:t>
      </w:r>
      <w:r w:rsidR="0058241D">
        <w:rPr>
          <w:rFonts w:ascii="Times New Roman" w:hAnsi="Times New Roman"/>
          <w:szCs w:val="22"/>
          <w:lang w:val="en-GB" w:eastAsia="en-US"/>
        </w:rPr>
        <w:t xml:space="preserve">the CACM </w:t>
      </w:r>
      <w:r w:rsidR="0058241D" w:rsidRPr="004F285F">
        <w:rPr>
          <w:rFonts w:ascii="Times New Roman" w:hAnsi="Times New Roman"/>
          <w:szCs w:val="22"/>
          <w:lang w:val="en-GB" w:eastAsia="en-US"/>
        </w:rPr>
        <w:t xml:space="preserve">Regulation as: </w:t>
      </w:r>
      <w:r w:rsidR="0058241D" w:rsidRPr="0058241D">
        <w:rPr>
          <w:rFonts w:ascii="Times New Roman" w:hAnsi="Times New Roman"/>
          <w:i/>
          <w:szCs w:val="22"/>
          <w:lang w:val="en-GB" w:eastAsia="en-US"/>
        </w:rPr>
        <w:t>“the entity or entities with the task of calculating transmission capacity, at regional level or above</w:t>
      </w:r>
      <w:r w:rsidR="0058241D" w:rsidRPr="004F285F">
        <w:rPr>
          <w:rFonts w:ascii="Times New Roman" w:hAnsi="Times New Roman"/>
          <w:i/>
          <w:szCs w:val="22"/>
          <w:lang w:val="en-GB" w:eastAsia="en-US"/>
        </w:rPr>
        <w:t>”.</w:t>
      </w:r>
    </w:p>
    <w:p w14:paraId="7A535B19" w14:textId="77777777" w:rsidR="004F245D" w:rsidRPr="00126589" w:rsidRDefault="004F245D" w:rsidP="0058241D">
      <w:pPr>
        <w:spacing w:after="160" w:line="259" w:lineRule="auto"/>
        <w:ind w:left="993"/>
        <w:contextualSpacing/>
        <w:jc w:val="both"/>
        <w:rPr>
          <w:rFonts w:ascii="Times New Roman" w:hAnsi="Times New Roman"/>
          <w:szCs w:val="22"/>
          <w:lang w:val="en-GB" w:eastAsia="en-US"/>
        </w:rPr>
      </w:pPr>
    </w:p>
    <w:p w14:paraId="7A535B1A" w14:textId="77777777" w:rsidR="00C9710C" w:rsidRPr="00126589" w:rsidRDefault="004F245D" w:rsidP="00C9710C">
      <w:pPr>
        <w:numPr>
          <w:ilvl w:val="0"/>
          <w:numId w:val="11"/>
        </w:numPr>
        <w:spacing w:after="120" w:line="259" w:lineRule="auto"/>
        <w:ind w:left="993" w:hanging="633"/>
        <w:contextualSpacing/>
        <w:jc w:val="both"/>
        <w:rPr>
          <w:rFonts w:ascii="Times New Roman" w:hAnsi="Times New Roman"/>
          <w:szCs w:val="22"/>
          <w:lang w:val="en-GB" w:eastAsia="en-US"/>
        </w:rPr>
      </w:pPr>
      <w:r w:rsidRPr="00126589">
        <w:rPr>
          <w:rFonts w:ascii="Times New Roman" w:hAnsi="Times New Roman"/>
          <w:szCs w:val="22"/>
          <w:lang w:val="en-GB" w:eastAsia="en-US"/>
        </w:rPr>
        <w:t xml:space="preserve">Article 9 (9) of the CACM Regulation requires that </w:t>
      </w:r>
      <w:r w:rsidR="00380D23" w:rsidRPr="00126589">
        <w:rPr>
          <w:rFonts w:ascii="Times New Roman" w:hAnsi="Times New Roman"/>
          <w:szCs w:val="22"/>
          <w:lang w:val="en-GB" w:eastAsia="en-US"/>
        </w:rPr>
        <w:t xml:space="preserve">the proposed timescale for the implementation and </w:t>
      </w:r>
      <w:r w:rsidRPr="00126589">
        <w:rPr>
          <w:rFonts w:ascii="Times New Roman" w:hAnsi="Times New Roman"/>
          <w:szCs w:val="22"/>
          <w:lang w:val="en-GB" w:eastAsia="en-US"/>
        </w:rPr>
        <w:t xml:space="preserve">the expected impact of the </w:t>
      </w:r>
      <w:r w:rsidR="00380D23" w:rsidRPr="00126589">
        <w:rPr>
          <w:rFonts w:ascii="Times New Roman" w:hAnsi="Times New Roman"/>
          <w:szCs w:val="22"/>
          <w:lang w:val="en-GB" w:eastAsia="en-US"/>
        </w:rPr>
        <w:t>D-2 CCC methodology</w:t>
      </w:r>
      <w:r w:rsidRPr="00126589">
        <w:rPr>
          <w:rFonts w:ascii="Times New Roman" w:hAnsi="Times New Roman"/>
          <w:szCs w:val="22"/>
          <w:lang w:val="en-GB" w:eastAsia="en-US"/>
        </w:rPr>
        <w:t xml:space="preserve"> Proposal on the objectives of the CACM Regulation is described. The impact is presented below </w:t>
      </w:r>
      <w:r w:rsidR="000D6FE5">
        <w:rPr>
          <w:rFonts w:ascii="Times New Roman" w:hAnsi="Times New Roman"/>
          <w:szCs w:val="22"/>
          <w:lang w:val="en-GB" w:eastAsia="en-US"/>
        </w:rPr>
        <w:t>in the point</w:t>
      </w:r>
      <w:r w:rsidRPr="00126589">
        <w:rPr>
          <w:rFonts w:ascii="Times New Roman" w:hAnsi="Times New Roman"/>
          <w:szCs w:val="22"/>
          <w:lang w:val="en-GB" w:eastAsia="en-US"/>
        </w:rPr>
        <w:t xml:space="preserve"> </w:t>
      </w:r>
      <w:r w:rsidR="003B3855" w:rsidRPr="00126589">
        <w:rPr>
          <w:rFonts w:ascii="Times New Roman" w:hAnsi="Times New Roman"/>
          <w:szCs w:val="22"/>
          <w:lang w:val="en-GB" w:eastAsia="en-US"/>
        </w:rPr>
        <w:fldChar w:fldCharType="begin"/>
      </w:r>
      <w:r w:rsidRPr="00126589">
        <w:rPr>
          <w:rFonts w:ascii="Times New Roman" w:hAnsi="Times New Roman"/>
          <w:szCs w:val="22"/>
          <w:lang w:val="en-GB" w:eastAsia="en-US"/>
        </w:rPr>
        <w:instrText xml:space="preserve"> REF _Ref436817306 \r \h </w:instrText>
      </w:r>
      <w:r w:rsidR="003B3855" w:rsidRPr="00126589">
        <w:rPr>
          <w:rFonts w:ascii="Times New Roman" w:hAnsi="Times New Roman"/>
          <w:szCs w:val="22"/>
          <w:lang w:val="en-GB" w:eastAsia="en-US"/>
        </w:rPr>
      </w:r>
      <w:r w:rsidR="003B3855" w:rsidRPr="00126589">
        <w:rPr>
          <w:rFonts w:ascii="Times New Roman" w:hAnsi="Times New Roman"/>
          <w:szCs w:val="22"/>
          <w:lang w:val="en-GB" w:eastAsia="en-US"/>
        </w:rPr>
        <w:fldChar w:fldCharType="separate"/>
      </w:r>
      <w:r w:rsidR="005314EE" w:rsidRPr="00126589">
        <w:rPr>
          <w:rFonts w:ascii="Times New Roman" w:hAnsi="Times New Roman"/>
          <w:szCs w:val="22"/>
          <w:lang w:val="en-GB" w:eastAsia="en-US"/>
        </w:rPr>
        <w:t>(11</w:t>
      </w:r>
      <w:r w:rsidR="00EA546A" w:rsidRPr="00126589">
        <w:rPr>
          <w:rFonts w:ascii="Times New Roman" w:hAnsi="Times New Roman"/>
          <w:szCs w:val="22"/>
          <w:lang w:val="en-GB" w:eastAsia="en-US"/>
        </w:rPr>
        <w:t>)</w:t>
      </w:r>
      <w:r w:rsidR="003B3855" w:rsidRPr="00126589">
        <w:rPr>
          <w:rFonts w:ascii="Times New Roman" w:hAnsi="Times New Roman"/>
          <w:szCs w:val="22"/>
          <w:lang w:val="en-GB" w:eastAsia="en-US"/>
        </w:rPr>
        <w:fldChar w:fldCharType="end"/>
      </w:r>
      <w:r w:rsidRPr="00126589">
        <w:rPr>
          <w:rFonts w:ascii="Times New Roman" w:hAnsi="Times New Roman"/>
          <w:szCs w:val="22"/>
          <w:lang w:val="en-GB" w:eastAsia="en-US"/>
        </w:rPr>
        <w:t xml:space="preserve"> of this Whereas Section.</w:t>
      </w:r>
      <w:bookmarkStart w:id="7" w:name="_Ref436817306"/>
    </w:p>
    <w:p w14:paraId="7A535B1B" w14:textId="77777777" w:rsidR="00C9710C" w:rsidRPr="00C9710C" w:rsidRDefault="00C9710C" w:rsidP="00C9710C">
      <w:pPr>
        <w:pStyle w:val="Paragraphedeliste"/>
        <w:rPr>
          <w:rFonts w:asciiTheme="minorHAnsi" w:hAnsiTheme="minorHAnsi" w:cstheme="minorHAnsi"/>
          <w:lang w:val="en-GB" w:eastAsia="en-US"/>
        </w:rPr>
      </w:pPr>
    </w:p>
    <w:p w14:paraId="7A535B1C" w14:textId="77777777" w:rsidR="000D6FE5" w:rsidRDefault="000D6FE5" w:rsidP="000D6FE5">
      <w:pPr>
        <w:numPr>
          <w:ilvl w:val="0"/>
          <w:numId w:val="11"/>
        </w:numPr>
        <w:spacing w:after="120" w:line="259" w:lineRule="auto"/>
        <w:ind w:left="993" w:hanging="633"/>
        <w:contextualSpacing/>
        <w:jc w:val="both"/>
        <w:rPr>
          <w:rFonts w:asciiTheme="minorHAnsi" w:hAnsiTheme="minorHAnsi" w:cstheme="minorHAnsi"/>
          <w:lang w:val="en-GB" w:eastAsia="en-US"/>
        </w:rPr>
      </w:pPr>
      <w:bookmarkStart w:id="8" w:name="_Ref436817321"/>
      <w:bookmarkEnd w:id="7"/>
      <w:r w:rsidRPr="00126589">
        <w:rPr>
          <w:rFonts w:asciiTheme="minorHAnsi" w:hAnsiTheme="minorHAnsi" w:cstheme="minorHAnsi"/>
          <w:lang w:val="en-GB" w:eastAsia="en-US"/>
        </w:rPr>
        <w:t>The CCC methodology Proposal contributes t</w:t>
      </w:r>
      <w:r>
        <w:rPr>
          <w:rFonts w:asciiTheme="minorHAnsi" w:hAnsiTheme="minorHAnsi" w:cstheme="minorHAnsi"/>
          <w:lang w:val="en-GB" w:eastAsia="en-US"/>
        </w:rPr>
        <w:t>o and does not in any way hinder</w:t>
      </w:r>
      <w:r w:rsidRPr="00126589">
        <w:rPr>
          <w:rFonts w:asciiTheme="minorHAnsi" w:hAnsiTheme="minorHAnsi" w:cstheme="minorHAnsi"/>
          <w:lang w:val="en-GB" w:eastAsia="en-US"/>
        </w:rPr>
        <w:t xml:space="preserve"> the achievement of the objectives of Article 3 of the CACM Regulation</w:t>
      </w:r>
      <w:r>
        <w:rPr>
          <w:rFonts w:asciiTheme="minorHAnsi" w:hAnsiTheme="minorHAnsi" w:cstheme="minorHAnsi"/>
          <w:lang w:val="en-GB" w:eastAsia="en-US"/>
        </w:rPr>
        <w:t>:</w:t>
      </w:r>
    </w:p>
    <w:p w14:paraId="7A535B1D" w14:textId="77777777" w:rsidR="000D6FE5" w:rsidRDefault="000D6FE5" w:rsidP="000D6FE5">
      <w:pPr>
        <w:spacing w:after="120" w:line="259" w:lineRule="auto"/>
        <w:ind w:left="993"/>
        <w:contextualSpacing/>
        <w:jc w:val="both"/>
        <w:rPr>
          <w:rFonts w:asciiTheme="minorHAnsi" w:hAnsiTheme="minorHAnsi" w:cstheme="minorHAnsi"/>
          <w:lang w:val="en-GB" w:eastAsia="en-US"/>
        </w:rPr>
      </w:pPr>
    </w:p>
    <w:p w14:paraId="7A535B1E" w14:textId="77777777" w:rsidR="000D6FE5" w:rsidRDefault="000D6FE5" w:rsidP="000D6FE5">
      <w:pPr>
        <w:spacing w:after="120" w:line="259" w:lineRule="auto"/>
        <w:ind w:left="993"/>
        <w:contextualSpacing/>
        <w:jc w:val="both"/>
        <w:rPr>
          <w:rFonts w:asciiTheme="minorHAnsi" w:hAnsiTheme="minorHAnsi" w:cstheme="minorHAnsi"/>
          <w:lang w:val="en-GB" w:eastAsia="en-US"/>
        </w:rPr>
      </w:pPr>
      <w:r>
        <w:rPr>
          <w:rFonts w:asciiTheme="minorHAnsi" w:hAnsiTheme="minorHAnsi" w:cstheme="minorHAnsi"/>
          <w:lang w:val="en-GB" w:eastAsia="en-US"/>
        </w:rPr>
        <w:t>A</w:t>
      </w:r>
      <w:r w:rsidRPr="00126589">
        <w:rPr>
          <w:rFonts w:asciiTheme="minorHAnsi" w:hAnsiTheme="minorHAnsi" w:cstheme="minorHAnsi"/>
          <w:lang w:val="en-GB" w:eastAsia="en-US"/>
        </w:rPr>
        <w:t>rticle 3 (a) of the CACM Regulation</w:t>
      </w:r>
      <w:r w:rsidRPr="00D27DF6">
        <w:rPr>
          <w:rFonts w:asciiTheme="minorHAnsi" w:hAnsiTheme="minorHAnsi" w:cstheme="minorHAnsi"/>
          <w:lang w:val="en-GB" w:eastAsia="en-US"/>
        </w:rPr>
        <w:t xml:space="preserve"> aims at promoting effective competition in the generation, trading and supply of electricity</w:t>
      </w:r>
      <w:r>
        <w:rPr>
          <w:rFonts w:asciiTheme="minorHAnsi" w:hAnsiTheme="minorHAnsi" w:cstheme="minorHAnsi"/>
          <w:lang w:val="en-GB" w:eastAsia="en-US"/>
        </w:rPr>
        <w:t>.</w:t>
      </w:r>
    </w:p>
    <w:p w14:paraId="7A535B1F" w14:textId="77777777" w:rsidR="000D6FE5" w:rsidRDefault="000D6FE5" w:rsidP="000D6FE5">
      <w:pPr>
        <w:spacing w:after="120" w:line="259" w:lineRule="auto"/>
        <w:ind w:left="993"/>
        <w:contextualSpacing/>
        <w:jc w:val="both"/>
        <w:rPr>
          <w:rFonts w:asciiTheme="minorHAnsi" w:hAnsiTheme="minorHAnsi" w:cstheme="minorHAnsi"/>
          <w:lang w:val="en-GB" w:eastAsia="en-US"/>
        </w:rPr>
      </w:pPr>
      <w:r>
        <w:rPr>
          <w:rFonts w:asciiTheme="minorHAnsi" w:hAnsiTheme="minorHAnsi" w:cstheme="minorHAnsi"/>
          <w:lang w:val="en-GB" w:eastAsia="en-US"/>
        </w:rPr>
        <w:t>T</w:t>
      </w:r>
      <w:r w:rsidRPr="00126589">
        <w:rPr>
          <w:rFonts w:asciiTheme="minorHAnsi" w:hAnsiTheme="minorHAnsi" w:cstheme="minorHAnsi"/>
          <w:lang w:val="en-GB" w:eastAsia="en-US"/>
        </w:rPr>
        <w:t xml:space="preserve">he </w:t>
      </w:r>
      <w:r w:rsidRPr="00126589">
        <w:rPr>
          <w:rFonts w:ascii="Times New Roman" w:hAnsi="Times New Roman"/>
          <w:szCs w:val="22"/>
          <w:lang w:val="en-GB" w:eastAsia="en-US"/>
        </w:rPr>
        <w:t xml:space="preserve">D-2 </w:t>
      </w:r>
      <w:r w:rsidRPr="00126589">
        <w:rPr>
          <w:rFonts w:asciiTheme="minorHAnsi" w:hAnsiTheme="minorHAnsi" w:cstheme="minorHAnsi"/>
          <w:lang w:val="en-GB" w:eastAsia="en-US"/>
        </w:rPr>
        <w:t>CCC methodology Proposal serves the objective of promoting effective competition in the generation, trading and supply of electricity by defining a set of harmonised rules for capacity calculation and congestion management which contributes to the effectiveness of the single day-ahead coupling. Establishing common and coordinated processes for the capacity calculation</w:t>
      </w:r>
      <w:r>
        <w:rPr>
          <w:rFonts w:asciiTheme="minorHAnsi" w:hAnsiTheme="minorHAnsi" w:cstheme="minorHAnsi"/>
          <w:lang w:val="en-GB" w:eastAsia="en-US"/>
        </w:rPr>
        <w:t>s within the day-ahead</w:t>
      </w:r>
      <w:r w:rsidRPr="00126589">
        <w:rPr>
          <w:rFonts w:asciiTheme="minorHAnsi" w:hAnsiTheme="minorHAnsi" w:cstheme="minorHAnsi"/>
          <w:lang w:val="en-GB" w:eastAsia="en-US"/>
        </w:rPr>
        <w:t xml:space="preserve"> </w:t>
      </w:r>
      <w:r>
        <w:rPr>
          <w:rFonts w:asciiTheme="minorHAnsi" w:hAnsiTheme="minorHAnsi" w:cstheme="minorHAnsi"/>
          <w:lang w:val="en-GB" w:eastAsia="en-US"/>
        </w:rPr>
        <w:t xml:space="preserve">market timeframe </w:t>
      </w:r>
      <w:r w:rsidRPr="00126589">
        <w:rPr>
          <w:rFonts w:asciiTheme="minorHAnsi" w:hAnsiTheme="minorHAnsi" w:cstheme="minorHAnsi"/>
          <w:lang w:val="en-GB" w:eastAsia="en-US"/>
        </w:rPr>
        <w:t>contributes to achieving this aim.</w:t>
      </w:r>
    </w:p>
    <w:p w14:paraId="7A535B20" w14:textId="77777777" w:rsidR="000D6FE5" w:rsidRPr="00D27DF6" w:rsidRDefault="000D6FE5" w:rsidP="000D6FE5">
      <w:pPr>
        <w:spacing w:after="120" w:line="259" w:lineRule="auto"/>
        <w:contextualSpacing/>
        <w:jc w:val="both"/>
        <w:rPr>
          <w:rFonts w:asciiTheme="minorHAnsi" w:hAnsiTheme="minorHAnsi" w:cstheme="minorHAnsi"/>
          <w:lang w:val="en-GB" w:eastAsia="en-US"/>
        </w:rPr>
      </w:pPr>
    </w:p>
    <w:p w14:paraId="7A535B21" w14:textId="77777777" w:rsidR="000D6FE5" w:rsidRDefault="000D6FE5" w:rsidP="000D6FE5">
      <w:pPr>
        <w:spacing w:after="120" w:line="259" w:lineRule="auto"/>
        <w:ind w:left="993"/>
        <w:contextualSpacing/>
        <w:jc w:val="both"/>
        <w:rPr>
          <w:rFonts w:asciiTheme="minorHAnsi" w:hAnsiTheme="minorHAnsi" w:cstheme="minorHAnsi"/>
          <w:lang w:val="en-GB" w:eastAsia="en-US"/>
        </w:rPr>
      </w:pPr>
      <w:r>
        <w:rPr>
          <w:rFonts w:asciiTheme="minorHAnsi" w:hAnsiTheme="minorHAnsi" w:cstheme="minorHAnsi"/>
          <w:lang w:val="en-GB" w:eastAsia="en-US"/>
        </w:rPr>
        <w:t>Article 3 (b</w:t>
      </w:r>
      <w:r w:rsidRPr="00126589">
        <w:rPr>
          <w:rFonts w:asciiTheme="minorHAnsi" w:hAnsiTheme="minorHAnsi" w:cstheme="minorHAnsi"/>
          <w:lang w:val="en-GB" w:eastAsia="en-US"/>
        </w:rPr>
        <w:t>) of the CACM Regulation</w:t>
      </w:r>
      <w:r w:rsidRPr="00D27DF6">
        <w:rPr>
          <w:rFonts w:asciiTheme="minorHAnsi" w:hAnsiTheme="minorHAnsi" w:cstheme="minorHAnsi"/>
          <w:lang w:val="en-GB" w:eastAsia="en-US"/>
        </w:rPr>
        <w:t xml:space="preserve"> aims at ensuring optimal use of the transmission infrastructure</w:t>
      </w:r>
      <w:r>
        <w:rPr>
          <w:rFonts w:asciiTheme="minorHAnsi" w:hAnsiTheme="minorHAnsi" w:cstheme="minorHAnsi"/>
          <w:lang w:val="en-GB" w:eastAsia="en-US"/>
        </w:rPr>
        <w:t>.</w:t>
      </w:r>
    </w:p>
    <w:p w14:paraId="7A535B22" w14:textId="77777777" w:rsidR="000D6FE5" w:rsidRPr="00B8728D" w:rsidRDefault="000D6FE5" w:rsidP="000D6FE5">
      <w:pPr>
        <w:spacing w:after="120" w:line="259" w:lineRule="auto"/>
        <w:ind w:left="993"/>
        <w:contextualSpacing/>
        <w:jc w:val="both"/>
        <w:rPr>
          <w:rFonts w:asciiTheme="minorHAnsi" w:hAnsiTheme="minorHAnsi" w:cstheme="minorHAnsi"/>
          <w:szCs w:val="22"/>
          <w:lang w:val="en-GB" w:eastAsia="en-US"/>
        </w:rPr>
      </w:pPr>
      <w:r>
        <w:rPr>
          <w:rFonts w:asciiTheme="minorHAnsi" w:hAnsiTheme="minorHAnsi" w:cstheme="minorHAnsi"/>
          <w:szCs w:val="22"/>
          <w:lang w:val="en-GB" w:eastAsia="en-US"/>
        </w:rPr>
        <w:t xml:space="preserve">The D-2 </w:t>
      </w:r>
      <w:r w:rsidRPr="00B8728D">
        <w:rPr>
          <w:rFonts w:asciiTheme="minorHAnsi" w:hAnsiTheme="minorHAnsi" w:cstheme="minorHAnsi"/>
          <w:szCs w:val="22"/>
          <w:lang w:val="en-GB" w:eastAsia="en-US"/>
        </w:rPr>
        <w:t xml:space="preserve">CCC methodology Proposal contributes to the objective of ensuring optimal use of the transmission infrastructure by </w:t>
      </w:r>
      <w:r w:rsidRPr="001546E4">
        <w:rPr>
          <w:rFonts w:asciiTheme="minorHAnsi" w:hAnsiTheme="minorHAnsi" w:cstheme="minorHAnsi"/>
          <w:szCs w:val="22"/>
          <w:lang w:val="en-GB" w:eastAsia="en-US"/>
        </w:rPr>
        <w:t xml:space="preserve">using last </w:t>
      </w:r>
      <w:r>
        <w:rPr>
          <w:rFonts w:asciiTheme="minorHAnsi" w:hAnsiTheme="minorHAnsi" w:cstheme="minorHAnsi"/>
          <w:szCs w:val="22"/>
          <w:lang w:val="en-GB" w:eastAsia="en-US"/>
        </w:rPr>
        <w:t>available</w:t>
      </w:r>
      <w:r w:rsidRPr="001546E4">
        <w:rPr>
          <w:rFonts w:asciiTheme="minorHAnsi" w:hAnsiTheme="minorHAnsi" w:cstheme="minorHAnsi"/>
          <w:szCs w:val="22"/>
          <w:lang w:val="en-GB" w:eastAsia="en-US"/>
        </w:rPr>
        <w:t xml:space="preserve"> inputs</w:t>
      </w:r>
      <w:r>
        <w:rPr>
          <w:rFonts w:asciiTheme="minorHAnsi" w:hAnsiTheme="minorHAnsi" w:cstheme="minorHAnsi"/>
          <w:szCs w:val="22"/>
          <w:lang w:val="en-GB" w:eastAsia="en-US"/>
        </w:rPr>
        <w:t xml:space="preserve"> based on the best possible forecast of transmission systems at the time of each capacity calculation, updated in a timely manner. </w:t>
      </w:r>
    </w:p>
    <w:p w14:paraId="7A535B23" w14:textId="77777777" w:rsidR="000D6FE5" w:rsidRPr="00E03483" w:rsidRDefault="000D6FE5" w:rsidP="000D6FE5">
      <w:pPr>
        <w:spacing w:after="120" w:line="259" w:lineRule="auto"/>
        <w:contextualSpacing/>
        <w:jc w:val="both"/>
        <w:rPr>
          <w:rFonts w:asciiTheme="minorHAnsi" w:hAnsiTheme="minorHAnsi" w:cstheme="minorHAnsi"/>
          <w:color w:val="00B050"/>
          <w:szCs w:val="22"/>
          <w:lang w:val="en-GB" w:eastAsia="en-US"/>
        </w:rPr>
      </w:pPr>
    </w:p>
    <w:p w14:paraId="7A535B24" w14:textId="77777777" w:rsidR="000D6FE5" w:rsidRDefault="000D6FE5" w:rsidP="000D6FE5">
      <w:pPr>
        <w:spacing w:after="120" w:line="259" w:lineRule="auto"/>
        <w:ind w:left="993"/>
        <w:contextualSpacing/>
        <w:jc w:val="both"/>
        <w:rPr>
          <w:rFonts w:asciiTheme="minorHAnsi" w:hAnsiTheme="minorHAnsi" w:cstheme="minorHAnsi"/>
          <w:lang w:val="en-GB" w:eastAsia="en-US"/>
        </w:rPr>
      </w:pPr>
      <w:r>
        <w:rPr>
          <w:rFonts w:asciiTheme="minorHAnsi" w:hAnsiTheme="minorHAnsi" w:cstheme="minorHAnsi"/>
          <w:lang w:val="en-GB" w:eastAsia="en-US"/>
        </w:rPr>
        <w:t>Article 3 (c</w:t>
      </w:r>
      <w:r w:rsidRPr="00126589">
        <w:rPr>
          <w:rFonts w:asciiTheme="minorHAnsi" w:hAnsiTheme="minorHAnsi" w:cstheme="minorHAnsi"/>
          <w:lang w:val="en-GB" w:eastAsia="en-US"/>
        </w:rPr>
        <w:t>) of the CACM Regulation</w:t>
      </w:r>
      <w:r w:rsidRPr="00D27DF6">
        <w:rPr>
          <w:rFonts w:asciiTheme="minorHAnsi" w:hAnsiTheme="minorHAnsi" w:cstheme="minorHAnsi"/>
          <w:lang w:val="en-GB" w:eastAsia="en-US"/>
        </w:rPr>
        <w:t xml:space="preserve"> aims at </w:t>
      </w:r>
      <w:r w:rsidRPr="00164B70">
        <w:rPr>
          <w:rFonts w:asciiTheme="minorHAnsi" w:hAnsiTheme="minorHAnsi" w:cstheme="minorHAnsi"/>
          <w:lang w:val="en-GB" w:eastAsia="en-US"/>
        </w:rPr>
        <w:t>ensuring operational security</w:t>
      </w:r>
      <w:r w:rsidR="006B1C0E">
        <w:rPr>
          <w:rFonts w:asciiTheme="minorHAnsi" w:hAnsiTheme="minorHAnsi" w:cstheme="minorHAnsi"/>
          <w:lang w:val="en-GB" w:eastAsia="en-US"/>
        </w:rPr>
        <w:t>.</w:t>
      </w:r>
    </w:p>
    <w:p w14:paraId="7A535B25" w14:textId="3657FC1F" w:rsidR="000D6FE5" w:rsidRDefault="000D6FE5" w:rsidP="000D6FE5">
      <w:pPr>
        <w:spacing w:after="120" w:line="259" w:lineRule="auto"/>
        <w:ind w:left="993"/>
        <w:contextualSpacing/>
        <w:jc w:val="both"/>
        <w:rPr>
          <w:rFonts w:asciiTheme="minorHAnsi" w:hAnsiTheme="minorHAnsi" w:cstheme="minorHAnsi"/>
          <w:szCs w:val="22"/>
          <w:lang w:val="en-GB" w:eastAsia="en-US"/>
        </w:rPr>
      </w:pPr>
      <w:r>
        <w:rPr>
          <w:rFonts w:asciiTheme="minorHAnsi" w:hAnsiTheme="minorHAnsi" w:cstheme="minorHAnsi"/>
          <w:szCs w:val="22"/>
          <w:lang w:val="en-GB" w:eastAsia="en-US"/>
        </w:rPr>
        <w:t xml:space="preserve">The D-2 </w:t>
      </w:r>
      <w:r w:rsidRPr="001546E4">
        <w:rPr>
          <w:rFonts w:asciiTheme="minorHAnsi" w:hAnsiTheme="minorHAnsi" w:cstheme="minorHAnsi"/>
          <w:szCs w:val="22"/>
          <w:lang w:val="en-GB" w:eastAsia="en-US"/>
        </w:rPr>
        <w:t>CCC methodology Proposal contributes to the objective of ensuring operational</w:t>
      </w:r>
      <w:r w:rsidR="009C024E">
        <w:rPr>
          <w:rFonts w:asciiTheme="minorHAnsi" w:hAnsiTheme="minorHAnsi" w:cstheme="minorHAnsi"/>
          <w:szCs w:val="22"/>
          <w:lang w:val="en-GB" w:eastAsia="en-US"/>
        </w:rPr>
        <w:t xml:space="preserve"> security</w:t>
      </w:r>
      <w:r w:rsidRPr="001546E4">
        <w:rPr>
          <w:rFonts w:asciiTheme="minorHAnsi" w:hAnsiTheme="minorHAnsi" w:cstheme="minorHAnsi"/>
          <w:szCs w:val="22"/>
          <w:lang w:val="en-GB" w:eastAsia="en-US"/>
        </w:rPr>
        <w:t xml:space="preserve"> by coordinating the capacity calculation </w:t>
      </w:r>
      <w:r>
        <w:rPr>
          <w:rFonts w:asciiTheme="minorHAnsi" w:hAnsiTheme="minorHAnsi" w:cstheme="minorHAnsi"/>
          <w:szCs w:val="22"/>
          <w:lang w:val="en-GB" w:eastAsia="en-US"/>
        </w:rPr>
        <w:t xml:space="preserve">with updated inputs </w:t>
      </w:r>
      <w:r w:rsidRPr="001546E4">
        <w:rPr>
          <w:rFonts w:asciiTheme="minorHAnsi" w:hAnsiTheme="minorHAnsi" w:cstheme="minorHAnsi"/>
          <w:szCs w:val="22"/>
          <w:lang w:val="en-GB" w:eastAsia="en-US"/>
        </w:rPr>
        <w:t xml:space="preserve">for the day-ahead </w:t>
      </w:r>
      <w:r>
        <w:rPr>
          <w:rFonts w:asciiTheme="minorHAnsi" w:hAnsiTheme="minorHAnsi" w:cstheme="minorHAnsi"/>
          <w:szCs w:val="22"/>
          <w:lang w:val="en-GB" w:eastAsia="en-US"/>
        </w:rPr>
        <w:t xml:space="preserve">market timeframe </w:t>
      </w:r>
      <w:r w:rsidRPr="001546E4">
        <w:rPr>
          <w:rFonts w:asciiTheme="minorHAnsi" w:hAnsiTheme="minorHAnsi" w:cstheme="minorHAnsi"/>
          <w:szCs w:val="22"/>
          <w:lang w:val="en-GB" w:eastAsia="en-US"/>
        </w:rPr>
        <w:t xml:space="preserve">at regional level to ensure its reliability. </w:t>
      </w:r>
    </w:p>
    <w:p w14:paraId="7A535B26" w14:textId="77777777" w:rsidR="000D6FE5" w:rsidRDefault="000D6FE5" w:rsidP="000D6FE5">
      <w:pPr>
        <w:spacing w:after="120" w:line="259" w:lineRule="auto"/>
        <w:ind w:left="993"/>
        <w:contextualSpacing/>
        <w:jc w:val="both"/>
        <w:rPr>
          <w:rFonts w:asciiTheme="minorHAnsi" w:hAnsiTheme="minorHAnsi" w:cstheme="minorHAnsi"/>
          <w:szCs w:val="22"/>
          <w:lang w:val="en-GB" w:eastAsia="en-US"/>
        </w:rPr>
      </w:pPr>
    </w:p>
    <w:p w14:paraId="7A535B27" w14:textId="77777777" w:rsidR="000D6FE5" w:rsidRDefault="000D6FE5" w:rsidP="000D6FE5">
      <w:pPr>
        <w:spacing w:after="120" w:line="259" w:lineRule="auto"/>
        <w:ind w:left="993"/>
        <w:contextualSpacing/>
        <w:jc w:val="both"/>
        <w:rPr>
          <w:rFonts w:asciiTheme="minorHAnsi" w:hAnsiTheme="minorHAnsi" w:cstheme="minorHAnsi"/>
          <w:lang w:val="en-GB" w:eastAsia="en-US"/>
        </w:rPr>
      </w:pPr>
      <w:r>
        <w:rPr>
          <w:rFonts w:asciiTheme="minorHAnsi" w:hAnsiTheme="minorHAnsi" w:cstheme="minorHAnsi"/>
          <w:lang w:val="en-GB" w:eastAsia="en-US"/>
        </w:rPr>
        <w:lastRenderedPageBreak/>
        <w:t>Article 3 (d</w:t>
      </w:r>
      <w:r w:rsidRPr="00126589">
        <w:rPr>
          <w:rFonts w:asciiTheme="minorHAnsi" w:hAnsiTheme="minorHAnsi" w:cstheme="minorHAnsi"/>
          <w:lang w:val="en-GB" w:eastAsia="en-US"/>
        </w:rPr>
        <w:t>) of the CACM Regulation</w:t>
      </w:r>
      <w:r w:rsidRPr="00D27DF6">
        <w:rPr>
          <w:rFonts w:asciiTheme="minorHAnsi" w:hAnsiTheme="minorHAnsi" w:cstheme="minorHAnsi"/>
          <w:lang w:val="en-GB" w:eastAsia="en-US"/>
        </w:rPr>
        <w:t xml:space="preserve"> aims at </w:t>
      </w:r>
      <w:r w:rsidRPr="00164B70">
        <w:rPr>
          <w:rFonts w:asciiTheme="minorHAnsi" w:hAnsiTheme="minorHAnsi" w:cstheme="minorHAnsi"/>
          <w:lang w:val="en-GB" w:eastAsia="en-US"/>
        </w:rPr>
        <w:t>optimising the calculation and all</w:t>
      </w:r>
      <w:r>
        <w:rPr>
          <w:rFonts w:asciiTheme="minorHAnsi" w:hAnsiTheme="minorHAnsi" w:cstheme="minorHAnsi"/>
          <w:lang w:val="en-GB" w:eastAsia="en-US"/>
        </w:rPr>
        <w:t>ocation of cross-zonal capacity</w:t>
      </w:r>
      <w:r w:rsidR="008B28C1">
        <w:rPr>
          <w:rFonts w:asciiTheme="minorHAnsi" w:hAnsiTheme="minorHAnsi" w:cstheme="minorHAnsi"/>
          <w:lang w:val="en-GB" w:eastAsia="en-US"/>
        </w:rPr>
        <w:t>.</w:t>
      </w:r>
    </w:p>
    <w:p w14:paraId="7A535B28" w14:textId="77777777" w:rsidR="000D6FE5" w:rsidRDefault="000D6FE5" w:rsidP="000D6FE5">
      <w:pPr>
        <w:spacing w:after="160" w:line="259" w:lineRule="auto"/>
        <w:ind w:left="993"/>
        <w:contextualSpacing/>
        <w:jc w:val="both"/>
        <w:rPr>
          <w:rFonts w:ascii="Times New Roman" w:hAnsi="Times New Roman"/>
          <w:szCs w:val="22"/>
          <w:lang w:val="en-GB" w:eastAsia="en-US"/>
        </w:rPr>
      </w:pPr>
      <w:r w:rsidRPr="00126589">
        <w:rPr>
          <w:rFonts w:asciiTheme="minorHAnsi" w:hAnsiTheme="minorHAnsi" w:cstheme="minorHAnsi"/>
          <w:szCs w:val="22"/>
          <w:lang w:val="en-GB" w:eastAsia="en-US"/>
        </w:rPr>
        <w:t xml:space="preserve">By coordinating the timings for the delivery of inputs, calculation approach and validation requirements of the CCC between TSOs and </w:t>
      </w:r>
      <w:r>
        <w:rPr>
          <w:rFonts w:asciiTheme="minorHAnsi" w:hAnsiTheme="minorHAnsi" w:cstheme="minorHAnsi"/>
          <w:szCs w:val="22"/>
          <w:lang w:val="en-GB" w:eastAsia="en-US"/>
        </w:rPr>
        <w:t>the coordinated capacity calculator</w:t>
      </w:r>
      <w:r w:rsidRPr="00126589">
        <w:rPr>
          <w:rFonts w:asciiTheme="minorHAnsi" w:hAnsiTheme="minorHAnsi" w:cstheme="minorHAnsi"/>
          <w:szCs w:val="22"/>
          <w:lang w:val="en-GB" w:eastAsia="en-US"/>
        </w:rPr>
        <w:t xml:space="preserve">, the </w:t>
      </w:r>
      <w:r>
        <w:rPr>
          <w:rFonts w:asciiTheme="minorHAnsi" w:hAnsiTheme="minorHAnsi" w:cstheme="minorHAnsi"/>
          <w:szCs w:val="22"/>
          <w:lang w:val="en-GB" w:eastAsia="en-US"/>
        </w:rPr>
        <w:t xml:space="preserve">D-2 </w:t>
      </w:r>
      <w:r w:rsidRPr="00126589">
        <w:rPr>
          <w:rFonts w:asciiTheme="minorHAnsi" w:hAnsiTheme="minorHAnsi" w:cstheme="minorHAnsi"/>
          <w:szCs w:val="22"/>
          <w:lang w:val="en-GB" w:eastAsia="en-US"/>
        </w:rPr>
        <w:t xml:space="preserve">CCC methodology proposal contributes to the objective of </w:t>
      </w:r>
      <w:r w:rsidRPr="00126589">
        <w:rPr>
          <w:rFonts w:asciiTheme="minorHAnsi" w:hAnsiTheme="minorHAnsi" w:cstheme="minorHAnsi"/>
          <w:lang w:val="en-GB"/>
        </w:rPr>
        <w:t>optimising the calculation and allocation o</w:t>
      </w:r>
      <w:r>
        <w:rPr>
          <w:rFonts w:asciiTheme="minorHAnsi" w:hAnsiTheme="minorHAnsi" w:cstheme="minorHAnsi"/>
          <w:lang w:val="en-GB"/>
        </w:rPr>
        <w:t>f cross-zonal capacity</w:t>
      </w:r>
      <w:r w:rsidRPr="00126589">
        <w:rPr>
          <w:rFonts w:asciiTheme="minorHAnsi" w:hAnsiTheme="minorHAnsi" w:cstheme="minorHAnsi"/>
          <w:szCs w:val="22"/>
          <w:lang w:val="en-GB" w:eastAsia="en-US"/>
        </w:rPr>
        <w:t>.</w:t>
      </w:r>
    </w:p>
    <w:p w14:paraId="7A535B29" w14:textId="77777777" w:rsidR="000D6FE5" w:rsidRPr="00126589" w:rsidRDefault="000D6FE5" w:rsidP="000D6FE5">
      <w:pPr>
        <w:spacing w:after="160" w:line="259" w:lineRule="auto"/>
        <w:contextualSpacing/>
        <w:jc w:val="both"/>
        <w:rPr>
          <w:rFonts w:ascii="Times New Roman" w:hAnsi="Times New Roman"/>
          <w:szCs w:val="22"/>
          <w:lang w:val="en-GB" w:eastAsia="en-US"/>
        </w:rPr>
      </w:pPr>
    </w:p>
    <w:p w14:paraId="7A535B2A" w14:textId="77777777" w:rsidR="000D6FE5" w:rsidRDefault="000D6FE5" w:rsidP="000D6FE5">
      <w:pPr>
        <w:spacing w:after="120" w:line="259" w:lineRule="auto"/>
        <w:ind w:left="993"/>
        <w:contextualSpacing/>
        <w:jc w:val="both"/>
        <w:rPr>
          <w:rFonts w:asciiTheme="minorHAnsi" w:hAnsiTheme="minorHAnsi" w:cstheme="minorHAnsi"/>
          <w:lang w:val="en-GB" w:eastAsia="en-US"/>
        </w:rPr>
      </w:pPr>
      <w:r>
        <w:rPr>
          <w:rFonts w:asciiTheme="minorHAnsi" w:hAnsiTheme="minorHAnsi" w:cstheme="minorHAnsi"/>
          <w:lang w:val="en-GB" w:eastAsia="en-US"/>
        </w:rPr>
        <w:t>Article 3 (g</w:t>
      </w:r>
      <w:r w:rsidRPr="00126589">
        <w:rPr>
          <w:rFonts w:asciiTheme="minorHAnsi" w:hAnsiTheme="minorHAnsi" w:cstheme="minorHAnsi"/>
          <w:lang w:val="en-GB" w:eastAsia="en-US"/>
        </w:rPr>
        <w:t>) of the CACM Regulation</w:t>
      </w:r>
      <w:r w:rsidRPr="00D27DF6">
        <w:rPr>
          <w:rFonts w:asciiTheme="minorHAnsi" w:hAnsiTheme="minorHAnsi" w:cstheme="minorHAnsi"/>
          <w:lang w:val="en-GB" w:eastAsia="en-US"/>
        </w:rPr>
        <w:t xml:space="preserve"> aims at </w:t>
      </w:r>
      <w:r w:rsidRPr="00164B70">
        <w:rPr>
          <w:rFonts w:asciiTheme="minorHAnsi" w:hAnsiTheme="minorHAnsi" w:cstheme="minorHAnsi"/>
          <w:lang w:val="en-GB" w:eastAsia="en-US"/>
        </w:rPr>
        <w:t>contributing to the efficient long-term operation and development of the electricity transmission system and electricity sector in the Union</w:t>
      </w:r>
      <w:r>
        <w:rPr>
          <w:rFonts w:asciiTheme="minorHAnsi" w:hAnsiTheme="minorHAnsi" w:cstheme="minorHAnsi"/>
          <w:lang w:val="en-GB" w:eastAsia="en-US"/>
        </w:rPr>
        <w:t>.</w:t>
      </w:r>
    </w:p>
    <w:p w14:paraId="7A535B2B" w14:textId="77777777" w:rsidR="000D6FE5" w:rsidRDefault="000D6FE5" w:rsidP="000D6FE5">
      <w:pPr>
        <w:spacing w:after="120" w:line="259" w:lineRule="auto"/>
        <w:ind w:left="993"/>
        <w:contextualSpacing/>
        <w:jc w:val="both"/>
        <w:rPr>
          <w:rFonts w:ascii="Times New Roman" w:hAnsi="Times New Roman"/>
          <w:szCs w:val="22"/>
          <w:lang w:val="en-GB" w:eastAsia="en-US"/>
        </w:rPr>
      </w:pPr>
      <w:r>
        <w:rPr>
          <w:rFonts w:ascii="Times New Roman" w:hAnsi="Times New Roman"/>
          <w:szCs w:val="22"/>
          <w:lang w:val="en-GB" w:eastAsia="en-US"/>
        </w:rPr>
        <w:t>By using the best possible forecast of the transmission systems at the time of each capacity calculation within the Italy North region, the results of the coordinated capacity calculation contributes to determine the most limiting branches within this region, by then help TSOs for a more efficient development of the electricity transmission system.</w:t>
      </w:r>
    </w:p>
    <w:p w14:paraId="7A535B2C" w14:textId="77777777" w:rsidR="00126589" w:rsidRPr="00126589" w:rsidRDefault="00126589" w:rsidP="00126589">
      <w:pPr>
        <w:spacing w:after="160" w:line="259" w:lineRule="auto"/>
        <w:contextualSpacing/>
        <w:jc w:val="both"/>
        <w:rPr>
          <w:rFonts w:ascii="Times New Roman" w:hAnsi="Times New Roman"/>
          <w:szCs w:val="22"/>
          <w:lang w:val="en-GB" w:eastAsia="en-US"/>
        </w:rPr>
      </w:pPr>
    </w:p>
    <w:p w14:paraId="7A535B2D" w14:textId="77777777" w:rsidR="004F245D" w:rsidRPr="00126589" w:rsidRDefault="004F245D" w:rsidP="005314EE">
      <w:pPr>
        <w:numPr>
          <w:ilvl w:val="0"/>
          <w:numId w:val="11"/>
        </w:numPr>
        <w:spacing w:after="120" w:line="259" w:lineRule="auto"/>
        <w:ind w:left="993" w:hanging="633"/>
        <w:contextualSpacing/>
        <w:jc w:val="both"/>
        <w:rPr>
          <w:rFonts w:ascii="Times New Roman" w:hAnsi="Times New Roman"/>
          <w:szCs w:val="22"/>
          <w:lang w:val="en-GB" w:eastAsia="en-US"/>
        </w:rPr>
      </w:pPr>
      <w:r w:rsidRPr="00126589">
        <w:rPr>
          <w:rFonts w:ascii="Times New Roman" w:hAnsi="Times New Roman"/>
          <w:szCs w:val="22"/>
          <w:lang w:val="en-GB" w:eastAsia="en-US"/>
        </w:rPr>
        <w:t xml:space="preserve">In conclusion, the </w:t>
      </w:r>
      <w:r w:rsidR="005314EE" w:rsidRPr="00126589">
        <w:rPr>
          <w:rFonts w:ascii="Times New Roman" w:hAnsi="Times New Roman"/>
          <w:szCs w:val="22"/>
          <w:lang w:val="en-GB" w:eastAsia="en-US"/>
        </w:rPr>
        <w:t>D-2 CCC methodology</w:t>
      </w:r>
      <w:r w:rsidRPr="00126589">
        <w:rPr>
          <w:rFonts w:ascii="Times New Roman" w:hAnsi="Times New Roman"/>
          <w:szCs w:val="22"/>
          <w:lang w:val="en-GB" w:eastAsia="en-US"/>
        </w:rPr>
        <w:t xml:space="preserve"> Proposal contributes to the general objectives of the CACM Regulation.</w:t>
      </w:r>
      <w:bookmarkEnd w:id="8"/>
    </w:p>
    <w:p w14:paraId="7A535B2E" w14:textId="77777777" w:rsidR="005C0A5E" w:rsidRPr="004F285F" w:rsidRDefault="005C0A5E" w:rsidP="005C0A5E">
      <w:pPr>
        <w:spacing w:after="120" w:line="259" w:lineRule="auto"/>
        <w:ind w:left="993"/>
        <w:contextualSpacing/>
        <w:jc w:val="both"/>
        <w:rPr>
          <w:rFonts w:ascii="Times New Roman" w:hAnsi="Times New Roman"/>
          <w:szCs w:val="22"/>
          <w:lang w:val="en-GB" w:eastAsia="en-US"/>
        </w:rPr>
      </w:pPr>
    </w:p>
    <w:p w14:paraId="7A535B2F" w14:textId="77777777" w:rsidR="004F245D" w:rsidRPr="004F285F" w:rsidRDefault="004F245D" w:rsidP="004F245D">
      <w:pPr>
        <w:spacing w:after="120"/>
        <w:jc w:val="both"/>
        <w:rPr>
          <w:rFonts w:ascii="Times New Roman" w:hAnsi="Times New Roman"/>
          <w:b/>
          <w:szCs w:val="22"/>
          <w:lang w:val="en-GB" w:eastAsia="en-US"/>
        </w:rPr>
      </w:pPr>
      <w:r w:rsidRPr="004F285F">
        <w:rPr>
          <w:rFonts w:ascii="Times New Roman" w:hAnsi="Times New Roman"/>
          <w:b/>
          <w:szCs w:val="22"/>
          <w:lang w:val="en-GB" w:eastAsia="en-US"/>
        </w:rPr>
        <w:t xml:space="preserve">SUBMIT THE FOLLOWING </w:t>
      </w:r>
      <w:r w:rsidR="00095D5A" w:rsidRPr="00095D5A">
        <w:rPr>
          <w:rFonts w:ascii="Times New Roman" w:hAnsi="Times New Roman"/>
          <w:b/>
          <w:szCs w:val="22"/>
          <w:lang w:val="en-GB" w:eastAsia="en-US"/>
        </w:rPr>
        <w:t xml:space="preserve">D-2 CCC </w:t>
      </w:r>
      <w:r w:rsidR="005314EE">
        <w:rPr>
          <w:rFonts w:ascii="Times New Roman" w:hAnsi="Times New Roman"/>
          <w:b/>
          <w:szCs w:val="22"/>
          <w:lang w:val="en-GB" w:eastAsia="en-US"/>
        </w:rPr>
        <w:t>METHODOLOGY</w:t>
      </w:r>
      <w:r w:rsidRPr="004F285F">
        <w:rPr>
          <w:rFonts w:ascii="Times New Roman" w:hAnsi="Times New Roman"/>
          <w:b/>
          <w:szCs w:val="22"/>
          <w:lang w:val="en-GB" w:eastAsia="en-US"/>
        </w:rPr>
        <w:t xml:space="preserve"> PROPOSAL TO ALL NATIONAL REGULATORY AUTHORITIES:</w:t>
      </w:r>
    </w:p>
    <w:p w14:paraId="7A535B30" w14:textId="77777777" w:rsidR="004F245D" w:rsidRPr="004F285F" w:rsidRDefault="00B70433" w:rsidP="00F40711">
      <w:pPr>
        <w:rPr>
          <w:rFonts w:ascii="Times New Roman" w:hAnsi="Times New Roman"/>
          <w:b/>
          <w:szCs w:val="22"/>
          <w:lang w:val="en-GB" w:eastAsia="en-US"/>
        </w:rPr>
      </w:pPr>
      <w:r>
        <w:rPr>
          <w:rFonts w:ascii="Times New Roman" w:hAnsi="Times New Roman"/>
          <w:b/>
          <w:szCs w:val="22"/>
          <w:lang w:val="en-GB" w:eastAsia="en-US"/>
        </w:rPr>
        <w:br w:type="page"/>
      </w:r>
    </w:p>
    <w:p w14:paraId="7A535B31" w14:textId="77777777" w:rsidR="004F245D" w:rsidRPr="004F285F" w:rsidRDefault="004F245D" w:rsidP="004F245D">
      <w:pPr>
        <w:spacing w:after="120" w:line="260" w:lineRule="exact"/>
        <w:jc w:val="center"/>
        <w:outlineLvl w:val="1"/>
        <w:rPr>
          <w:rFonts w:ascii="Times New Roman" w:hAnsi="Times New Roman" w:cs="Arial"/>
          <w:b/>
          <w:color w:val="23236E"/>
          <w:sz w:val="24"/>
          <w:lang w:val="en-GB" w:eastAsia="en-US"/>
        </w:rPr>
      </w:pPr>
      <w:bookmarkStart w:id="9" w:name="_Toc432586769"/>
      <w:bookmarkStart w:id="10" w:name="_Toc432586789"/>
      <w:bookmarkStart w:id="11" w:name="_Toc445298913"/>
      <w:bookmarkStart w:id="12" w:name="_Toc445299175"/>
      <w:bookmarkStart w:id="13" w:name="_Toc445825431"/>
      <w:bookmarkStart w:id="14" w:name="_Toc496628110"/>
      <w:r w:rsidRPr="004F285F">
        <w:rPr>
          <w:rFonts w:ascii="Times New Roman" w:hAnsi="Times New Roman" w:cs="Arial"/>
          <w:b/>
          <w:color w:val="23236E"/>
          <w:sz w:val="24"/>
          <w:lang w:val="en-GB" w:eastAsia="en-US"/>
        </w:rPr>
        <w:lastRenderedPageBreak/>
        <w:t>Article 1</w:t>
      </w:r>
      <w:r w:rsidRPr="004F285F">
        <w:rPr>
          <w:rFonts w:ascii="Times New Roman" w:hAnsi="Times New Roman" w:cs="Arial"/>
          <w:b/>
          <w:color w:val="23236E"/>
          <w:sz w:val="24"/>
          <w:lang w:val="en-GB" w:eastAsia="en-US"/>
        </w:rPr>
        <w:br/>
        <w:t>Subject matter and scope</w:t>
      </w:r>
      <w:bookmarkEnd w:id="9"/>
      <w:bookmarkEnd w:id="10"/>
      <w:bookmarkEnd w:id="11"/>
      <w:bookmarkEnd w:id="12"/>
      <w:bookmarkEnd w:id="13"/>
      <w:bookmarkEnd w:id="14"/>
    </w:p>
    <w:p w14:paraId="7A535B32" w14:textId="77777777" w:rsidR="004F245D" w:rsidRPr="004F285F" w:rsidRDefault="004F245D" w:rsidP="004855CF">
      <w:pPr>
        <w:spacing w:after="120"/>
        <w:jc w:val="both"/>
        <w:rPr>
          <w:rFonts w:ascii="Times New Roman" w:hAnsi="Times New Roman"/>
          <w:szCs w:val="22"/>
          <w:lang w:val="en-GB" w:eastAsia="en-US"/>
        </w:rPr>
      </w:pPr>
      <w:r w:rsidRPr="004F285F">
        <w:rPr>
          <w:rFonts w:ascii="Times New Roman" w:hAnsi="Times New Roman"/>
          <w:szCs w:val="22"/>
          <w:lang w:val="en-GB" w:eastAsia="en-US"/>
        </w:rPr>
        <w:t xml:space="preserve">The </w:t>
      </w:r>
      <w:r w:rsidR="00DA2646">
        <w:rPr>
          <w:rFonts w:ascii="Times New Roman" w:hAnsi="Times New Roman"/>
          <w:szCs w:val="22"/>
          <w:lang w:val="en-GB" w:eastAsia="en-US"/>
        </w:rPr>
        <w:t xml:space="preserve">D-2 common capacity calculation methodology </w:t>
      </w:r>
      <w:r w:rsidRPr="004F285F">
        <w:rPr>
          <w:rFonts w:ascii="Times New Roman" w:hAnsi="Times New Roman"/>
          <w:szCs w:val="22"/>
          <w:lang w:val="en-GB" w:eastAsia="en-US"/>
        </w:rPr>
        <w:t xml:space="preserve">as determined in this </w:t>
      </w:r>
      <w:r w:rsidR="00DA2646">
        <w:rPr>
          <w:rFonts w:ascii="Times New Roman" w:hAnsi="Times New Roman"/>
          <w:szCs w:val="22"/>
          <w:lang w:val="en-GB" w:eastAsia="en-US"/>
        </w:rPr>
        <w:t>D-2 CCC methodology</w:t>
      </w:r>
      <w:r w:rsidRPr="004F285F">
        <w:rPr>
          <w:rFonts w:ascii="Times New Roman" w:hAnsi="Times New Roman"/>
          <w:szCs w:val="22"/>
          <w:lang w:val="en-GB" w:eastAsia="en-US"/>
        </w:rPr>
        <w:t xml:space="preserve"> Proposal is the common proposal of all </w:t>
      </w:r>
      <w:r w:rsidR="00DA2646">
        <w:rPr>
          <w:rFonts w:ascii="Times New Roman" w:hAnsi="Times New Roman"/>
          <w:szCs w:val="22"/>
          <w:lang w:val="en-GB" w:eastAsia="en-US"/>
        </w:rPr>
        <w:t xml:space="preserve">Italy North </w:t>
      </w:r>
      <w:r w:rsidRPr="004F285F">
        <w:rPr>
          <w:rFonts w:ascii="Times New Roman" w:hAnsi="Times New Roman"/>
          <w:szCs w:val="22"/>
          <w:lang w:val="en-GB" w:eastAsia="en-US"/>
        </w:rPr>
        <w:t xml:space="preserve">TSOs in accordance with Article </w:t>
      </w:r>
      <w:r w:rsidR="00DA2646">
        <w:rPr>
          <w:rFonts w:ascii="Times New Roman" w:hAnsi="Times New Roman"/>
          <w:szCs w:val="22"/>
          <w:lang w:val="en-GB" w:eastAsia="en-US"/>
        </w:rPr>
        <w:t>21</w:t>
      </w:r>
      <w:r w:rsidRPr="004F285F">
        <w:rPr>
          <w:rFonts w:ascii="Times New Roman" w:hAnsi="Times New Roman"/>
          <w:szCs w:val="22"/>
          <w:lang w:val="en-GB" w:eastAsia="en-US"/>
        </w:rPr>
        <w:t xml:space="preserve"> of the CACM Regulation. </w:t>
      </w:r>
    </w:p>
    <w:p w14:paraId="7A535B33" w14:textId="77777777" w:rsidR="004F245D" w:rsidRPr="004F285F" w:rsidRDefault="004F245D" w:rsidP="006430AA">
      <w:pPr>
        <w:rPr>
          <w:lang w:val="en-GB" w:eastAsia="en-US"/>
        </w:rPr>
      </w:pPr>
      <w:bookmarkStart w:id="15" w:name="_Toc432586770"/>
      <w:bookmarkStart w:id="16" w:name="_Toc432586790"/>
    </w:p>
    <w:p w14:paraId="7A535B34" w14:textId="77777777" w:rsidR="00D446B6" w:rsidRDefault="004F245D" w:rsidP="00EA1D93">
      <w:pPr>
        <w:spacing w:after="120" w:line="260" w:lineRule="exact"/>
        <w:jc w:val="center"/>
        <w:outlineLvl w:val="1"/>
        <w:rPr>
          <w:rFonts w:ascii="Times New Roman" w:hAnsi="Times New Roman" w:cs="Arial"/>
          <w:b/>
          <w:color w:val="23236E"/>
          <w:sz w:val="24"/>
          <w:lang w:val="en-GB" w:eastAsia="en-US"/>
        </w:rPr>
      </w:pPr>
      <w:bookmarkStart w:id="17" w:name="_Toc445298914"/>
      <w:bookmarkStart w:id="18" w:name="_Toc445299176"/>
      <w:bookmarkStart w:id="19" w:name="_Toc445825432"/>
      <w:bookmarkStart w:id="20" w:name="_Toc496628111"/>
      <w:r w:rsidRPr="004F285F">
        <w:rPr>
          <w:rFonts w:ascii="Times New Roman" w:hAnsi="Times New Roman" w:cs="Arial"/>
          <w:b/>
          <w:color w:val="23236E"/>
          <w:sz w:val="24"/>
          <w:lang w:val="en-GB" w:eastAsia="en-US"/>
        </w:rPr>
        <w:t>Article 2</w:t>
      </w:r>
      <w:r w:rsidRPr="004F285F">
        <w:rPr>
          <w:rFonts w:ascii="Times New Roman" w:hAnsi="Times New Roman" w:cs="Arial"/>
          <w:b/>
          <w:color w:val="23236E"/>
          <w:sz w:val="24"/>
          <w:lang w:val="en-GB" w:eastAsia="en-US"/>
        </w:rPr>
        <w:br/>
        <w:t>Definitions and interpretation</w:t>
      </w:r>
      <w:bookmarkEnd w:id="15"/>
      <w:bookmarkEnd w:id="16"/>
      <w:bookmarkEnd w:id="17"/>
      <w:bookmarkEnd w:id="18"/>
      <w:bookmarkEnd w:id="19"/>
      <w:bookmarkEnd w:id="20"/>
    </w:p>
    <w:p w14:paraId="7A535B35" w14:textId="77777777" w:rsidR="008C2EDB" w:rsidRDefault="004F245D" w:rsidP="008C2EDB">
      <w:pPr>
        <w:pStyle w:val="Paragraphedeliste"/>
        <w:numPr>
          <w:ilvl w:val="0"/>
          <w:numId w:val="15"/>
        </w:numPr>
        <w:spacing w:after="120" w:line="259" w:lineRule="auto"/>
        <w:ind w:hanging="720"/>
        <w:jc w:val="both"/>
        <w:rPr>
          <w:rFonts w:ascii="Times New Roman" w:hAnsi="Times New Roman"/>
          <w:szCs w:val="22"/>
          <w:lang w:val="en-GB" w:eastAsia="en-US"/>
        </w:rPr>
      </w:pPr>
      <w:r w:rsidRPr="00660BA0">
        <w:rPr>
          <w:rFonts w:ascii="Times New Roman" w:hAnsi="Times New Roman"/>
          <w:szCs w:val="22"/>
          <w:lang w:val="en-GB" w:eastAsia="en-US"/>
        </w:rPr>
        <w:t>For the purposes of th</w:t>
      </w:r>
      <w:r w:rsidR="00A54E7F" w:rsidRPr="00660BA0">
        <w:rPr>
          <w:rFonts w:ascii="Times New Roman" w:hAnsi="Times New Roman"/>
          <w:szCs w:val="22"/>
          <w:lang w:val="en-GB" w:eastAsia="en-US"/>
        </w:rPr>
        <w:t xml:space="preserve">e </w:t>
      </w:r>
      <w:r w:rsidR="002E155F">
        <w:rPr>
          <w:rFonts w:ascii="Times New Roman" w:hAnsi="Times New Roman"/>
          <w:szCs w:val="22"/>
          <w:lang w:val="en-GB" w:eastAsia="en-US"/>
        </w:rPr>
        <w:t>D-2 CCC methodology</w:t>
      </w:r>
      <w:r w:rsidR="00D446B6" w:rsidRPr="00660BA0">
        <w:rPr>
          <w:rFonts w:ascii="Times New Roman" w:hAnsi="Times New Roman"/>
          <w:szCs w:val="22"/>
          <w:lang w:val="en-GB" w:eastAsia="en-US"/>
        </w:rPr>
        <w:t xml:space="preserve"> </w:t>
      </w:r>
      <w:r w:rsidR="00A54E7F" w:rsidRPr="00660BA0">
        <w:rPr>
          <w:rFonts w:ascii="Times New Roman" w:hAnsi="Times New Roman"/>
          <w:szCs w:val="22"/>
          <w:lang w:val="en-GB" w:eastAsia="en-US"/>
        </w:rPr>
        <w:t>P</w:t>
      </w:r>
      <w:r w:rsidRPr="00660BA0">
        <w:rPr>
          <w:rFonts w:ascii="Times New Roman" w:hAnsi="Times New Roman"/>
          <w:szCs w:val="22"/>
          <w:lang w:val="en-GB" w:eastAsia="en-US"/>
        </w:rPr>
        <w:t xml:space="preserve">roposal, the terms used shall have the meaning </w:t>
      </w:r>
      <w:r w:rsidR="003A6E90" w:rsidRPr="00660BA0">
        <w:rPr>
          <w:rFonts w:ascii="Times New Roman" w:hAnsi="Times New Roman"/>
          <w:szCs w:val="22"/>
          <w:lang w:val="en-GB" w:eastAsia="en-US"/>
        </w:rPr>
        <w:t>given to them in Article 2 of Regulation (EC) 714/2009, Articl</w:t>
      </w:r>
      <w:r w:rsidR="009C5432" w:rsidRPr="00660BA0">
        <w:rPr>
          <w:rFonts w:ascii="Times New Roman" w:hAnsi="Times New Roman"/>
          <w:szCs w:val="22"/>
          <w:lang w:val="en-GB" w:eastAsia="en-US"/>
        </w:rPr>
        <w:t>e 2 of Regulation (EC) 2013/543 and</w:t>
      </w:r>
      <w:r w:rsidR="003A6E90" w:rsidRPr="00660BA0">
        <w:rPr>
          <w:rFonts w:ascii="Times New Roman" w:hAnsi="Times New Roman"/>
          <w:szCs w:val="22"/>
          <w:lang w:val="en-GB" w:eastAsia="en-US"/>
        </w:rPr>
        <w:t xml:space="preserve"> Article 2 of Regulation (EC) 2015/1222.</w:t>
      </w:r>
    </w:p>
    <w:p w14:paraId="7A535B36" w14:textId="77777777" w:rsidR="008C2EDB" w:rsidRDefault="008C2EDB" w:rsidP="008C2EDB">
      <w:pPr>
        <w:pStyle w:val="Paragraphedeliste"/>
        <w:spacing w:after="120" w:line="259" w:lineRule="auto"/>
        <w:jc w:val="both"/>
        <w:rPr>
          <w:rFonts w:ascii="Times New Roman" w:hAnsi="Times New Roman"/>
          <w:szCs w:val="22"/>
          <w:lang w:val="en-GB" w:eastAsia="en-US"/>
        </w:rPr>
      </w:pPr>
    </w:p>
    <w:p w14:paraId="7A535B37" w14:textId="77777777" w:rsidR="008C2EDB" w:rsidRPr="008C2EDB" w:rsidRDefault="008C2EDB" w:rsidP="008C2EDB">
      <w:pPr>
        <w:pStyle w:val="Paragraphedeliste"/>
        <w:numPr>
          <w:ilvl w:val="0"/>
          <w:numId w:val="15"/>
        </w:numPr>
        <w:spacing w:after="120" w:line="259" w:lineRule="auto"/>
        <w:ind w:hanging="720"/>
        <w:jc w:val="both"/>
        <w:rPr>
          <w:rFonts w:ascii="Times New Roman" w:hAnsi="Times New Roman"/>
          <w:szCs w:val="22"/>
          <w:lang w:val="en-GB" w:eastAsia="en-US"/>
        </w:rPr>
      </w:pPr>
      <w:r w:rsidRPr="008C2EDB">
        <w:rPr>
          <w:rFonts w:ascii="Times New Roman" w:hAnsi="Times New Roman"/>
          <w:szCs w:val="22"/>
          <w:lang w:val="en-GB" w:eastAsia="en-US"/>
        </w:rPr>
        <w:t>In addition, the following definitions shall apply:</w:t>
      </w:r>
    </w:p>
    <w:p w14:paraId="7A535B38" w14:textId="77777777" w:rsidR="008C2EDB" w:rsidRPr="008C2EDB" w:rsidRDefault="008C2EDB" w:rsidP="008C2EDB">
      <w:pPr>
        <w:pStyle w:val="Paragraphedeliste"/>
        <w:numPr>
          <w:ilvl w:val="1"/>
          <w:numId w:val="24"/>
        </w:numPr>
        <w:spacing w:before="120" w:after="120"/>
        <w:contextualSpacing w:val="0"/>
        <w:jc w:val="both"/>
        <w:rPr>
          <w:rFonts w:ascii="Times New Roman" w:hAnsi="Times New Roman"/>
          <w:szCs w:val="22"/>
          <w:lang w:val="en-GB" w:eastAsia="en-US"/>
        </w:rPr>
      </w:pPr>
      <w:r w:rsidRPr="008C2EDB">
        <w:rPr>
          <w:rFonts w:ascii="Times New Roman" w:hAnsi="Times New Roman"/>
          <w:szCs w:val="22"/>
          <w:lang w:val="en-GB" w:eastAsia="en-US"/>
        </w:rPr>
        <w:t>‘APG’ means Austrian Power Grid AG, the Austrian system operator;</w:t>
      </w:r>
    </w:p>
    <w:p w14:paraId="7A535B39" w14:textId="77777777" w:rsidR="008C2EDB" w:rsidRPr="008C2EDB" w:rsidRDefault="008C2EDB" w:rsidP="008C2EDB">
      <w:pPr>
        <w:pStyle w:val="Paragraphedeliste"/>
        <w:numPr>
          <w:ilvl w:val="1"/>
          <w:numId w:val="24"/>
        </w:numPr>
        <w:spacing w:before="120" w:after="120"/>
        <w:contextualSpacing w:val="0"/>
        <w:jc w:val="both"/>
        <w:rPr>
          <w:rFonts w:ascii="Times New Roman" w:hAnsi="Times New Roman"/>
          <w:szCs w:val="22"/>
          <w:lang w:val="en-GB" w:eastAsia="en-US"/>
        </w:rPr>
      </w:pPr>
      <w:r w:rsidRPr="008C2EDB">
        <w:rPr>
          <w:rFonts w:ascii="Times New Roman" w:hAnsi="Times New Roman"/>
          <w:szCs w:val="22"/>
          <w:lang w:val="en-GB" w:eastAsia="en-US"/>
        </w:rPr>
        <w:t>‘AT-IT border’ means bidding zone border between Austria and Italy;</w:t>
      </w:r>
    </w:p>
    <w:p w14:paraId="7A535B3A" w14:textId="77777777" w:rsidR="008C2EDB" w:rsidRDefault="008C2EDB" w:rsidP="008C2EDB">
      <w:pPr>
        <w:pStyle w:val="Paragraphedeliste"/>
        <w:numPr>
          <w:ilvl w:val="1"/>
          <w:numId w:val="24"/>
        </w:numPr>
        <w:spacing w:before="120" w:after="120"/>
        <w:contextualSpacing w:val="0"/>
        <w:jc w:val="both"/>
        <w:rPr>
          <w:rFonts w:ascii="Times New Roman" w:hAnsi="Times New Roman"/>
          <w:szCs w:val="22"/>
          <w:lang w:val="en-GB" w:eastAsia="en-US"/>
        </w:rPr>
      </w:pPr>
      <w:r w:rsidRPr="008C2EDB">
        <w:rPr>
          <w:rFonts w:ascii="Times New Roman" w:hAnsi="Times New Roman"/>
          <w:szCs w:val="22"/>
          <w:lang w:val="en-GB" w:eastAsia="en-US"/>
        </w:rPr>
        <w:t xml:space="preserve">‘ELES’ means ELES, </w:t>
      </w:r>
      <w:proofErr w:type="spellStart"/>
      <w:r w:rsidRPr="008C2EDB">
        <w:rPr>
          <w:rFonts w:ascii="Times New Roman" w:hAnsi="Times New Roman"/>
          <w:szCs w:val="22"/>
          <w:lang w:val="en-GB" w:eastAsia="en-US"/>
        </w:rPr>
        <w:t>d.o.o</w:t>
      </w:r>
      <w:proofErr w:type="spellEnd"/>
      <w:r w:rsidRPr="008C2EDB">
        <w:rPr>
          <w:rFonts w:ascii="Times New Roman" w:hAnsi="Times New Roman"/>
          <w:szCs w:val="22"/>
          <w:lang w:val="en-GB" w:eastAsia="en-US"/>
        </w:rPr>
        <w:t>. , the Slovenian system operator;</w:t>
      </w:r>
    </w:p>
    <w:p w14:paraId="7A535B3B" w14:textId="77777777" w:rsidR="008C2EDB" w:rsidRPr="008C2EDB" w:rsidRDefault="008C2EDB" w:rsidP="008C2EDB">
      <w:pPr>
        <w:pStyle w:val="Paragraphedeliste"/>
        <w:numPr>
          <w:ilvl w:val="1"/>
          <w:numId w:val="24"/>
        </w:numPr>
        <w:spacing w:before="120" w:after="120"/>
        <w:contextualSpacing w:val="0"/>
        <w:jc w:val="both"/>
        <w:rPr>
          <w:rFonts w:ascii="Times New Roman" w:hAnsi="Times New Roman"/>
          <w:szCs w:val="22"/>
          <w:lang w:val="en-GB" w:eastAsia="en-US"/>
        </w:rPr>
      </w:pPr>
      <w:r>
        <w:rPr>
          <w:rFonts w:ascii="Times New Roman" w:hAnsi="Times New Roman"/>
          <w:szCs w:val="22"/>
          <w:lang w:val="en-GB" w:eastAsia="en-US"/>
        </w:rPr>
        <w:t>‘</w:t>
      </w:r>
      <w:proofErr w:type="spellStart"/>
      <w:r>
        <w:rPr>
          <w:rFonts w:ascii="Times New Roman" w:hAnsi="Times New Roman"/>
          <w:szCs w:val="22"/>
          <w:lang w:val="en-GB" w:eastAsia="en-US"/>
        </w:rPr>
        <w:t>Sl</w:t>
      </w:r>
      <w:proofErr w:type="spellEnd"/>
      <w:r w:rsidRPr="008C2EDB">
        <w:rPr>
          <w:rFonts w:ascii="Times New Roman" w:hAnsi="Times New Roman"/>
          <w:szCs w:val="22"/>
          <w:lang w:val="en-GB" w:eastAsia="en-US"/>
        </w:rPr>
        <w:t xml:space="preserve">-IT border’ means bidding zone border between </w:t>
      </w:r>
      <w:r>
        <w:rPr>
          <w:rFonts w:ascii="Times New Roman" w:hAnsi="Times New Roman"/>
          <w:szCs w:val="22"/>
          <w:lang w:val="en-GB" w:eastAsia="en-US"/>
        </w:rPr>
        <w:t>Slovenia</w:t>
      </w:r>
      <w:r w:rsidRPr="008C2EDB">
        <w:rPr>
          <w:rFonts w:ascii="Times New Roman" w:hAnsi="Times New Roman"/>
          <w:szCs w:val="22"/>
          <w:lang w:val="en-GB" w:eastAsia="en-US"/>
        </w:rPr>
        <w:t xml:space="preserve"> and Italy;</w:t>
      </w:r>
    </w:p>
    <w:p w14:paraId="7A535B3C" w14:textId="77777777" w:rsidR="008C2EDB" w:rsidRPr="008C2EDB" w:rsidRDefault="008C2EDB" w:rsidP="008C2EDB">
      <w:pPr>
        <w:pStyle w:val="Paragraphedeliste"/>
        <w:numPr>
          <w:ilvl w:val="1"/>
          <w:numId w:val="24"/>
        </w:numPr>
        <w:spacing w:before="120" w:after="120"/>
        <w:contextualSpacing w:val="0"/>
        <w:jc w:val="both"/>
        <w:rPr>
          <w:rFonts w:ascii="Times New Roman" w:hAnsi="Times New Roman"/>
          <w:szCs w:val="22"/>
          <w:lang w:val="en-GB" w:eastAsia="en-US"/>
        </w:rPr>
      </w:pPr>
      <w:r w:rsidRPr="008C2EDB">
        <w:rPr>
          <w:rFonts w:ascii="Times New Roman" w:hAnsi="Times New Roman"/>
          <w:szCs w:val="22"/>
          <w:lang w:val="en-GB" w:eastAsia="en-US"/>
        </w:rPr>
        <w:t xml:space="preserve">‘RTE’ means </w:t>
      </w:r>
      <w:proofErr w:type="spellStart"/>
      <w:r w:rsidRPr="008C2EDB">
        <w:rPr>
          <w:rFonts w:ascii="Times New Roman" w:hAnsi="Times New Roman"/>
          <w:szCs w:val="22"/>
          <w:lang w:val="en-GB" w:eastAsia="en-US"/>
        </w:rPr>
        <w:t>Réseau</w:t>
      </w:r>
      <w:proofErr w:type="spellEnd"/>
      <w:r w:rsidRPr="008C2EDB">
        <w:rPr>
          <w:rFonts w:ascii="Times New Roman" w:hAnsi="Times New Roman"/>
          <w:szCs w:val="22"/>
          <w:lang w:val="en-GB" w:eastAsia="en-US"/>
        </w:rPr>
        <w:t xml:space="preserve"> de Transport </w:t>
      </w:r>
      <w:proofErr w:type="spellStart"/>
      <w:r w:rsidRPr="008C2EDB">
        <w:rPr>
          <w:rFonts w:ascii="Times New Roman" w:hAnsi="Times New Roman"/>
          <w:szCs w:val="22"/>
          <w:lang w:val="en-GB" w:eastAsia="en-US"/>
        </w:rPr>
        <w:t>d’Electricité</w:t>
      </w:r>
      <w:proofErr w:type="spellEnd"/>
      <w:r w:rsidRPr="008C2EDB">
        <w:rPr>
          <w:rFonts w:ascii="Times New Roman" w:hAnsi="Times New Roman"/>
          <w:szCs w:val="22"/>
          <w:lang w:val="en-GB" w:eastAsia="en-US"/>
        </w:rPr>
        <w:t>, the French system operator;</w:t>
      </w:r>
    </w:p>
    <w:p w14:paraId="7A535B3D" w14:textId="77777777" w:rsidR="008C2EDB" w:rsidRDefault="008C2EDB" w:rsidP="008C2EDB">
      <w:pPr>
        <w:pStyle w:val="Paragraphedeliste"/>
        <w:numPr>
          <w:ilvl w:val="1"/>
          <w:numId w:val="24"/>
        </w:numPr>
        <w:spacing w:before="120" w:after="120"/>
        <w:contextualSpacing w:val="0"/>
        <w:jc w:val="both"/>
        <w:rPr>
          <w:rFonts w:ascii="Times New Roman" w:hAnsi="Times New Roman"/>
          <w:szCs w:val="22"/>
          <w:lang w:val="en-GB" w:eastAsia="en-US"/>
        </w:rPr>
      </w:pPr>
      <w:r w:rsidRPr="008C2EDB">
        <w:rPr>
          <w:rFonts w:ascii="Times New Roman" w:hAnsi="Times New Roman"/>
          <w:szCs w:val="22"/>
          <w:lang w:val="en-GB" w:eastAsia="en-US"/>
        </w:rPr>
        <w:t>‘FR-IT border’ means bidding zone border between France and Italy;</w:t>
      </w:r>
    </w:p>
    <w:p w14:paraId="7A535B3E" w14:textId="77777777" w:rsidR="003353C3" w:rsidRDefault="003353C3" w:rsidP="008C2EDB">
      <w:pPr>
        <w:pStyle w:val="Paragraphedeliste"/>
        <w:numPr>
          <w:ilvl w:val="1"/>
          <w:numId w:val="24"/>
        </w:numPr>
        <w:spacing w:before="120" w:after="120"/>
        <w:contextualSpacing w:val="0"/>
        <w:jc w:val="both"/>
        <w:rPr>
          <w:rFonts w:ascii="Times New Roman" w:hAnsi="Times New Roman"/>
          <w:szCs w:val="22"/>
          <w:lang w:val="en-GB" w:eastAsia="en-US"/>
        </w:rPr>
      </w:pPr>
      <w:r>
        <w:rPr>
          <w:rFonts w:ascii="Times New Roman" w:hAnsi="Times New Roman"/>
          <w:szCs w:val="22"/>
          <w:lang w:val="en-GB" w:eastAsia="en-US"/>
        </w:rPr>
        <w:t>‘</w:t>
      </w:r>
      <w:proofErr w:type="spellStart"/>
      <w:r>
        <w:rPr>
          <w:rFonts w:ascii="Times New Roman" w:hAnsi="Times New Roman"/>
          <w:szCs w:val="22"/>
          <w:lang w:val="en-GB" w:eastAsia="en-US"/>
        </w:rPr>
        <w:t>Swissgrid</w:t>
      </w:r>
      <w:proofErr w:type="spellEnd"/>
      <w:r>
        <w:rPr>
          <w:rFonts w:ascii="Times New Roman" w:hAnsi="Times New Roman"/>
          <w:szCs w:val="22"/>
          <w:lang w:val="en-GB" w:eastAsia="en-US"/>
        </w:rPr>
        <w:t xml:space="preserve">’ means </w:t>
      </w:r>
      <w:proofErr w:type="spellStart"/>
      <w:r w:rsidR="00BE4BFD">
        <w:rPr>
          <w:rFonts w:ascii="Times New Roman" w:hAnsi="Times New Roman"/>
          <w:szCs w:val="22"/>
          <w:lang w:val="en-GB" w:eastAsia="en-US"/>
        </w:rPr>
        <w:t>Swissgrid</w:t>
      </w:r>
      <w:proofErr w:type="spellEnd"/>
      <w:r w:rsidR="00BE4BFD">
        <w:rPr>
          <w:rFonts w:ascii="Times New Roman" w:hAnsi="Times New Roman"/>
          <w:szCs w:val="22"/>
          <w:lang w:val="en-GB" w:eastAsia="en-US"/>
        </w:rPr>
        <w:t xml:space="preserve"> AG, the Swiss system operator;</w:t>
      </w:r>
    </w:p>
    <w:p w14:paraId="7A535B3F" w14:textId="77777777" w:rsidR="003353C3" w:rsidRPr="003353C3" w:rsidRDefault="003353C3" w:rsidP="003353C3">
      <w:pPr>
        <w:pStyle w:val="Paragraphedeliste"/>
        <w:numPr>
          <w:ilvl w:val="1"/>
          <w:numId w:val="24"/>
        </w:numPr>
        <w:spacing w:before="120" w:after="120"/>
        <w:contextualSpacing w:val="0"/>
        <w:jc w:val="both"/>
        <w:rPr>
          <w:rFonts w:ascii="Times New Roman" w:hAnsi="Times New Roman"/>
          <w:szCs w:val="22"/>
          <w:lang w:val="en-GB" w:eastAsia="en-US"/>
        </w:rPr>
      </w:pPr>
      <w:r>
        <w:rPr>
          <w:rFonts w:ascii="Times New Roman" w:hAnsi="Times New Roman"/>
          <w:szCs w:val="22"/>
          <w:lang w:val="en-GB" w:eastAsia="en-US"/>
        </w:rPr>
        <w:t>‘CH</w:t>
      </w:r>
      <w:r w:rsidRPr="008C2EDB">
        <w:rPr>
          <w:rFonts w:ascii="Times New Roman" w:hAnsi="Times New Roman"/>
          <w:szCs w:val="22"/>
          <w:lang w:val="en-GB" w:eastAsia="en-US"/>
        </w:rPr>
        <w:t xml:space="preserve">-IT border’ means bidding zone border between </w:t>
      </w:r>
      <w:r>
        <w:rPr>
          <w:rFonts w:ascii="Times New Roman" w:hAnsi="Times New Roman"/>
          <w:szCs w:val="22"/>
          <w:lang w:val="en-GB" w:eastAsia="en-US"/>
        </w:rPr>
        <w:t>Switzerland</w:t>
      </w:r>
      <w:r w:rsidRPr="008C2EDB">
        <w:rPr>
          <w:rFonts w:ascii="Times New Roman" w:hAnsi="Times New Roman"/>
          <w:szCs w:val="22"/>
          <w:lang w:val="en-GB" w:eastAsia="en-US"/>
        </w:rPr>
        <w:t xml:space="preserve"> and Italy;</w:t>
      </w:r>
    </w:p>
    <w:p w14:paraId="7A535B40" w14:textId="7B062D83" w:rsidR="008C2EDB" w:rsidRDefault="00566BC9" w:rsidP="008C2EDB">
      <w:pPr>
        <w:pStyle w:val="Paragraphedeliste"/>
        <w:numPr>
          <w:ilvl w:val="1"/>
          <w:numId w:val="24"/>
        </w:numPr>
        <w:spacing w:before="120" w:after="120"/>
        <w:contextualSpacing w:val="0"/>
        <w:jc w:val="both"/>
        <w:rPr>
          <w:rFonts w:ascii="Times New Roman" w:hAnsi="Times New Roman"/>
          <w:szCs w:val="22"/>
          <w:lang w:val="it-IT" w:eastAsia="en-US"/>
        </w:rPr>
      </w:pPr>
      <w:r>
        <w:rPr>
          <w:rFonts w:ascii="Times New Roman" w:hAnsi="Times New Roman"/>
          <w:szCs w:val="22"/>
          <w:lang w:val="it-IT" w:eastAsia="en-US"/>
        </w:rPr>
        <w:t>‘</w:t>
      </w:r>
      <w:r w:rsidR="008C2EDB" w:rsidRPr="006A6B81">
        <w:rPr>
          <w:rFonts w:ascii="Times New Roman" w:hAnsi="Times New Roman"/>
          <w:szCs w:val="22"/>
          <w:lang w:val="it-IT" w:eastAsia="en-US"/>
        </w:rPr>
        <w:t>TERNA’ means TERNA S.p.A. Rete Elettrica Nazionale, the Italian system operator.</w:t>
      </w:r>
    </w:p>
    <w:p w14:paraId="370CFE3E" w14:textId="77777777" w:rsidR="00571274" w:rsidRDefault="00571274" w:rsidP="00571274">
      <w:pPr>
        <w:pStyle w:val="Paragraphedeliste"/>
        <w:spacing w:before="120" w:after="120"/>
        <w:ind w:left="1440"/>
        <w:contextualSpacing w:val="0"/>
        <w:jc w:val="both"/>
        <w:rPr>
          <w:rFonts w:ascii="Times New Roman" w:hAnsi="Times New Roman"/>
          <w:szCs w:val="22"/>
          <w:lang w:val="it-IT" w:eastAsia="en-US"/>
        </w:rPr>
      </w:pPr>
    </w:p>
    <w:p w14:paraId="17456CCE" w14:textId="5D8FF820" w:rsidR="000D4C8F" w:rsidRPr="00571274" w:rsidRDefault="008B52F8" w:rsidP="00571274">
      <w:pPr>
        <w:pStyle w:val="Paragraphedeliste"/>
        <w:numPr>
          <w:ilvl w:val="0"/>
          <w:numId w:val="15"/>
        </w:numPr>
        <w:spacing w:before="120" w:after="120"/>
        <w:ind w:left="709" w:hanging="709"/>
        <w:jc w:val="both"/>
        <w:rPr>
          <w:rFonts w:ascii="Times New Roman" w:hAnsi="Times New Roman"/>
          <w:szCs w:val="22"/>
          <w:lang w:val="en-GB" w:eastAsia="en-US"/>
        </w:rPr>
      </w:pPr>
      <w:r>
        <w:rPr>
          <w:rFonts w:ascii="Times New Roman" w:hAnsi="Times New Roman"/>
          <w:szCs w:val="22"/>
          <w:lang w:val="it-IT" w:eastAsia="en-US"/>
        </w:rPr>
        <w:t xml:space="preserve">Definition of </w:t>
      </w:r>
      <w:r w:rsidRPr="00993777">
        <w:rPr>
          <w:rFonts w:ascii="Times New Roman" w:hAnsi="Times New Roman"/>
          <w:szCs w:val="22"/>
          <w:lang w:val="en-GB" w:eastAsia="en-US"/>
        </w:rPr>
        <w:t>Acronyms</w:t>
      </w:r>
      <w:r w:rsidR="000D4C8F">
        <w:rPr>
          <w:lang w:val="it-IT" w:eastAsia="en-US"/>
        </w:rPr>
        <w:fldChar w:fldCharType="begin"/>
      </w:r>
      <w:r w:rsidR="000D4C8F" w:rsidRPr="00571274">
        <w:rPr>
          <w:lang w:val="it-IT" w:eastAsia="en-US"/>
        </w:rPr>
        <w:instrText xml:space="preserve"> LINK Excel.Sheet.12 "Mappe1" "Tabelle1!Z1S1:Z20S2" \a \f 4 \h </w:instrText>
      </w:r>
      <w:r w:rsidR="004A356B">
        <w:rPr>
          <w:lang w:val="it-IT" w:eastAsia="en-US"/>
        </w:rPr>
        <w:instrText xml:space="preserve"> \* MERGEFORMAT </w:instrText>
      </w:r>
      <w:r w:rsidR="000D4C8F">
        <w:rPr>
          <w:lang w:val="it-IT" w:eastAsia="en-US"/>
        </w:rPr>
        <w:fldChar w:fldCharType="separate"/>
      </w:r>
    </w:p>
    <w:tbl>
      <w:tblPr>
        <w:tblW w:w="7141" w:type="dxa"/>
        <w:tblCellMar>
          <w:left w:w="70" w:type="dxa"/>
          <w:right w:w="70" w:type="dxa"/>
        </w:tblCellMar>
        <w:tblLook w:val="04A0" w:firstRow="1" w:lastRow="0" w:firstColumn="1" w:lastColumn="0" w:noHBand="0" w:noVBand="1"/>
      </w:tblPr>
      <w:tblGrid>
        <w:gridCol w:w="1720"/>
        <w:gridCol w:w="5421"/>
      </w:tblGrid>
      <w:tr w:rsidR="000D4C8F" w:rsidRPr="005021A3" w14:paraId="732445A1" w14:textId="77777777" w:rsidTr="000D4C8F">
        <w:trPr>
          <w:trHeight w:val="255"/>
        </w:trPr>
        <w:tc>
          <w:tcPr>
            <w:tcW w:w="1720" w:type="dxa"/>
            <w:tcBorders>
              <w:top w:val="nil"/>
              <w:left w:val="nil"/>
              <w:bottom w:val="nil"/>
              <w:right w:val="nil"/>
            </w:tcBorders>
            <w:shd w:val="clear" w:color="auto" w:fill="auto"/>
            <w:noWrap/>
            <w:hideMark/>
          </w:tcPr>
          <w:p w14:paraId="6A0AC0E5" w14:textId="567D12C1" w:rsidR="000D4C8F" w:rsidRPr="005021A3" w:rsidRDefault="000D4C8F" w:rsidP="00993777">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CC</w:t>
            </w:r>
          </w:p>
        </w:tc>
        <w:tc>
          <w:tcPr>
            <w:tcW w:w="5421" w:type="dxa"/>
            <w:tcBorders>
              <w:top w:val="nil"/>
              <w:left w:val="nil"/>
              <w:bottom w:val="nil"/>
              <w:right w:val="nil"/>
            </w:tcBorders>
            <w:shd w:val="clear" w:color="auto" w:fill="auto"/>
            <w:noWrap/>
            <w:hideMark/>
          </w:tcPr>
          <w:p w14:paraId="39970EEC" w14:textId="77777777" w:rsidR="000D4C8F" w:rsidRPr="005021A3" w:rsidRDefault="000D4C8F" w:rsidP="00993777">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Capacity Calculation</w:t>
            </w:r>
          </w:p>
        </w:tc>
      </w:tr>
      <w:tr w:rsidR="000D4C8F" w:rsidRPr="005021A3" w14:paraId="690D61FA" w14:textId="77777777" w:rsidTr="000D4C8F">
        <w:trPr>
          <w:trHeight w:val="255"/>
        </w:trPr>
        <w:tc>
          <w:tcPr>
            <w:tcW w:w="1720" w:type="dxa"/>
            <w:tcBorders>
              <w:top w:val="nil"/>
              <w:left w:val="nil"/>
              <w:bottom w:val="nil"/>
              <w:right w:val="nil"/>
            </w:tcBorders>
            <w:shd w:val="clear" w:color="auto" w:fill="auto"/>
            <w:noWrap/>
            <w:hideMark/>
          </w:tcPr>
          <w:p w14:paraId="51901FC8" w14:textId="77777777" w:rsidR="000D4C8F" w:rsidRPr="005021A3" w:rsidRDefault="000D4C8F" w:rsidP="00993777">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CCC</w:t>
            </w:r>
          </w:p>
        </w:tc>
        <w:tc>
          <w:tcPr>
            <w:tcW w:w="5421" w:type="dxa"/>
            <w:tcBorders>
              <w:top w:val="nil"/>
              <w:left w:val="nil"/>
              <w:bottom w:val="nil"/>
              <w:right w:val="nil"/>
            </w:tcBorders>
            <w:shd w:val="clear" w:color="auto" w:fill="auto"/>
            <w:noWrap/>
            <w:hideMark/>
          </w:tcPr>
          <w:p w14:paraId="212023E2" w14:textId="77777777" w:rsidR="000D4C8F" w:rsidRPr="005021A3" w:rsidRDefault="000D4C8F" w:rsidP="00993777">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Common Capacity Calculation</w:t>
            </w:r>
          </w:p>
        </w:tc>
      </w:tr>
      <w:tr w:rsidR="000D4C8F" w:rsidRPr="005021A3" w14:paraId="642D7B3A" w14:textId="77777777" w:rsidTr="000D4C8F">
        <w:trPr>
          <w:trHeight w:val="255"/>
        </w:trPr>
        <w:tc>
          <w:tcPr>
            <w:tcW w:w="1720" w:type="dxa"/>
            <w:tcBorders>
              <w:top w:val="nil"/>
              <w:left w:val="nil"/>
              <w:bottom w:val="nil"/>
              <w:right w:val="nil"/>
            </w:tcBorders>
            <w:shd w:val="clear" w:color="auto" w:fill="auto"/>
            <w:noWrap/>
            <w:hideMark/>
          </w:tcPr>
          <w:p w14:paraId="41749B99" w14:textId="77777777" w:rsidR="000D4C8F" w:rsidRPr="005021A3" w:rsidRDefault="000D4C8F" w:rsidP="00993777">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CGM</w:t>
            </w:r>
          </w:p>
        </w:tc>
        <w:tc>
          <w:tcPr>
            <w:tcW w:w="5421" w:type="dxa"/>
            <w:tcBorders>
              <w:top w:val="nil"/>
              <w:left w:val="nil"/>
              <w:bottom w:val="nil"/>
              <w:right w:val="nil"/>
            </w:tcBorders>
            <w:shd w:val="clear" w:color="auto" w:fill="auto"/>
            <w:noWrap/>
            <w:hideMark/>
          </w:tcPr>
          <w:p w14:paraId="31820603" w14:textId="77777777" w:rsidR="000D4C8F" w:rsidRPr="005021A3" w:rsidRDefault="000D4C8F" w:rsidP="00993777">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Common Grid Model</w:t>
            </w:r>
          </w:p>
        </w:tc>
      </w:tr>
      <w:tr w:rsidR="000D4C8F" w:rsidRPr="005021A3" w14:paraId="5A75D30F" w14:textId="77777777" w:rsidTr="000D4C8F">
        <w:trPr>
          <w:trHeight w:val="255"/>
        </w:trPr>
        <w:tc>
          <w:tcPr>
            <w:tcW w:w="1720" w:type="dxa"/>
            <w:tcBorders>
              <w:top w:val="nil"/>
              <w:left w:val="nil"/>
              <w:bottom w:val="nil"/>
              <w:right w:val="nil"/>
            </w:tcBorders>
            <w:shd w:val="clear" w:color="auto" w:fill="auto"/>
            <w:noWrap/>
            <w:hideMark/>
          </w:tcPr>
          <w:p w14:paraId="3FDD4D9E"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CGMES</w:t>
            </w:r>
          </w:p>
        </w:tc>
        <w:tc>
          <w:tcPr>
            <w:tcW w:w="5421" w:type="dxa"/>
            <w:tcBorders>
              <w:top w:val="nil"/>
              <w:left w:val="nil"/>
              <w:bottom w:val="nil"/>
              <w:right w:val="nil"/>
            </w:tcBorders>
            <w:shd w:val="clear" w:color="auto" w:fill="auto"/>
            <w:noWrap/>
            <w:hideMark/>
          </w:tcPr>
          <w:p w14:paraId="27F76F4E"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Common Information Model (CIM) for Grid Model Exchanges</w:t>
            </w:r>
          </w:p>
        </w:tc>
      </w:tr>
      <w:tr w:rsidR="000D4C8F" w:rsidRPr="005021A3" w14:paraId="5A1E6A41" w14:textId="77777777" w:rsidTr="000D4C8F">
        <w:trPr>
          <w:trHeight w:val="255"/>
        </w:trPr>
        <w:tc>
          <w:tcPr>
            <w:tcW w:w="1720" w:type="dxa"/>
            <w:tcBorders>
              <w:top w:val="nil"/>
              <w:left w:val="nil"/>
              <w:bottom w:val="nil"/>
              <w:right w:val="nil"/>
            </w:tcBorders>
            <w:shd w:val="clear" w:color="auto" w:fill="auto"/>
            <w:noWrap/>
            <w:hideMark/>
          </w:tcPr>
          <w:p w14:paraId="752ECA7A"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D-2</w:t>
            </w:r>
          </w:p>
        </w:tc>
        <w:tc>
          <w:tcPr>
            <w:tcW w:w="5421" w:type="dxa"/>
            <w:tcBorders>
              <w:top w:val="nil"/>
              <w:left w:val="nil"/>
              <w:bottom w:val="nil"/>
              <w:right w:val="nil"/>
            </w:tcBorders>
            <w:shd w:val="clear" w:color="auto" w:fill="auto"/>
            <w:noWrap/>
            <w:hideMark/>
          </w:tcPr>
          <w:p w14:paraId="1F1A96F8"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Two Days Ahead</w:t>
            </w:r>
          </w:p>
        </w:tc>
      </w:tr>
      <w:tr w:rsidR="000D4C8F" w:rsidRPr="005021A3" w14:paraId="28127D32" w14:textId="77777777" w:rsidTr="000D4C8F">
        <w:trPr>
          <w:trHeight w:val="255"/>
        </w:trPr>
        <w:tc>
          <w:tcPr>
            <w:tcW w:w="1720" w:type="dxa"/>
            <w:tcBorders>
              <w:top w:val="nil"/>
              <w:left w:val="nil"/>
              <w:bottom w:val="nil"/>
              <w:right w:val="nil"/>
            </w:tcBorders>
            <w:shd w:val="clear" w:color="auto" w:fill="auto"/>
            <w:noWrap/>
            <w:hideMark/>
          </w:tcPr>
          <w:p w14:paraId="5BDF285D"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DACF</w:t>
            </w:r>
          </w:p>
        </w:tc>
        <w:tc>
          <w:tcPr>
            <w:tcW w:w="5421" w:type="dxa"/>
            <w:tcBorders>
              <w:top w:val="nil"/>
              <w:left w:val="nil"/>
              <w:bottom w:val="nil"/>
              <w:right w:val="nil"/>
            </w:tcBorders>
            <w:shd w:val="clear" w:color="auto" w:fill="auto"/>
            <w:noWrap/>
            <w:hideMark/>
          </w:tcPr>
          <w:p w14:paraId="1B1C4F14"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Day Ahead Congestion Forecast</w:t>
            </w:r>
          </w:p>
        </w:tc>
      </w:tr>
      <w:tr w:rsidR="000D4C8F" w:rsidRPr="005021A3" w14:paraId="49EDB7C7" w14:textId="77777777" w:rsidTr="000D4C8F">
        <w:trPr>
          <w:trHeight w:val="255"/>
        </w:trPr>
        <w:tc>
          <w:tcPr>
            <w:tcW w:w="1720" w:type="dxa"/>
            <w:tcBorders>
              <w:top w:val="nil"/>
              <w:left w:val="nil"/>
              <w:bottom w:val="nil"/>
              <w:right w:val="nil"/>
            </w:tcBorders>
            <w:shd w:val="clear" w:color="auto" w:fill="auto"/>
            <w:noWrap/>
            <w:hideMark/>
          </w:tcPr>
          <w:p w14:paraId="6859B337"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IDCF</w:t>
            </w:r>
          </w:p>
        </w:tc>
        <w:tc>
          <w:tcPr>
            <w:tcW w:w="5421" w:type="dxa"/>
            <w:tcBorders>
              <w:top w:val="nil"/>
              <w:left w:val="nil"/>
              <w:bottom w:val="nil"/>
              <w:right w:val="nil"/>
            </w:tcBorders>
            <w:shd w:val="clear" w:color="auto" w:fill="auto"/>
            <w:noWrap/>
            <w:hideMark/>
          </w:tcPr>
          <w:p w14:paraId="543D2CD5"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Intraday Congestion Forecast</w:t>
            </w:r>
          </w:p>
        </w:tc>
      </w:tr>
      <w:tr w:rsidR="000D4C8F" w:rsidRPr="005021A3" w14:paraId="485E4825" w14:textId="77777777" w:rsidTr="000D4C8F">
        <w:trPr>
          <w:trHeight w:val="255"/>
        </w:trPr>
        <w:tc>
          <w:tcPr>
            <w:tcW w:w="1720" w:type="dxa"/>
            <w:tcBorders>
              <w:top w:val="nil"/>
              <w:left w:val="nil"/>
              <w:bottom w:val="nil"/>
              <w:right w:val="nil"/>
            </w:tcBorders>
            <w:shd w:val="clear" w:color="auto" w:fill="auto"/>
            <w:noWrap/>
            <w:hideMark/>
          </w:tcPr>
          <w:p w14:paraId="3FB02350"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IGM</w:t>
            </w:r>
          </w:p>
        </w:tc>
        <w:tc>
          <w:tcPr>
            <w:tcW w:w="5421" w:type="dxa"/>
            <w:tcBorders>
              <w:top w:val="nil"/>
              <w:left w:val="nil"/>
              <w:bottom w:val="nil"/>
              <w:right w:val="nil"/>
            </w:tcBorders>
            <w:shd w:val="clear" w:color="auto" w:fill="auto"/>
            <w:noWrap/>
            <w:hideMark/>
          </w:tcPr>
          <w:p w14:paraId="63477B9E"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Individual Grid Model</w:t>
            </w:r>
          </w:p>
        </w:tc>
      </w:tr>
      <w:tr w:rsidR="000D4C8F" w:rsidRPr="005021A3" w14:paraId="7EE9D340" w14:textId="77777777" w:rsidTr="000D4C8F">
        <w:trPr>
          <w:trHeight w:val="255"/>
        </w:trPr>
        <w:tc>
          <w:tcPr>
            <w:tcW w:w="1720" w:type="dxa"/>
            <w:tcBorders>
              <w:top w:val="nil"/>
              <w:left w:val="nil"/>
              <w:bottom w:val="nil"/>
              <w:right w:val="nil"/>
            </w:tcBorders>
            <w:shd w:val="clear" w:color="auto" w:fill="auto"/>
            <w:noWrap/>
            <w:hideMark/>
          </w:tcPr>
          <w:p w14:paraId="640294EC"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MC</w:t>
            </w:r>
          </w:p>
        </w:tc>
        <w:tc>
          <w:tcPr>
            <w:tcW w:w="5421" w:type="dxa"/>
            <w:tcBorders>
              <w:top w:val="nil"/>
              <w:left w:val="nil"/>
              <w:bottom w:val="nil"/>
              <w:right w:val="nil"/>
            </w:tcBorders>
            <w:shd w:val="clear" w:color="auto" w:fill="auto"/>
            <w:noWrap/>
            <w:hideMark/>
          </w:tcPr>
          <w:p w14:paraId="521807A3"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Market Coupling</w:t>
            </w:r>
          </w:p>
        </w:tc>
      </w:tr>
      <w:tr w:rsidR="000D4C8F" w:rsidRPr="005021A3" w14:paraId="7B2E08EE" w14:textId="77777777" w:rsidTr="000D4C8F">
        <w:trPr>
          <w:trHeight w:val="255"/>
        </w:trPr>
        <w:tc>
          <w:tcPr>
            <w:tcW w:w="1720" w:type="dxa"/>
            <w:tcBorders>
              <w:top w:val="nil"/>
              <w:left w:val="nil"/>
              <w:bottom w:val="nil"/>
              <w:right w:val="nil"/>
            </w:tcBorders>
            <w:shd w:val="clear" w:color="auto" w:fill="auto"/>
            <w:noWrap/>
            <w:hideMark/>
          </w:tcPr>
          <w:p w14:paraId="6B5A32B0"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NEMOs</w:t>
            </w:r>
          </w:p>
        </w:tc>
        <w:tc>
          <w:tcPr>
            <w:tcW w:w="5421" w:type="dxa"/>
            <w:tcBorders>
              <w:top w:val="nil"/>
              <w:left w:val="nil"/>
              <w:bottom w:val="nil"/>
              <w:right w:val="nil"/>
            </w:tcBorders>
            <w:shd w:val="clear" w:color="auto" w:fill="auto"/>
            <w:noWrap/>
            <w:hideMark/>
          </w:tcPr>
          <w:p w14:paraId="7E576E43"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Nominated Electricity Market Operators</w:t>
            </w:r>
          </w:p>
        </w:tc>
      </w:tr>
      <w:tr w:rsidR="000D4C8F" w:rsidRPr="005021A3" w14:paraId="04BD36CA" w14:textId="77777777" w:rsidTr="000D4C8F">
        <w:trPr>
          <w:trHeight w:val="255"/>
        </w:trPr>
        <w:tc>
          <w:tcPr>
            <w:tcW w:w="1720" w:type="dxa"/>
            <w:tcBorders>
              <w:top w:val="nil"/>
              <w:left w:val="nil"/>
              <w:bottom w:val="nil"/>
              <w:right w:val="nil"/>
            </w:tcBorders>
            <w:shd w:val="clear" w:color="auto" w:fill="auto"/>
            <w:noWrap/>
            <w:hideMark/>
          </w:tcPr>
          <w:p w14:paraId="301997C2"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NRAs</w:t>
            </w:r>
          </w:p>
        </w:tc>
        <w:tc>
          <w:tcPr>
            <w:tcW w:w="5421" w:type="dxa"/>
            <w:tcBorders>
              <w:top w:val="nil"/>
              <w:left w:val="nil"/>
              <w:bottom w:val="nil"/>
              <w:right w:val="nil"/>
            </w:tcBorders>
            <w:shd w:val="clear" w:color="auto" w:fill="auto"/>
            <w:noWrap/>
            <w:hideMark/>
          </w:tcPr>
          <w:p w14:paraId="60DFCCB5" w14:textId="3FB24B15"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National Regulatory Authorities</w:t>
            </w:r>
          </w:p>
        </w:tc>
      </w:tr>
      <w:tr w:rsidR="000D4C8F" w:rsidRPr="005021A3" w14:paraId="48143165" w14:textId="77777777" w:rsidTr="000D4C8F">
        <w:trPr>
          <w:trHeight w:val="255"/>
        </w:trPr>
        <w:tc>
          <w:tcPr>
            <w:tcW w:w="1720" w:type="dxa"/>
            <w:tcBorders>
              <w:top w:val="nil"/>
              <w:left w:val="nil"/>
              <w:bottom w:val="nil"/>
              <w:right w:val="nil"/>
            </w:tcBorders>
            <w:shd w:val="clear" w:color="auto" w:fill="auto"/>
            <w:noWrap/>
            <w:hideMark/>
          </w:tcPr>
          <w:p w14:paraId="69EBA099"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NTC</w:t>
            </w:r>
          </w:p>
        </w:tc>
        <w:tc>
          <w:tcPr>
            <w:tcW w:w="5421" w:type="dxa"/>
            <w:tcBorders>
              <w:top w:val="nil"/>
              <w:left w:val="nil"/>
              <w:bottom w:val="nil"/>
              <w:right w:val="nil"/>
            </w:tcBorders>
            <w:shd w:val="clear" w:color="auto" w:fill="auto"/>
            <w:noWrap/>
            <w:hideMark/>
          </w:tcPr>
          <w:p w14:paraId="0F7CF6C9" w14:textId="1FC79529"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Net Transfer Capacity</w:t>
            </w:r>
          </w:p>
        </w:tc>
      </w:tr>
      <w:tr w:rsidR="000D4C8F" w:rsidRPr="005021A3" w14:paraId="18B62884" w14:textId="77777777" w:rsidTr="000D4C8F">
        <w:trPr>
          <w:trHeight w:val="255"/>
        </w:trPr>
        <w:tc>
          <w:tcPr>
            <w:tcW w:w="1720" w:type="dxa"/>
            <w:tcBorders>
              <w:top w:val="nil"/>
              <w:left w:val="nil"/>
              <w:bottom w:val="nil"/>
              <w:right w:val="nil"/>
            </w:tcBorders>
            <w:shd w:val="clear" w:color="auto" w:fill="auto"/>
            <w:noWrap/>
            <w:hideMark/>
          </w:tcPr>
          <w:p w14:paraId="49B7C842"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PST</w:t>
            </w:r>
          </w:p>
        </w:tc>
        <w:tc>
          <w:tcPr>
            <w:tcW w:w="5421" w:type="dxa"/>
            <w:tcBorders>
              <w:top w:val="nil"/>
              <w:left w:val="nil"/>
              <w:bottom w:val="nil"/>
              <w:right w:val="nil"/>
            </w:tcBorders>
            <w:shd w:val="clear" w:color="auto" w:fill="auto"/>
            <w:noWrap/>
            <w:hideMark/>
          </w:tcPr>
          <w:p w14:paraId="2A8A5A47"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Phase Shifter Transformer</w:t>
            </w:r>
          </w:p>
        </w:tc>
      </w:tr>
      <w:tr w:rsidR="000D4C8F" w:rsidRPr="005021A3" w14:paraId="4826F680" w14:textId="77777777" w:rsidTr="000D4C8F">
        <w:trPr>
          <w:trHeight w:val="255"/>
        </w:trPr>
        <w:tc>
          <w:tcPr>
            <w:tcW w:w="1720" w:type="dxa"/>
            <w:tcBorders>
              <w:top w:val="nil"/>
              <w:left w:val="nil"/>
              <w:bottom w:val="nil"/>
              <w:right w:val="nil"/>
            </w:tcBorders>
            <w:shd w:val="clear" w:color="auto" w:fill="auto"/>
            <w:noWrap/>
            <w:hideMark/>
          </w:tcPr>
          <w:p w14:paraId="1F3D17D0"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lastRenderedPageBreak/>
              <w:t>RSC</w:t>
            </w:r>
          </w:p>
        </w:tc>
        <w:tc>
          <w:tcPr>
            <w:tcW w:w="5421" w:type="dxa"/>
            <w:tcBorders>
              <w:top w:val="nil"/>
              <w:left w:val="nil"/>
              <w:bottom w:val="nil"/>
              <w:right w:val="nil"/>
            </w:tcBorders>
            <w:shd w:val="clear" w:color="auto" w:fill="auto"/>
            <w:noWrap/>
            <w:hideMark/>
          </w:tcPr>
          <w:p w14:paraId="05C74176"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Regional Security Coordinator</w:t>
            </w:r>
          </w:p>
        </w:tc>
      </w:tr>
      <w:tr w:rsidR="000D4C8F" w:rsidRPr="005021A3" w14:paraId="46C80064" w14:textId="77777777" w:rsidTr="000D4C8F">
        <w:trPr>
          <w:trHeight w:val="255"/>
        </w:trPr>
        <w:tc>
          <w:tcPr>
            <w:tcW w:w="1720" w:type="dxa"/>
            <w:tcBorders>
              <w:top w:val="nil"/>
              <w:left w:val="nil"/>
              <w:bottom w:val="nil"/>
              <w:right w:val="nil"/>
            </w:tcBorders>
            <w:shd w:val="clear" w:color="auto" w:fill="auto"/>
            <w:noWrap/>
            <w:hideMark/>
          </w:tcPr>
          <w:p w14:paraId="19CB73E7"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SOGL</w:t>
            </w:r>
          </w:p>
        </w:tc>
        <w:tc>
          <w:tcPr>
            <w:tcW w:w="5421" w:type="dxa"/>
            <w:tcBorders>
              <w:top w:val="nil"/>
              <w:left w:val="nil"/>
              <w:bottom w:val="nil"/>
              <w:right w:val="nil"/>
            </w:tcBorders>
            <w:shd w:val="clear" w:color="auto" w:fill="auto"/>
            <w:noWrap/>
            <w:hideMark/>
          </w:tcPr>
          <w:p w14:paraId="2D2A31DF"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System Operations Guideline</w:t>
            </w:r>
          </w:p>
        </w:tc>
      </w:tr>
      <w:tr w:rsidR="000D4C8F" w:rsidRPr="005021A3" w14:paraId="7440E59D" w14:textId="77777777" w:rsidTr="000D4C8F">
        <w:trPr>
          <w:trHeight w:val="255"/>
        </w:trPr>
        <w:tc>
          <w:tcPr>
            <w:tcW w:w="1720" w:type="dxa"/>
            <w:tcBorders>
              <w:top w:val="nil"/>
              <w:left w:val="nil"/>
              <w:bottom w:val="nil"/>
              <w:right w:val="nil"/>
            </w:tcBorders>
            <w:shd w:val="clear" w:color="auto" w:fill="auto"/>
            <w:noWrap/>
            <w:hideMark/>
          </w:tcPr>
          <w:p w14:paraId="01C3E801"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TRM</w:t>
            </w:r>
          </w:p>
        </w:tc>
        <w:tc>
          <w:tcPr>
            <w:tcW w:w="5421" w:type="dxa"/>
            <w:tcBorders>
              <w:top w:val="nil"/>
              <w:left w:val="nil"/>
              <w:bottom w:val="nil"/>
              <w:right w:val="nil"/>
            </w:tcBorders>
            <w:shd w:val="clear" w:color="auto" w:fill="auto"/>
            <w:noWrap/>
            <w:hideMark/>
          </w:tcPr>
          <w:p w14:paraId="53A82283"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Transmission Reliability Margin</w:t>
            </w:r>
          </w:p>
        </w:tc>
      </w:tr>
      <w:tr w:rsidR="000D4C8F" w:rsidRPr="005021A3" w14:paraId="5AB0DEED" w14:textId="77777777" w:rsidTr="000D4C8F">
        <w:trPr>
          <w:trHeight w:val="255"/>
        </w:trPr>
        <w:tc>
          <w:tcPr>
            <w:tcW w:w="1720" w:type="dxa"/>
            <w:tcBorders>
              <w:top w:val="nil"/>
              <w:left w:val="nil"/>
              <w:bottom w:val="nil"/>
              <w:right w:val="nil"/>
            </w:tcBorders>
            <w:shd w:val="clear" w:color="auto" w:fill="auto"/>
            <w:noWrap/>
            <w:hideMark/>
          </w:tcPr>
          <w:p w14:paraId="78B5A9B3"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TTC</w:t>
            </w:r>
          </w:p>
        </w:tc>
        <w:tc>
          <w:tcPr>
            <w:tcW w:w="5421" w:type="dxa"/>
            <w:tcBorders>
              <w:top w:val="nil"/>
              <w:left w:val="nil"/>
              <w:bottom w:val="nil"/>
              <w:right w:val="nil"/>
            </w:tcBorders>
            <w:shd w:val="clear" w:color="auto" w:fill="auto"/>
            <w:noWrap/>
            <w:hideMark/>
          </w:tcPr>
          <w:p w14:paraId="6C3C26FE" w14:textId="738C3C84"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Total Transfer Capacity (of the Italy North Region)</w:t>
            </w:r>
          </w:p>
        </w:tc>
      </w:tr>
      <w:tr w:rsidR="000D4C8F" w:rsidRPr="005021A3" w14:paraId="620F2F17" w14:textId="77777777" w:rsidTr="000D4C8F">
        <w:trPr>
          <w:trHeight w:val="255"/>
        </w:trPr>
        <w:tc>
          <w:tcPr>
            <w:tcW w:w="1720" w:type="dxa"/>
            <w:tcBorders>
              <w:top w:val="nil"/>
              <w:left w:val="nil"/>
              <w:bottom w:val="nil"/>
              <w:right w:val="nil"/>
            </w:tcBorders>
            <w:shd w:val="clear" w:color="auto" w:fill="auto"/>
            <w:noWrap/>
            <w:hideMark/>
          </w:tcPr>
          <w:p w14:paraId="4E64FF4A"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Ur</w:t>
            </w:r>
          </w:p>
        </w:tc>
        <w:tc>
          <w:tcPr>
            <w:tcW w:w="5421" w:type="dxa"/>
            <w:tcBorders>
              <w:top w:val="nil"/>
              <w:left w:val="nil"/>
              <w:bottom w:val="nil"/>
              <w:right w:val="nil"/>
            </w:tcBorders>
            <w:shd w:val="clear" w:color="auto" w:fill="auto"/>
            <w:noWrap/>
            <w:hideMark/>
          </w:tcPr>
          <w:p w14:paraId="13A2A7E1"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Uncertainty of regulation</w:t>
            </w:r>
          </w:p>
        </w:tc>
      </w:tr>
      <w:tr w:rsidR="000D4C8F" w:rsidRPr="005021A3" w14:paraId="3420A612" w14:textId="77777777" w:rsidTr="000D4C8F">
        <w:trPr>
          <w:trHeight w:val="255"/>
        </w:trPr>
        <w:tc>
          <w:tcPr>
            <w:tcW w:w="1720" w:type="dxa"/>
            <w:tcBorders>
              <w:top w:val="nil"/>
              <w:left w:val="nil"/>
              <w:bottom w:val="nil"/>
              <w:right w:val="nil"/>
            </w:tcBorders>
            <w:shd w:val="clear" w:color="auto" w:fill="auto"/>
            <w:noWrap/>
            <w:hideMark/>
          </w:tcPr>
          <w:p w14:paraId="7B8E62B6"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Us</w:t>
            </w:r>
          </w:p>
        </w:tc>
        <w:tc>
          <w:tcPr>
            <w:tcW w:w="5421" w:type="dxa"/>
            <w:tcBorders>
              <w:top w:val="nil"/>
              <w:left w:val="nil"/>
              <w:bottom w:val="nil"/>
              <w:right w:val="nil"/>
            </w:tcBorders>
            <w:shd w:val="clear" w:color="auto" w:fill="auto"/>
            <w:noWrap/>
            <w:hideMark/>
          </w:tcPr>
          <w:p w14:paraId="206DECC3"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Uncertainty of scenario</w:t>
            </w:r>
          </w:p>
        </w:tc>
      </w:tr>
      <w:tr w:rsidR="000D4C8F" w:rsidRPr="005021A3" w14:paraId="0221671A" w14:textId="77777777" w:rsidTr="000D4C8F">
        <w:trPr>
          <w:trHeight w:val="255"/>
        </w:trPr>
        <w:tc>
          <w:tcPr>
            <w:tcW w:w="1720" w:type="dxa"/>
            <w:tcBorders>
              <w:top w:val="nil"/>
              <w:left w:val="nil"/>
              <w:bottom w:val="nil"/>
              <w:right w:val="nil"/>
            </w:tcBorders>
            <w:shd w:val="clear" w:color="auto" w:fill="auto"/>
            <w:noWrap/>
            <w:hideMark/>
          </w:tcPr>
          <w:p w14:paraId="638FC0FA"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σ</w:t>
            </w:r>
          </w:p>
        </w:tc>
        <w:tc>
          <w:tcPr>
            <w:tcW w:w="5421" w:type="dxa"/>
            <w:tcBorders>
              <w:top w:val="nil"/>
              <w:left w:val="nil"/>
              <w:bottom w:val="nil"/>
              <w:right w:val="nil"/>
            </w:tcBorders>
            <w:shd w:val="clear" w:color="auto" w:fill="auto"/>
            <w:noWrap/>
            <w:hideMark/>
          </w:tcPr>
          <w:p w14:paraId="1CEB18C1" w14:textId="77777777" w:rsidR="000D4C8F" w:rsidRPr="005021A3" w:rsidRDefault="000D4C8F" w:rsidP="00571274">
            <w:pPr>
              <w:spacing w:before="120"/>
              <w:rPr>
                <w:rFonts w:asciiTheme="minorHAnsi" w:hAnsiTheme="minorHAnsi" w:cstheme="minorHAnsi"/>
                <w:szCs w:val="22"/>
                <w:lang w:val="en-GB" w:eastAsia="de-AT"/>
              </w:rPr>
            </w:pPr>
            <w:r w:rsidRPr="005021A3">
              <w:rPr>
                <w:rFonts w:asciiTheme="minorHAnsi" w:hAnsiTheme="minorHAnsi" w:cstheme="minorHAnsi"/>
                <w:szCs w:val="22"/>
                <w:lang w:val="en-GB" w:eastAsia="de-AT"/>
              </w:rPr>
              <w:t>Standard Deviation</w:t>
            </w:r>
          </w:p>
        </w:tc>
      </w:tr>
    </w:tbl>
    <w:p w14:paraId="7A535B42" w14:textId="5F71301A" w:rsidR="00D446B6" w:rsidRPr="006A6B81" w:rsidRDefault="000D4C8F" w:rsidP="00D446B6">
      <w:pPr>
        <w:pStyle w:val="Paragraphedeliste"/>
        <w:spacing w:after="120" w:line="259" w:lineRule="auto"/>
        <w:rPr>
          <w:rFonts w:ascii="Times New Roman" w:hAnsi="Times New Roman"/>
          <w:szCs w:val="22"/>
          <w:lang w:val="it-IT" w:eastAsia="en-US"/>
        </w:rPr>
      </w:pPr>
      <w:r>
        <w:rPr>
          <w:rFonts w:ascii="Times New Roman" w:hAnsi="Times New Roman"/>
          <w:szCs w:val="22"/>
          <w:lang w:val="it-IT" w:eastAsia="en-US"/>
        </w:rPr>
        <w:fldChar w:fldCharType="end"/>
      </w:r>
    </w:p>
    <w:p w14:paraId="7A535B43" w14:textId="77777777" w:rsidR="004F245D" w:rsidRPr="00650CB6" w:rsidRDefault="004F245D" w:rsidP="00D446B6">
      <w:pPr>
        <w:pStyle w:val="Paragraphedeliste"/>
        <w:numPr>
          <w:ilvl w:val="0"/>
          <w:numId w:val="15"/>
        </w:numPr>
        <w:spacing w:after="120" w:line="259" w:lineRule="auto"/>
        <w:ind w:hanging="720"/>
        <w:rPr>
          <w:rFonts w:ascii="Times New Roman" w:hAnsi="Times New Roman" w:cs="Arial"/>
          <w:b/>
          <w:sz w:val="24"/>
          <w:lang w:val="en-GB" w:eastAsia="en-US"/>
        </w:rPr>
      </w:pPr>
      <w:r w:rsidRPr="00650CB6">
        <w:rPr>
          <w:rFonts w:ascii="Times New Roman" w:hAnsi="Times New Roman"/>
          <w:szCs w:val="22"/>
          <w:lang w:val="en-GB" w:eastAsia="en-US"/>
        </w:rPr>
        <w:t xml:space="preserve">In this </w:t>
      </w:r>
      <w:r w:rsidR="00DA6B73" w:rsidRPr="00650CB6">
        <w:rPr>
          <w:rFonts w:ascii="Times New Roman" w:hAnsi="Times New Roman"/>
          <w:szCs w:val="22"/>
          <w:lang w:val="en-GB" w:eastAsia="en-US"/>
        </w:rPr>
        <w:t>D-2 CCC methodology</w:t>
      </w:r>
      <w:r w:rsidRPr="00650CB6">
        <w:rPr>
          <w:rFonts w:ascii="Times New Roman" w:hAnsi="Times New Roman"/>
          <w:szCs w:val="22"/>
          <w:lang w:val="en-GB" w:eastAsia="en-US"/>
        </w:rPr>
        <w:t xml:space="preserve"> Proposal, unless the context requires otherwise: </w:t>
      </w:r>
    </w:p>
    <w:p w14:paraId="7A535B44" w14:textId="77777777" w:rsidR="004F245D" w:rsidRPr="0071024D" w:rsidRDefault="004F245D" w:rsidP="000D4C8F">
      <w:pPr>
        <w:numPr>
          <w:ilvl w:val="0"/>
          <w:numId w:val="12"/>
        </w:numPr>
        <w:spacing w:after="160" w:line="252" w:lineRule="auto"/>
        <w:ind w:left="1276" w:hanging="502"/>
        <w:contextualSpacing/>
        <w:jc w:val="both"/>
        <w:rPr>
          <w:rFonts w:ascii="Times New Roman" w:hAnsi="Times New Roman"/>
          <w:szCs w:val="22"/>
          <w:lang w:val="en-GB" w:eastAsia="en-US"/>
        </w:rPr>
      </w:pPr>
      <w:r w:rsidRPr="0071024D">
        <w:rPr>
          <w:rFonts w:ascii="Times New Roman" w:hAnsi="Times New Roman"/>
          <w:szCs w:val="22"/>
          <w:lang w:val="en-GB" w:eastAsia="en-US"/>
        </w:rPr>
        <w:t xml:space="preserve">the singular indicates the plural and vice versa; </w:t>
      </w:r>
    </w:p>
    <w:p w14:paraId="7A535B45" w14:textId="77777777" w:rsidR="004F245D" w:rsidRPr="0071024D" w:rsidRDefault="004F245D" w:rsidP="000D4C8F">
      <w:pPr>
        <w:numPr>
          <w:ilvl w:val="0"/>
          <w:numId w:val="12"/>
        </w:numPr>
        <w:spacing w:after="160" w:line="252" w:lineRule="auto"/>
        <w:ind w:left="1276" w:hanging="502"/>
        <w:contextualSpacing/>
        <w:jc w:val="both"/>
        <w:rPr>
          <w:rFonts w:ascii="Times New Roman" w:hAnsi="Times New Roman"/>
          <w:szCs w:val="22"/>
          <w:lang w:val="en-GB" w:eastAsia="en-US"/>
        </w:rPr>
      </w:pPr>
      <w:r w:rsidRPr="0071024D">
        <w:rPr>
          <w:rFonts w:ascii="Times New Roman" w:hAnsi="Times New Roman"/>
          <w:szCs w:val="22"/>
          <w:lang w:val="en-GB" w:eastAsia="en-US"/>
        </w:rPr>
        <w:t>headings are inserted for convenience only and do not affect the interpretation of this proposal; and</w:t>
      </w:r>
    </w:p>
    <w:p w14:paraId="7A535B46" w14:textId="77777777" w:rsidR="004F245D" w:rsidRPr="0071024D" w:rsidRDefault="00D446B6" w:rsidP="000D4C8F">
      <w:pPr>
        <w:numPr>
          <w:ilvl w:val="0"/>
          <w:numId w:val="12"/>
        </w:numPr>
        <w:spacing w:after="160" w:line="252" w:lineRule="auto"/>
        <w:ind w:left="1276" w:hanging="502"/>
        <w:contextualSpacing/>
        <w:jc w:val="both"/>
        <w:rPr>
          <w:rFonts w:ascii="Times New Roman" w:hAnsi="Times New Roman"/>
          <w:szCs w:val="22"/>
          <w:lang w:val="en-GB" w:eastAsia="en-US"/>
        </w:rPr>
      </w:pPr>
      <w:r w:rsidRPr="0071024D">
        <w:rPr>
          <w:rFonts w:ascii="Times New Roman" w:hAnsi="Times New Roman"/>
          <w:szCs w:val="22"/>
          <w:lang w:val="en-GB" w:eastAsia="en-US"/>
        </w:rPr>
        <w:t xml:space="preserve">any </w:t>
      </w:r>
      <w:r w:rsidR="004F245D" w:rsidRPr="0071024D">
        <w:rPr>
          <w:rFonts w:ascii="Times New Roman" w:hAnsi="Times New Roman"/>
          <w:szCs w:val="22"/>
          <w:lang w:val="en-GB" w:eastAsia="en-US"/>
        </w:rPr>
        <w:t xml:space="preserve">reference to legislation, regulations, directives, orders, instruments, codes or any other enactment shall include any modification, extension or re-enactment of it when in force. </w:t>
      </w:r>
    </w:p>
    <w:p w14:paraId="7A535B47" w14:textId="77777777" w:rsidR="004F245D" w:rsidRPr="00CB2FE0" w:rsidRDefault="004F245D" w:rsidP="004F245D">
      <w:pPr>
        <w:spacing w:after="160" w:line="252" w:lineRule="auto"/>
        <w:ind w:left="708"/>
        <w:contextualSpacing/>
        <w:jc w:val="both"/>
        <w:rPr>
          <w:rFonts w:ascii="Times New Roman" w:hAnsi="Times New Roman"/>
          <w:color w:val="00B050"/>
          <w:szCs w:val="22"/>
          <w:lang w:val="en-GB" w:eastAsia="en-US"/>
        </w:rPr>
      </w:pPr>
    </w:p>
    <w:p w14:paraId="7A535B48" w14:textId="77777777" w:rsidR="004F245D" w:rsidRPr="00856950" w:rsidRDefault="004F245D" w:rsidP="004F245D">
      <w:pPr>
        <w:spacing w:after="120" w:line="260" w:lineRule="exact"/>
        <w:jc w:val="center"/>
        <w:outlineLvl w:val="1"/>
        <w:rPr>
          <w:rFonts w:ascii="Times New Roman" w:hAnsi="Times New Roman" w:cs="Arial"/>
          <w:b/>
          <w:color w:val="23236E"/>
          <w:sz w:val="24"/>
          <w:lang w:val="en-GB" w:eastAsia="en-US"/>
        </w:rPr>
      </w:pPr>
      <w:bookmarkStart w:id="21" w:name="_Toc445298915"/>
      <w:bookmarkStart w:id="22" w:name="_Toc445299177"/>
      <w:bookmarkStart w:id="23" w:name="_Toc445825433"/>
      <w:bookmarkStart w:id="24" w:name="_Toc496628112"/>
      <w:r w:rsidRPr="00856950">
        <w:rPr>
          <w:rFonts w:ascii="Times New Roman" w:hAnsi="Times New Roman" w:cs="Arial"/>
          <w:b/>
          <w:color w:val="23236E"/>
          <w:sz w:val="24"/>
          <w:lang w:val="en-GB" w:eastAsia="en-US"/>
        </w:rPr>
        <w:t>Article 3</w:t>
      </w:r>
      <w:r w:rsidRPr="00856950">
        <w:rPr>
          <w:rFonts w:ascii="Times New Roman" w:hAnsi="Times New Roman" w:cs="Arial"/>
          <w:b/>
          <w:color w:val="23236E"/>
          <w:sz w:val="24"/>
          <w:lang w:val="en-GB" w:eastAsia="en-US"/>
        </w:rPr>
        <w:br/>
        <w:t>Application of this proposal</w:t>
      </w:r>
      <w:bookmarkEnd w:id="21"/>
      <w:bookmarkEnd w:id="22"/>
      <w:bookmarkEnd w:id="23"/>
      <w:bookmarkEnd w:id="24"/>
      <w:r w:rsidRPr="00856950">
        <w:rPr>
          <w:rFonts w:ascii="Times New Roman" w:hAnsi="Times New Roman" w:cs="Arial"/>
          <w:b/>
          <w:color w:val="23236E"/>
          <w:sz w:val="24"/>
          <w:lang w:val="en-GB" w:eastAsia="en-US"/>
        </w:rPr>
        <w:t xml:space="preserve"> </w:t>
      </w:r>
    </w:p>
    <w:p w14:paraId="7A535B49" w14:textId="77777777" w:rsidR="004F245D" w:rsidRPr="00485CA7" w:rsidRDefault="004F245D" w:rsidP="004855CF">
      <w:pPr>
        <w:spacing w:after="120"/>
        <w:jc w:val="both"/>
        <w:rPr>
          <w:rFonts w:ascii="Times New Roman" w:hAnsi="Times New Roman"/>
          <w:szCs w:val="22"/>
          <w:lang w:val="en-GB" w:eastAsia="en-US"/>
        </w:rPr>
      </w:pPr>
      <w:r w:rsidRPr="00485CA7">
        <w:rPr>
          <w:rFonts w:ascii="Times New Roman" w:hAnsi="Times New Roman"/>
          <w:szCs w:val="22"/>
          <w:lang w:val="en-GB" w:eastAsia="en-US"/>
        </w:rPr>
        <w:t xml:space="preserve">This proposal applies solely to </w:t>
      </w:r>
      <w:r w:rsidR="00485CA7" w:rsidRPr="00485CA7">
        <w:rPr>
          <w:rFonts w:ascii="Times New Roman" w:hAnsi="Times New Roman"/>
          <w:szCs w:val="22"/>
          <w:lang w:val="en-GB" w:eastAsia="en-US"/>
        </w:rPr>
        <w:t xml:space="preserve">the D-2 common capacity calculation methodology </w:t>
      </w:r>
      <w:r w:rsidR="00C41D7E">
        <w:rPr>
          <w:rFonts w:ascii="Times New Roman" w:hAnsi="Times New Roman"/>
          <w:szCs w:val="22"/>
          <w:lang w:val="en-GB" w:eastAsia="en-US"/>
        </w:rPr>
        <w:t xml:space="preserve">based on the </w:t>
      </w:r>
      <w:r w:rsidR="00C41D7E" w:rsidRPr="00C41D7E">
        <w:rPr>
          <w:rFonts w:ascii="Times New Roman" w:hAnsi="Times New Roman"/>
          <w:szCs w:val="22"/>
          <w:lang w:val="en-GB" w:eastAsia="en-US"/>
        </w:rPr>
        <w:t xml:space="preserve">coordinated net transmission capacity approach </w:t>
      </w:r>
      <w:r w:rsidR="00485CA7" w:rsidRPr="00485CA7">
        <w:rPr>
          <w:rFonts w:ascii="Times New Roman" w:hAnsi="Times New Roman"/>
          <w:szCs w:val="22"/>
          <w:lang w:val="en-GB" w:eastAsia="en-US"/>
        </w:rPr>
        <w:t>within the Italy North Capacity Calculation Region</w:t>
      </w:r>
      <w:r w:rsidRPr="00485CA7">
        <w:rPr>
          <w:rFonts w:ascii="Times New Roman" w:hAnsi="Times New Roman"/>
          <w:szCs w:val="22"/>
          <w:lang w:val="en-GB" w:eastAsia="en-US"/>
        </w:rPr>
        <w:t xml:space="preserve">. </w:t>
      </w:r>
      <w:r w:rsidR="00C41D7E">
        <w:rPr>
          <w:rFonts w:ascii="Times New Roman" w:hAnsi="Times New Roman"/>
          <w:szCs w:val="22"/>
          <w:lang w:val="en-GB" w:eastAsia="en-US"/>
        </w:rPr>
        <w:t xml:space="preserve">The </w:t>
      </w:r>
      <w:r w:rsidR="00C41D7E" w:rsidRPr="00485CA7">
        <w:rPr>
          <w:rFonts w:ascii="Times New Roman" w:hAnsi="Times New Roman"/>
          <w:szCs w:val="22"/>
          <w:lang w:val="en-GB" w:eastAsia="en-US"/>
        </w:rPr>
        <w:t xml:space="preserve">D-2 common capacity calculation methodology </w:t>
      </w:r>
      <w:r w:rsidR="00C41D7E" w:rsidRPr="00C41D7E">
        <w:rPr>
          <w:rFonts w:ascii="Times New Roman" w:hAnsi="Times New Roman"/>
          <w:szCs w:val="22"/>
          <w:lang w:val="en-GB" w:eastAsia="en-US"/>
        </w:rPr>
        <w:t>using the flow-based approach, the c</w:t>
      </w:r>
      <w:r w:rsidR="00485CA7" w:rsidRPr="00485CA7">
        <w:rPr>
          <w:rFonts w:ascii="Times New Roman" w:hAnsi="Times New Roman"/>
          <w:szCs w:val="22"/>
          <w:lang w:val="en-GB" w:eastAsia="en-US"/>
        </w:rPr>
        <w:t xml:space="preserve">ommon capacity calculation methodologies within others Capacity Calculation Regions </w:t>
      </w:r>
      <w:r w:rsidR="00C41D7E">
        <w:rPr>
          <w:rFonts w:ascii="Times New Roman" w:hAnsi="Times New Roman"/>
          <w:szCs w:val="22"/>
          <w:lang w:val="en-GB" w:eastAsia="en-US"/>
        </w:rPr>
        <w:t>and</w:t>
      </w:r>
      <w:r w:rsidR="00485CA7" w:rsidRPr="00485CA7">
        <w:rPr>
          <w:rFonts w:ascii="Times New Roman" w:hAnsi="Times New Roman"/>
          <w:szCs w:val="22"/>
          <w:lang w:val="en-GB" w:eastAsia="en-US"/>
        </w:rPr>
        <w:t xml:space="preserve"> others timeframes are</w:t>
      </w:r>
      <w:r w:rsidRPr="00485CA7">
        <w:rPr>
          <w:rFonts w:ascii="Times New Roman" w:hAnsi="Times New Roman"/>
          <w:szCs w:val="22"/>
          <w:lang w:val="en-GB" w:eastAsia="en-US"/>
        </w:rPr>
        <w:t xml:space="preserve"> outside the scope of this proposal.</w:t>
      </w:r>
    </w:p>
    <w:p w14:paraId="7A535B4A" w14:textId="77777777" w:rsidR="004F245D" w:rsidRPr="00CB2FE0" w:rsidRDefault="004F245D" w:rsidP="004F245D">
      <w:pPr>
        <w:spacing w:after="160" w:line="252" w:lineRule="auto"/>
        <w:ind w:left="708"/>
        <w:contextualSpacing/>
        <w:jc w:val="both"/>
        <w:rPr>
          <w:rFonts w:ascii="Times New Roman" w:hAnsi="Times New Roman"/>
          <w:color w:val="00B050"/>
          <w:szCs w:val="22"/>
          <w:lang w:val="en-GB" w:eastAsia="en-US"/>
        </w:rPr>
      </w:pPr>
    </w:p>
    <w:p w14:paraId="7A535B4B" w14:textId="77777777" w:rsidR="004F245D" w:rsidRPr="004B7536" w:rsidRDefault="004F245D" w:rsidP="004F245D">
      <w:pPr>
        <w:spacing w:after="120" w:line="260" w:lineRule="exact"/>
        <w:jc w:val="center"/>
        <w:outlineLvl w:val="1"/>
        <w:rPr>
          <w:rFonts w:ascii="Times New Roman" w:hAnsi="Times New Roman" w:cs="Arial"/>
          <w:b/>
          <w:color w:val="23236E"/>
          <w:sz w:val="24"/>
          <w:lang w:val="en-GB" w:eastAsia="en-US"/>
        </w:rPr>
      </w:pPr>
      <w:bookmarkStart w:id="25" w:name="_Toc432586772"/>
      <w:bookmarkStart w:id="26" w:name="_Toc432586792"/>
      <w:bookmarkStart w:id="27" w:name="_Toc445298916"/>
      <w:bookmarkStart w:id="28" w:name="_Toc445299178"/>
      <w:bookmarkStart w:id="29" w:name="_Toc445825434"/>
      <w:bookmarkStart w:id="30" w:name="_Toc496628113"/>
      <w:r w:rsidRPr="004B7536">
        <w:rPr>
          <w:rFonts w:ascii="Times New Roman" w:hAnsi="Times New Roman" w:cs="Arial"/>
          <w:b/>
          <w:color w:val="23236E"/>
          <w:sz w:val="24"/>
          <w:lang w:val="en-GB" w:eastAsia="en-US"/>
        </w:rPr>
        <w:t>Article 4</w:t>
      </w:r>
      <w:r w:rsidRPr="004B7536">
        <w:rPr>
          <w:rFonts w:ascii="Times New Roman" w:hAnsi="Times New Roman" w:cs="Arial"/>
          <w:b/>
          <w:color w:val="23236E"/>
          <w:sz w:val="24"/>
          <w:lang w:val="en-GB" w:eastAsia="en-US"/>
        </w:rPr>
        <w:br/>
      </w:r>
      <w:bookmarkEnd w:id="25"/>
      <w:bookmarkEnd w:id="26"/>
      <w:bookmarkEnd w:id="27"/>
      <w:bookmarkEnd w:id="28"/>
      <w:bookmarkEnd w:id="29"/>
      <w:r w:rsidR="004B7536" w:rsidRPr="004B7536">
        <w:rPr>
          <w:rFonts w:ascii="Times New Roman" w:hAnsi="Times New Roman" w:cs="Arial"/>
          <w:b/>
          <w:color w:val="23236E"/>
          <w:sz w:val="24"/>
          <w:lang w:val="en-GB" w:eastAsia="en-US"/>
        </w:rPr>
        <w:t>C</w:t>
      </w:r>
      <w:r w:rsidR="002719EF">
        <w:rPr>
          <w:rFonts w:ascii="Times New Roman" w:hAnsi="Times New Roman" w:cs="Arial"/>
          <w:b/>
          <w:color w:val="23236E"/>
          <w:sz w:val="24"/>
          <w:lang w:val="en-GB" w:eastAsia="en-US"/>
        </w:rPr>
        <w:t>ross-zonal capacities</w:t>
      </w:r>
      <w:r w:rsidR="004B7536" w:rsidRPr="004B7536">
        <w:rPr>
          <w:rFonts w:ascii="Times New Roman" w:hAnsi="Times New Roman" w:cs="Arial"/>
          <w:b/>
          <w:color w:val="23236E"/>
          <w:sz w:val="24"/>
          <w:lang w:val="en-GB" w:eastAsia="en-US"/>
        </w:rPr>
        <w:t xml:space="preserve"> for the day-ahead market</w:t>
      </w:r>
      <w:bookmarkEnd w:id="30"/>
    </w:p>
    <w:p w14:paraId="7A535B4C" w14:textId="77777777" w:rsidR="004F245D" w:rsidRDefault="004B7536" w:rsidP="00527499">
      <w:pPr>
        <w:spacing w:after="120" w:line="259" w:lineRule="auto"/>
        <w:contextualSpacing/>
        <w:jc w:val="both"/>
        <w:rPr>
          <w:rFonts w:ascii="Times New Roman" w:hAnsi="Times New Roman"/>
          <w:szCs w:val="22"/>
          <w:lang w:val="en-GB" w:eastAsia="en-US"/>
        </w:rPr>
      </w:pPr>
      <w:r w:rsidRPr="004B7536">
        <w:rPr>
          <w:rFonts w:ascii="Times New Roman" w:hAnsi="Times New Roman"/>
          <w:szCs w:val="22"/>
          <w:lang w:val="en-GB" w:eastAsia="en-US"/>
        </w:rPr>
        <w:t>For the day-ahead market time-frame, individual values for cross-zonal capacity for each day-ahead market time unit shall be calculated</w:t>
      </w:r>
      <w:r>
        <w:rPr>
          <w:rFonts w:ascii="Times New Roman" w:hAnsi="Times New Roman"/>
          <w:szCs w:val="22"/>
          <w:lang w:val="en-GB" w:eastAsia="en-US"/>
        </w:rPr>
        <w:t xml:space="preserve"> using the D-2 </w:t>
      </w:r>
      <w:r w:rsidR="00ED009C">
        <w:rPr>
          <w:rFonts w:ascii="Times New Roman" w:hAnsi="Times New Roman"/>
          <w:szCs w:val="22"/>
          <w:lang w:val="en-GB" w:eastAsia="en-US"/>
        </w:rPr>
        <w:t>coordinated</w:t>
      </w:r>
      <w:r w:rsidRPr="00485CA7">
        <w:rPr>
          <w:rFonts w:ascii="Times New Roman" w:hAnsi="Times New Roman"/>
          <w:szCs w:val="22"/>
          <w:lang w:val="en-GB" w:eastAsia="en-US"/>
        </w:rPr>
        <w:t xml:space="preserve"> capacity calculation methodology</w:t>
      </w:r>
      <w:r>
        <w:rPr>
          <w:rFonts w:ascii="Times New Roman" w:hAnsi="Times New Roman"/>
          <w:szCs w:val="22"/>
          <w:lang w:val="en-GB" w:eastAsia="en-US"/>
        </w:rPr>
        <w:t>.</w:t>
      </w:r>
    </w:p>
    <w:p w14:paraId="7A535B4D" w14:textId="77777777" w:rsidR="004F245D" w:rsidRDefault="004F245D" w:rsidP="004F245D">
      <w:pPr>
        <w:spacing w:after="120" w:line="259" w:lineRule="auto"/>
        <w:ind w:left="567"/>
        <w:contextualSpacing/>
        <w:jc w:val="both"/>
        <w:rPr>
          <w:rFonts w:ascii="Times New Roman" w:hAnsi="Times New Roman"/>
          <w:color w:val="00B050"/>
          <w:szCs w:val="22"/>
          <w:lang w:val="en-GB" w:eastAsia="en-US"/>
        </w:rPr>
      </w:pPr>
    </w:p>
    <w:p w14:paraId="7A535B4E" w14:textId="77777777" w:rsidR="00600DCF" w:rsidRPr="00936357" w:rsidRDefault="00600DCF" w:rsidP="00600DCF">
      <w:pPr>
        <w:spacing w:after="120" w:line="260" w:lineRule="exact"/>
        <w:jc w:val="center"/>
        <w:outlineLvl w:val="1"/>
        <w:rPr>
          <w:rFonts w:ascii="Times New Roman" w:hAnsi="Times New Roman" w:cs="Arial"/>
          <w:b/>
          <w:color w:val="23236E"/>
          <w:sz w:val="24"/>
          <w:lang w:val="en-GB" w:eastAsia="en-US"/>
        </w:rPr>
      </w:pPr>
      <w:bookmarkStart w:id="31" w:name="_Toc475469390"/>
      <w:bookmarkStart w:id="32" w:name="_Toc496628114"/>
      <w:r w:rsidRPr="00936357">
        <w:rPr>
          <w:rFonts w:ascii="Times New Roman" w:hAnsi="Times New Roman" w:cs="Arial"/>
          <w:b/>
          <w:color w:val="23236E"/>
          <w:sz w:val="24"/>
          <w:lang w:val="en-GB" w:eastAsia="en-US"/>
        </w:rPr>
        <w:t xml:space="preserve">Article </w:t>
      </w:r>
      <w:r w:rsidR="004C3E21" w:rsidRPr="00936357">
        <w:rPr>
          <w:rFonts w:ascii="Times New Roman" w:hAnsi="Times New Roman" w:cs="Arial"/>
          <w:b/>
          <w:color w:val="23236E"/>
          <w:sz w:val="24"/>
          <w:lang w:val="en-GB" w:eastAsia="en-US"/>
        </w:rPr>
        <w:t>5</w:t>
      </w:r>
      <w:r w:rsidRPr="00936357">
        <w:rPr>
          <w:rFonts w:ascii="Times New Roman" w:hAnsi="Times New Roman" w:cs="Arial"/>
          <w:b/>
          <w:color w:val="23236E"/>
          <w:sz w:val="24"/>
          <w:lang w:val="en-GB" w:eastAsia="en-US"/>
        </w:rPr>
        <w:br/>
        <w:t>Reliability margin methodology</w:t>
      </w:r>
      <w:bookmarkEnd w:id="31"/>
      <w:bookmarkEnd w:id="32"/>
      <w:r w:rsidRPr="00936357">
        <w:rPr>
          <w:rFonts w:ascii="Times New Roman" w:hAnsi="Times New Roman" w:cs="Arial"/>
          <w:b/>
          <w:color w:val="23236E"/>
          <w:sz w:val="24"/>
          <w:lang w:val="en-GB" w:eastAsia="en-US"/>
        </w:rPr>
        <w:t xml:space="preserve"> </w:t>
      </w:r>
    </w:p>
    <w:p w14:paraId="7A535B4F" w14:textId="77777777" w:rsidR="00600DCF" w:rsidRPr="00CD33A9" w:rsidRDefault="00600DCF" w:rsidP="00600DCF">
      <w:pPr>
        <w:pStyle w:val="Paragraphedeliste"/>
        <w:numPr>
          <w:ilvl w:val="0"/>
          <w:numId w:val="21"/>
        </w:numPr>
        <w:spacing w:after="120" w:line="259" w:lineRule="auto"/>
        <w:jc w:val="both"/>
        <w:rPr>
          <w:rFonts w:ascii="Times New Roman" w:hAnsi="Times New Roman"/>
          <w:lang w:val="en-GB"/>
        </w:rPr>
      </w:pPr>
      <w:r w:rsidRPr="00CD33A9">
        <w:rPr>
          <w:rFonts w:ascii="Times New Roman" w:hAnsi="Times New Roman"/>
          <w:lang w:val="en-GB"/>
        </w:rPr>
        <w:t xml:space="preserve">For the capacity calculation performed in D-2, the TSOs of </w:t>
      </w:r>
      <w:r w:rsidR="00CD33A9">
        <w:rPr>
          <w:rFonts w:ascii="Times New Roman" w:hAnsi="Times New Roman"/>
          <w:lang w:val="en-GB"/>
        </w:rPr>
        <w:t>Italy North</w:t>
      </w:r>
      <w:r w:rsidRPr="00CD33A9">
        <w:rPr>
          <w:rFonts w:ascii="Times New Roman" w:hAnsi="Times New Roman"/>
          <w:lang w:val="en-GB"/>
        </w:rPr>
        <w:t xml:space="preserve"> Region shall define the reliability margin in line with Article 22 of the CACM Regulation and based on the analysis of the following data: </w:t>
      </w:r>
    </w:p>
    <w:p w14:paraId="7A535B50" w14:textId="77777777" w:rsidR="00600DCF" w:rsidRPr="00CD33A9" w:rsidRDefault="00600DCF" w:rsidP="00600DCF">
      <w:pPr>
        <w:pStyle w:val="Paragraphedeliste"/>
        <w:numPr>
          <w:ilvl w:val="0"/>
          <w:numId w:val="29"/>
        </w:numPr>
        <w:spacing w:after="120" w:line="259" w:lineRule="auto"/>
        <w:jc w:val="both"/>
        <w:rPr>
          <w:rFonts w:ascii="Times New Roman" w:hAnsi="Times New Roman"/>
          <w:lang w:val="en-GB"/>
        </w:rPr>
      </w:pPr>
      <w:r w:rsidRPr="00CD33A9">
        <w:rPr>
          <w:rFonts w:ascii="Times New Roman" w:hAnsi="Times New Roman"/>
          <w:lang w:val="en-GB"/>
        </w:rPr>
        <w:t>unintended deviations of physical electricity flows within a market time unit caused by the adjustment of electricity flows within and between control areas, to maintain a constant frequency</w:t>
      </w:r>
      <w:r w:rsidR="00976EC0">
        <w:rPr>
          <w:rFonts w:ascii="Times New Roman" w:hAnsi="Times New Roman"/>
          <w:lang w:val="en-GB"/>
        </w:rPr>
        <w:t>,</w:t>
      </w:r>
      <w:r w:rsidR="00E155F0">
        <w:rPr>
          <w:rFonts w:ascii="Times New Roman" w:hAnsi="Times New Roman"/>
          <w:lang w:val="en-GB"/>
        </w:rPr>
        <w:t xml:space="preserve"> hereafter referred to as regulation uncertainty;</w:t>
      </w:r>
    </w:p>
    <w:p w14:paraId="7A535B51" w14:textId="672F49A2" w:rsidR="004522D5" w:rsidRDefault="00600DCF" w:rsidP="004522D5">
      <w:pPr>
        <w:pStyle w:val="Paragraphedeliste"/>
        <w:numPr>
          <w:ilvl w:val="0"/>
          <w:numId w:val="29"/>
        </w:numPr>
        <w:spacing w:after="120" w:line="259" w:lineRule="auto"/>
        <w:jc w:val="both"/>
        <w:rPr>
          <w:rFonts w:ascii="Times New Roman" w:hAnsi="Times New Roman"/>
          <w:lang w:val="en-GB"/>
        </w:rPr>
      </w:pPr>
      <w:proofErr w:type="gramStart"/>
      <w:r w:rsidRPr="00CD33A9">
        <w:rPr>
          <w:rFonts w:ascii="Times New Roman" w:hAnsi="Times New Roman"/>
          <w:lang w:val="en-GB"/>
        </w:rPr>
        <w:t>uncertainties</w:t>
      </w:r>
      <w:proofErr w:type="gramEnd"/>
      <w:r w:rsidRPr="00CD33A9">
        <w:rPr>
          <w:rFonts w:ascii="Times New Roman" w:hAnsi="Times New Roman"/>
          <w:lang w:val="en-GB"/>
        </w:rPr>
        <w:t xml:space="preserve"> which could affect capacity calculation and which could occur between D-2 and real time, for the market time unit being considered</w:t>
      </w:r>
      <w:r w:rsidR="00E155F0">
        <w:rPr>
          <w:rFonts w:ascii="Times New Roman" w:hAnsi="Times New Roman"/>
          <w:lang w:val="en-GB"/>
        </w:rPr>
        <w:t>,</w:t>
      </w:r>
      <w:r w:rsidR="00E155F0" w:rsidRPr="00E155F0">
        <w:rPr>
          <w:rFonts w:ascii="Times New Roman" w:hAnsi="Times New Roman"/>
          <w:lang w:val="en-GB"/>
        </w:rPr>
        <w:t xml:space="preserve"> </w:t>
      </w:r>
      <w:r w:rsidR="00E155F0">
        <w:rPr>
          <w:rFonts w:ascii="Times New Roman" w:hAnsi="Times New Roman"/>
          <w:lang w:val="en-GB"/>
        </w:rPr>
        <w:t>hereafter refe</w:t>
      </w:r>
      <w:r w:rsidR="00426AB7">
        <w:rPr>
          <w:rFonts w:ascii="Times New Roman" w:hAnsi="Times New Roman"/>
          <w:lang w:val="en-GB"/>
        </w:rPr>
        <w:t>rred to as scenario uncertainty.</w:t>
      </w:r>
    </w:p>
    <w:p w14:paraId="7A535B52" w14:textId="77777777" w:rsidR="00A419F7" w:rsidRDefault="00A419F7" w:rsidP="00A419F7">
      <w:pPr>
        <w:pStyle w:val="Paragraphedeliste"/>
        <w:spacing w:after="120" w:line="259" w:lineRule="auto"/>
        <w:jc w:val="both"/>
        <w:rPr>
          <w:rFonts w:ascii="Times New Roman" w:hAnsi="Times New Roman"/>
          <w:szCs w:val="22"/>
          <w:lang w:val="en-GB" w:eastAsia="en-US"/>
        </w:rPr>
      </w:pPr>
    </w:p>
    <w:p w14:paraId="7A535B53" w14:textId="77777777" w:rsidR="003C488E" w:rsidRPr="003C488E" w:rsidRDefault="00B21EE8" w:rsidP="003C488E">
      <w:pPr>
        <w:pStyle w:val="Paragraphedeliste"/>
        <w:numPr>
          <w:ilvl w:val="0"/>
          <w:numId w:val="21"/>
        </w:numPr>
        <w:spacing w:after="120" w:line="259" w:lineRule="auto"/>
        <w:jc w:val="both"/>
        <w:rPr>
          <w:rFonts w:ascii="Times New Roman" w:hAnsi="Times New Roman"/>
          <w:szCs w:val="22"/>
          <w:lang w:val="en-GB" w:eastAsia="en-US"/>
        </w:rPr>
      </w:pPr>
      <w:r w:rsidRPr="00A419F7">
        <w:rPr>
          <w:rFonts w:ascii="Times New Roman" w:hAnsi="Times New Roman"/>
          <w:szCs w:val="22"/>
          <w:lang w:val="en-GB" w:eastAsia="en-US"/>
        </w:rPr>
        <w:t xml:space="preserve">The Reliability Margin will be based </w:t>
      </w:r>
      <w:r w:rsidR="003F189B">
        <w:rPr>
          <w:rFonts w:ascii="Times New Roman" w:hAnsi="Times New Roman"/>
          <w:szCs w:val="22"/>
          <w:lang w:val="en-GB" w:eastAsia="en-US"/>
        </w:rPr>
        <w:t>on a combination of Ur and Us, t</w:t>
      </w:r>
      <w:r w:rsidR="003F189B" w:rsidRPr="006F0961">
        <w:rPr>
          <w:rFonts w:ascii="Times New Roman" w:hAnsi="Times New Roman"/>
          <w:szCs w:val="22"/>
          <w:lang w:val="en-GB" w:eastAsia="en-US"/>
        </w:rPr>
        <w:t xml:space="preserve">he considered margins for the regulation </w:t>
      </w:r>
      <w:r w:rsidR="00E155F0">
        <w:rPr>
          <w:rFonts w:ascii="Times New Roman" w:hAnsi="Times New Roman"/>
          <w:szCs w:val="22"/>
          <w:lang w:val="en-GB" w:eastAsia="en-US"/>
        </w:rPr>
        <w:t>uncertainty</w:t>
      </w:r>
      <w:r w:rsidR="00E155F0" w:rsidRPr="006F0961">
        <w:rPr>
          <w:rFonts w:ascii="Times New Roman" w:hAnsi="Times New Roman"/>
          <w:szCs w:val="22"/>
          <w:lang w:val="en-GB" w:eastAsia="en-US"/>
        </w:rPr>
        <w:t xml:space="preserve"> </w:t>
      </w:r>
      <w:r w:rsidR="003F189B" w:rsidRPr="006F0961">
        <w:rPr>
          <w:rFonts w:ascii="Times New Roman" w:hAnsi="Times New Roman"/>
          <w:szCs w:val="22"/>
          <w:lang w:val="en-GB" w:eastAsia="en-US"/>
        </w:rPr>
        <w:t>and the scenario uncertainty</w:t>
      </w:r>
      <w:r w:rsidR="00B47260">
        <w:rPr>
          <w:rFonts w:ascii="Times New Roman" w:hAnsi="Times New Roman"/>
          <w:szCs w:val="22"/>
          <w:lang w:val="en-GB" w:eastAsia="en-US"/>
        </w:rPr>
        <w:t>.</w:t>
      </w:r>
      <w:r w:rsidR="004C3029">
        <w:rPr>
          <w:rFonts w:ascii="Times New Roman" w:hAnsi="Times New Roman"/>
          <w:szCs w:val="22"/>
          <w:lang w:val="en-GB" w:eastAsia="en-US"/>
        </w:rPr>
        <w:t xml:space="preserve"> </w:t>
      </w:r>
      <w:r w:rsidR="003C488E" w:rsidRPr="003C488E">
        <w:rPr>
          <w:rFonts w:ascii="Times New Roman" w:hAnsi="Times New Roman"/>
          <w:szCs w:val="22"/>
          <w:lang w:val="en-GB" w:eastAsia="en-US"/>
        </w:rPr>
        <w:t>To assume that these uncertainties are random and normally distributed (probability combination):</w:t>
      </w:r>
    </w:p>
    <w:p w14:paraId="7A535B54" w14:textId="77777777" w:rsidR="003C488E" w:rsidRDefault="003C488E" w:rsidP="003C488E">
      <w:pPr>
        <w:pStyle w:val="Paragraphedeliste"/>
        <w:spacing w:after="120" w:line="259" w:lineRule="auto"/>
        <w:jc w:val="both"/>
        <w:rPr>
          <w:lang w:val="en-GB"/>
        </w:rPr>
      </w:pPr>
      <w:r w:rsidRPr="003C488E">
        <w:rPr>
          <w:lang w:val="en-GB"/>
        </w:rPr>
        <w:t>TRM</w:t>
      </w:r>
      <w:r w:rsidR="001872B3">
        <w:rPr>
          <w:lang w:val="en-GB"/>
        </w:rPr>
        <w:t xml:space="preserve"> </w:t>
      </w:r>
      <w:r w:rsidRPr="003C488E">
        <w:rPr>
          <w:lang w:val="en-GB"/>
        </w:rPr>
        <w:t xml:space="preserve">= </w:t>
      </w:r>
      <w:r w:rsidRPr="00F94933">
        <w:rPr>
          <w:lang w:val="en-GB"/>
        </w:rPr>
        <w:sym w:font="Symbol" w:char="F0D6"/>
      </w:r>
      <w:r w:rsidRPr="003C488E">
        <w:rPr>
          <w:lang w:val="en-GB"/>
        </w:rPr>
        <w:t>(U</w:t>
      </w:r>
      <w:r w:rsidRPr="003C488E">
        <w:rPr>
          <w:vertAlign w:val="superscript"/>
          <w:lang w:val="en-GB"/>
        </w:rPr>
        <w:t>2</w:t>
      </w:r>
      <w:r w:rsidRPr="003C488E">
        <w:rPr>
          <w:vertAlign w:val="subscript"/>
          <w:lang w:val="en-GB"/>
        </w:rPr>
        <w:t>r</w:t>
      </w:r>
      <w:r w:rsidRPr="003C488E">
        <w:rPr>
          <w:lang w:val="en-GB"/>
        </w:rPr>
        <w:t xml:space="preserve"> + U</w:t>
      </w:r>
      <w:r w:rsidRPr="003C488E">
        <w:rPr>
          <w:vertAlign w:val="superscript"/>
          <w:lang w:val="en-GB"/>
        </w:rPr>
        <w:t>2</w:t>
      </w:r>
      <w:r w:rsidRPr="003C488E">
        <w:rPr>
          <w:vertAlign w:val="subscript"/>
          <w:lang w:val="en-GB"/>
        </w:rPr>
        <w:t>s</w:t>
      </w:r>
      <w:r w:rsidRPr="003C488E">
        <w:rPr>
          <w:lang w:val="en-GB"/>
        </w:rPr>
        <w:t>)</w:t>
      </w:r>
    </w:p>
    <w:p w14:paraId="7A535B55" w14:textId="77777777" w:rsidR="003C488E" w:rsidRPr="003C488E" w:rsidRDefault="003C488E" w:rsidP="003C488E">
      <w:pPr>
        <w:pStyle w:val="Paragraphedeliste"/>
        <w:spacing w:after="120" w:line="259" w:lineRule="auto"/>
        <w:jc w:val="both"/>
        <w:rPr>
          <w:rFonts w:ascii="Times New Roman" w:hAnsi="Times New Roman"/>
          <w:szCs w:val="22"/>
          <w:lang w:val="en-GB" w:eastAsia="en-US"/>
        </w:rPr>
      </w:pPr>
    </w:p>
    <w:p w14:paraId="7A535B56" w14:textId="77777777" w:rsidR="003C488E" w:rsidRPr="00F624E0" w:rsidRDefault="004C3029" w:rsidP="00F624E0">
      <w:pPr>
        <w:pStyle w:val="Paragraphedeliste"/>
        <w:numPr>
          <w:ilvl w:val="0"/>
          <w:numId w:val="21"/>
        </w:numPr>
        <w:spacing w:after="120" w:line="259" w:lineRule="auto"/>
        <w:jc w:val="both"/>
        <w:rPr>
          <w:rFonts w:ascii="Times New Roman" w:hAnsi="Times New Roman"/>
          <w:szCs w:val="22"/>
          <w:lang w:val="en-GB" w:eastAsia="en-US"/>
        </w:rPr>
      </w:pPr>
      <w:r w:rsidRPr="006F0961">
        <w:rPr>
          <w:rFonts w:ascii="Times New Roman" w:hAnsi="Times New Roman"/>
          <w:szCs w:val="22"/>
          <w:lang w:val="en-GB" w:eastAsia="en-US"/>
        </w:rPr>
        <w:t xml:space="preserve">Then Ur = K </w:t>
      </w:r>
      <w:r w:rsidRPr="006F0961">
        <w:rPr>
          <w:rFonts w:ascii="Times New Roman" w:hAnsi="Times New Roman"/>
          <w:szCs w:val="22"/>
          <w:lang w:val="en-GB" w:eastAsia="en-US"/>
        </w:rPr>
        <w:sym w:font="Symbol" w:char="F0B4"/>
      </w:r>
      <w:r w:rsidRPr="006F0961">
        <w:rPr>
          <w:rFonts w:ascii="Times New Roman" w:hAnsi="Times New Roman"/>
          <w:szCs w:val="22"/>
          <w:lang w:val="en-GB" w:eastAsia="en-US"/>
        </w:rPr>
        <w:t xml:space="preserve"> </w:t>
      </w:r>
      <w:r w:rsidRPr="006F0961">
        <w:rPr>
          <w:rFonts w:ascii="Times New Roman" w:hAnsi="Times New Roman"/>
          <w:szCs w:val="22"/>
          <w:lang w:val="en-GB" w:eastAsia="en-US"/>
        </w:rPr>
        <w:sym w:font="Symbol" w:char="F073"/>
      </w:r>
      <w:r w:rsidRPr="006F0961">
        <w:rPr>
          <w:rFonts w:ascii="Times New Roman" w:hAnsi="Times New Roman"/>
          <w:szCs w:val="22"/>
          <w:lang w:val="en-GB" w:eastAsia="en-US"/>
        </w:rPr>
        <w:t xml:space="preserve">r and Us = K </w:t>
      </w:r>
      <w:r w:rsidRPr="006F0961">
        <w:rPr>
          <w:rFonts w:ascii="Times New Roman" w:hAnsi="Times New Roman"/>
          <w:szCs w:val="22"/>
          <w:lang w:val="en-GB" w:eastAsia="en-US"/>
        </w:rPr>
        <w:sym w:font="Symbol" w:char="F0B4"/>
      </w:r>
      <w:r w:rsidRPr="006F0961">
        <w:rPr>
          <w:rFonts w:ascii="Times New Roman" w:hAnsi="Times New Roman"/>
          <w:szCs w:val="22"/>
          <w:lang w:val="en-GB" w:eastAsia="en-US"/>
        </w:rPr>
        <w:t xml:space="preserve"> </w:t>
      </w:r>
      <w:r w:rsidRPr="006F0961">
        <w:rPr>
          <w:rFonts w:ascii="Times New Roman" w:hAnsi="Times New Roman"/>
          <w:szCs w:val="22"/>
          <w:lang w:val="en-GB" w:eastAsia="en-US"/>
        </w:rPr>
        <w:sym w:font="Symbol" w:char="F073"/>
      </w:r>
      <w:r w:rsidRPr="006F0961">
        <w:rPr>
          <w:rFonts w:ascii="Times New Roman" w:hAnsi="Times New Roman"/>
          <w:szCs w:val="22"/>
          <w:lang w:val="en-GB" w:eastAsia="en-US"/>
        </w:rPr>
        <w:t>s; K being a choice depending on the probability threshold (</w:t>
      </w:r>
      <w:r w:rsidR="007D4737">
        <w:rPr>
          <w:rFonts w:ascii="Times New Roman" w:hAnsi="Times New Roman"/>
          <w:szCs w:val="22"/>
          <w:lang w:val="en-GB" w:eastAsia="en-US"/>
        </w:rPr>
        <w:t>in order to prevent that actual flows higher than forecasted ones would lead to unsecure system operations</w:t>
      </w:r>
      <w:r w:rsidRPr="006F0961">
        <w:rPr>
          <w:rFonts w:ascii="Times New Roman" w:hAnsi="Times New Roman"/>
          <w:szCs w:val="22"/>
          <w:lang w:val="en-GB" w:eastAsia="en-US"/>
        </w:rPr>
        <w:t>) being considered</w:t>
      </w:r>
      <w:r w:rsidR="00E155F0">
        <w:rPr>
          <w:rFonts w:ascii="Times New Roman" w:hAnsi="Times New Roman"/>
          <w:szCs w:val="22"/>
          <w:lang w:val="en-GB" w:eastAsia="en-US"/>
        </w:rPr>
        <w:t xml:space="preserve"> and </w:t>
      </w:r>
      <w:r w:rsidR="00E155F0" w:rsidRPr="006F0961">
        <w:rPr>
          <w:rFonts w:ascii="Times New Roman" w:hAnsi="Times New Roman"/>
          <w:szCs w:val="22"/>
          <w:lang w:val="en-GB" w:eastAsia="en-US"/>
        </w:rPr>
        <w:sym w:font="Symbol" w:char="F073"/>
      </w:r>
      <w:r w:rsidR="00E155F0" w:rsidRPr="006F0961">
        <w:rPr>
          <w:rFonts w:ascii="Times New Roman" w:hAnsi="Times New Roman"/>
          <w:szCs w:val="22"/>
          <w:lang w:val="en-GB" w:eastAsia="en-US"/>
        </w:rPr>
        <w:t>r</w:t>
      </w:r>
      <w:r w:rsidR="00E155F0">
        <w:rPr>
          <w:rFonts w:ascii="Times New Roman" w:hAnsi="Times New Roman"/>
          <w:szCs w:val="22"/>
          <w:lang w:val="en-GB" w:eastAsia="en-US"/>
        </w:rPr>
        <w:t xml:space="preserve"> and </w:t>
      </w:r>
      <w:r w:rsidR="00E155F0" w:rsidRPr="006F0961">
        <w:rPr>
          <w:rFonts w:ascii="Times New Roman" w:hAnsi="Times New Roman"/>
          <w:szCs w:val="22"/>
          <w:lang w:val="en-GB" w:eastAsia="en-US"/>
        </w:rPr>
        <w:sym w:font="Symbol" w:char="F073"/>
      </w:r>
      <w:proofErr w:type="spellStart"/>
      <w:r w:rsidR="00E155F0">
        <w:rPr>
          <w:rFonts w:ascii="Times New Roman" w:hAnsi="Times New Roman"/>
          <w:szCs w:val="22"/>
          <w:lang w:val="en-GB" w:eastAsia="en-US"/>
        </w:rPr>
        <w:t>s</w:t>
      </w:r>
      <w:proofErr w:type="spellEnd"/>
      <w:r w:rsidR="00E155F0">
        <w:rPr>
          <w:rFonts w:ascii="Times New Roman" w:hAnsi="Times New Roman"/>
          <w:szCs w:val="22"/>
          <w:lang w:val="en-GB" w:eastAsia="en-US"/>
        </w:rPr>
        <w:t xml:space="preserve"> the</w:t>
      </w:r>
      <w:r w:rsidR="00F056E0">
        <w:rPr>
          <w:rFonts w:ascii="Times New Roman" w:hAnsi="Times New Roman"/>
          <w:szCs w:val="22"/>
          <w:lang w:val="en-GB" w:eastAsia="en-US"/>
        </w:rPr>
        <w:t xml:space="preserve"> standard deviations of the respective probability distributions</w:t>
      </w:r>
      <w:r w:rsidRPr="006F0961">
        <w:rPr>
          <w:rFonts w:ascii="Times New Roman" w:hAnsi="Times New Roman"/>
          <w:szCs w:val="22"/>
          <w:lang w:val="en-GB" w:eastAsia="en-US"/>
        </w:rPr>
        <w:t>. The value that will be used is K=3.</w:t>
      </w:r>
      <w:r w:rsidR="003F189B">
        <w:rPr>
          <w:rFonts w:ascii="Times New Roman" w:hAnsi="Times New Roman"/>
          <w:szCs w:val="22"/>
          <w:lang w:val="en-GB" w:eastAsia="en-US"/>
        </w:rPr>
        <w:t xml:space="preserve"> </w:t>
      </w:r>
      <w:r w:rsidR="00B47260">
        <w:rPr>
          <w:rFonts w:ascii="Times New Roman" w:hAnsi="Times New Roman"/>
          <w:szCs w:val="22"/>
          <w:lang w:val="en-GB" w:eastAsia="en-US"/>
        </w:rPr>
        <w:t xml:space="preserve">This shall ensure </w:t>
      </w:r>
      <w:r w:rsidR="00B21EE8" w:rsidRPr="00A419F7">
        <w:rPr>
          <w:rFonts w:ascii="Times New Roman" w:hAnsi="Times New Roman"/>
          <w:szCs w:val="22"/>
          <w:lang w:val="en-GB" w:eastAsia="en-US"/>
        </w:rPr>
        <w:t xml:space="preserve">a level of confidence </w:t>
      </w:r>
      <w:r w:rsidR="0013740E" w:rsidRPr="00A419F7">
        <w:rPr>
          <w:rFonts w:ascii="Times New Roman" w:hAnsi="Times New Roman"/>
          <w:szCs w:val="22"/>
          <w:lang w:val="en-GB" w:eastAsia="en-US"/>
        </w:rPr>
        <w:t xml:space="preserve">to </w:t>
      </w:r>
      <w:r>
        <w:rPr>
          <w:rFonts w:ascii="Times New Roman" w:hAnsi="Times New Roman"/>
          <w:szCs w:val="22"/>
          <w:lang w:val="en-GB" w:eastAsia="en-US"/>
        </w:rPr>
        <w:t xml:space="preserve">guarantee </w:t>
      </w:r>
      <w:r w:rsidR="0013740E" w:rsidRPr="00A419F7">
        <w:rPr>
          <w:rFonts w:ascii="Times New Roman" w:hAnsi="Times New Roman"/>
          <w:szCs w:val="22"/>
          <w:lang w:val="en-GB" w:eastAsia="en-US"/>
        </w:rPr>
        <w:t xml:space="preserve">the </w:t>
      </w:r>
      <w:r w:rsidR="00B21EE8" w:rsidRPr="00A419F7">
        <w:rPr>
          <w:rFonts w:ascii="Times New Roman" w:hAnsi="Times New Roman"/>
          <w:szCs w:val="22"/>
          <w:lang w:val="en-GB" w:eastAsia="en-US"/>
        </w:rPr>
        <w:t xml:space="preserve">transmission system </w:t>
      </w:r>
      <w:r>
        <w:rPr>
          <w:rFonts w:ascii="Times New Roman" w:hAnsi="Times New Roman"/>
          <w:szCs w:val="22"/>
          <w:lang w:val="en-GB" w:eastAsia="en-US"/>
        </w:rPr>
        <w:t>to be</w:t>
      </w:r>
      <w:r w:rsidR="00B21EE8" w:rsidRPr="00A419F7">
        <w:rPr>
          <w:rFonts w:ascii="Times New Roman" w:hAnsi="Times New Roman"/>
          <w:szCs w:val="22"/>
          <w:lang w:val="en-GB" w:eastAsia="en-US"/>
        </w:rPr>
        <w:t xml:space="preserve"> operated within operational security limits</w:t>
      </w:r>
      <w:r w:rsidR="00A419F7" w:rsidRPr="00A419F7">
        <w:rPr>
          <w:rFonts w:ascii="Times New Roman" w:hAnsi="Times New Roman"/>
          <w:szCs w:val="22"/>
          <w:lang w:val="en-GB" w:eastAsia="en-US"/>
        </w:rPr>
        <w:t>.</w:t>
      </w:r>
      <w:r w:rsidR="00D953AA">
        <w:rPr>
          <w:rFonts w:ascii="Times New Roman" w:hAnsi="Times New Roman"/>
          <w:szCs w:val="22"/>
          <w:lang w:val="en-GB" w:eastAsia="en-US"/>
        </w:rPr>
        <w:t xml:space="preserve"> The </w:t>
      </w:r>
      <w:r w:rsidR="00844BBE">
        <w:rPr>
          <w:rFonts w:ascii="Times New Roman" w:hAnsi="Times New Roman"/>
          <w:szCs w:val="22"/>
          <w:lang w:val="en-GB" w:eastAsia="en-US"/>
        </w:rPr>
        <w:t xml:space="preserve">K value could be reassessed during the implementation of the </w:t>
      </w:r>
      <w:r w:rsidR="00844BBE">
        <w:rPr>
          <w:rFonts w:ascii="Times New Roman" w:eastAsiaTheme="minorHAnsi" w:hAnsi="Times New Roman"/>
          <w:szCs w:val="22"/>
          <w:lang w:val="en-US" w:eastAsia="en-US"/>
        </w:rPr>
        <w:t>D-2 CCC Methodology</w:t>
      </w:r>
      <w:r w:rsidR="00D953AA">
        <w:rPr>
          <w:rFonts w:ascii="Times New Roman" w:hAnsi="Times New Roman"/>
          <w:szCs w:val="22"/>
          <w:lang w:val="en-GB" w:eastAsia="en-US"/>
        </w:rPr>
        <w:t>.</w:t>
      </w:r>
    </w:p>
    <w:p w14:paraId="7A535B57" w14:textId="77777777" w:rsidR="00A419F7" w:rsidRPr="00F624E0" w:rsidRDefault="00A419F7" w:rsidP="00A419F7">
      <w:pPr>
        <w:pStyle w:val="Paragraphedeliste"/>
        <w:spacing w:after="120" w:line="259" w:lineRule="auto"/>
        <w:jc w:val="both"/>
        <w:rPr>
          <w:rFonts w:ascii="Times New Roman" w:hAnsi="Times New Roman"/>
          <w:szCs w:val="22"/>
          <w:lang w:val="en-US" w:eastAsia="en-US"/>
        </w:rPr>
      </w:pPr>
    </w:p>
    <w:p w14:paraId="7A535B58" w14:textId="77777777" w:rsidR="00600DCF" w:rsidRPr="00FB7497" w:rsidRDefault="00600DCF" w:rsidP="002A720B">
      <w:pPr>
        <w:pStyle w:val="Paragraphedeliste"/>
        <w:numPr>
          <w:ilvl w:val="0"/>
          <w:numId w:val="21"/>
        </w:numPr>
        <w:spacing w:after="120" w:line="259" w:lineRule="auto"/>
        <w:jc w:val="both"/>
        <w:rPr>
          <w:rFonts w:ascii="Times New Roman" w:hAnsi="Times New Roman"/>
          <w:szCs w:val="22"/>
          <w:lang w:val="en-GB" w:eastAsia="en-US"/>
        </w:rPr>
      </w:pPr>
      <w:r w:rsidRPr="00FB7497">
        <w:rPr>
          <w:rFonts w:ascii="Times New Roman" w:hAnsi="Times New Roman"/>
          <w:szCs w:val="22"/>
          <w:lang w:val="en-GB" w:eastAsia="en-US"/>
        </w:rPr>
        <w:t xml:space="preserve">The </w:t>
      </w:r>
      <w:r w:rsidR="0050668C" w:rsidRPr="00FB7497">
        <w:rPr>
          <w:rFonts w:ascii="Times New Roman" w:hAnsi="Times New Roman"/>
          <w:szCs w:val="22"/>
          <w:lang w:val="en-GB" w:eastAsia="en-US"/>
        </w:rPr>
        <w:t>TSOs</w:t>
      </w:r>
      <w:r w:rsidRPr="00FB7497">
        <w:rPr>
          <w:rFonts w:ascii="Times New Roman" w:hAnsi="Times New Roman"/>
          <w:szCs w:val="22"/>
          <w:lang w:val="en-GB" w:eastAsia="en-US"/>
        </w:rPr>
        <w:t xml:space="preserve"> </w:t>
      </w:r>
      <w:r w:rsidR="00766353" w:rsidRPr="00CB2DA7">
        <w:rPr>
          <w:rFonts w:ascii="Times New Roman" w:hAnsi="Times New Roman"/>
          <w:szCs w:val="22"/>
          <w:lang w:val="en-GB" w:eastAsia="en-US"/>
        </w:rPr>
        <w:t xml:space="preserve">of </w:t>
      </w:r>
      <w:r w:rsidR="00766353">
        <w:rPr>
          <w:rFonts w:ascii="Times New Roman" w:hAnsi="Times New Roman"/>
          <w:szCs w:val="22"/>
          <w:lang w:val="en-GB" w:eastAsia="en-US"/>
        </w:rPr>
        <w:t>Italy North</w:t>
      </w:r>
      <w:r w:rsidR="00766353" w:rsidRPr="00CB2DA7">
        <w:rPr>
          <w:rFonts w:ascii="Times New Roman" w:hAnsi="Times New Roman"/>
          <w:szCs w:val="22"/>
          <w:lang w:val="en-GB" w:eastAsia="en-US"/>
        </w:rPr>
        <w:t xml:space="preserve"> Region </w:t>
      </w:r>
      <w:r w:rsidRPr="00FB7497">
        <w:rPr>
          <w:rFonts w:ascii="Times New Roman" w:hAnsi="Times New Roman"/>
          <w:szCs w:val="22"/>
          <w:lang w:val="en-GB" w:eastAsia="en-US"/>
        </w:rPr>
        <w:t xml:space="preserve">shall review once a year the reliability margin for </w:t>
      </w:r>
      <w:r w:rsidR="00637BAD">
        <w:rPr>
          <w:rFonts w:ascii="Times New Roman" w:hAnsi="Times New Roman"/>
          <w:szCs w:val="22"/>
          <w:lang w:val="en-GB" w:eastAsia="en-US"/>
        </w:rPr>
        <w:t xml:space="preserve">the whole </w:t>
      </w:r>
      <w:r w:rsidR="0050668C" w:rsidRPr="00FB7497">
        <w:rPr>
          <w:rFonts w:ascii="Times New Roman" w:hAnsi="Times New Roman"/>
          <w:szCs w:val="22"/>
          <w:lang w:val="en-GB" w:eastAsia="en-US"/>
        </w:rPr>
        <w:t>Italy North Re</w:t>
      </w:r>
      <w:r w:rsidRPr="00FB7497">
        <w:rPr>
          <w:rFonts w:ascii="Times New Roman" w:hAnsi="Times New Roman"/>
          <w:szCs w:val="22"/>
          <w:lang w:val="en-GB" w:eastAsia="en-US"/>
        </w:rPr>
        <w:t>gion.</w:t>
      </w:r>
    </w:p>
    <w:p w14:paraId="7A535B59" w14:textId="77777777" w:rsidR="00600DCF" w:rsidRPr="00600DCF" w:rsidRDefault="00600DCF" w:rsidP="00600DCF">
      <w:pPr>
        <w:spacing w:after="120" w:line="259" w:lineRule="auto"/>
        <w:ind w:left="567"/>
        <w:contextualSpacing/>
        <w:jc w:val="both"/>
        <w:rPr>
          <w:rFonts w:ascii="Times New Roman" w:hAnsi="Times New Roman"/>
          <w:color w:val="00B050"/>
          <w:szCs w:val="22"/>
          <w:lang w:val="en-GB" w:eastAsia="en-US"/>
        </w:rPr>
      </w:pPr>
    </w:p>
    <w:p w14:paraId="7A535B5A" w14:textId="77777777" w:rsidR="00600DCF" w:rsidRPr="00936357" w:rsidRDefault="00600DCF" w:rsidP="00600DCF">
      <w:pPr>
        <w:spacing w:after="120" w:line="260" w:lineRule="exact"/>
        <w:jc w:val="center"/>
        <w:outlineLvl w:val="1"/>
        <w:rPr>
          <w:rFonts w:ascii="Times New Roman" w:hAnsi="Times New Roman" w:cs="Arial"/>
          <w:b/>
          <w:color w:val="23236E"/>
          <w:sz w:val="24"/>
          <w:lang w:val="en-GB" w:eastAsia="en-US"/>
        </w:rPr>
      </w:pPr>
      <w:bookmarkStart w:id="33" w:name="_Toc475469391"/>
      <w:bookmarkStart w:id="34" w:name="_Toc496628115"/>
      <w:r w:rsidRPr="00936357">
        <w:rPr>
          <w:rFonts w:ascii="Times New Roman" w:hAnsi="Times New Roman" w:cs="Arial"/>
          <w:b/>
          <w:color w:val="23236E"/>
          <w:sz w:val="24"/>
          <w:lang w:val="en-GB" w:eastAsia="en-US"/>
        </w:rPr>
        <w:t xml:space="preserve">Article </w:t>
      </w:r>
      <w:r w:rsidR="004C3E21" w:rsidRPr="00936357">
        <w:rPr>
          <w:rFonts w:ascii="Times New Roman" w:hAnsi="Times New Roman" w:cs="Arial"/>
          <w:b/>
          <w:color w:val="23236E"/>
          <w:sz w:val="24"/>
          <w:lang w:val="en-GB" w:eastAsia="en-US"/>
        </w:rPr>
        <w:t>6</w:t>
      </w:r>
      <w:r w:rsidRPr="00936357">
        <w:rPr>
          <w:rFonts w:ascii="Times New Roman" w:hAnsi="Times New Roman" w:cs="Arial"/>
          <w:b/>
          <w:color w:val="23236E"/>
          <w:sz w:val="24"/>
          <w:lang w:val="en-GB" w:eastAsia="en-US"/>
        </w:rPr>
        <w:br/>
        <w:t>Methodologies for operational security limits, contingencies and allocation constraints</w:t>
      </w:r>
      <w:bookmarkEnd w:id="33"/>
      <w:bookmarkEnd w:id="34"/>
    </w:p>
    <w:p w14:paraId="7A535B5B" w14:textId="77777777" w:rsidR="004508C4" w:rsidRDefault="004508C4" w:rsidP="004508C4">
      <w:pPr>
        <w:pStyle w:val="Paragraphedeliste"/>
        <w:numPr>
          <w:ilvl w:val="0"/>
          <w:numId w:val="48"/>
        </w:numPr>
        <w:spacing w:after="120" w:line="259" w:lineRule="auto"/>
        <w:jc w:val="both"/>
        <w:rPr>
          <w:rFonts w:ascii="Times New Roman" w:hAnsi="Times New Roman"/>
          <w:lang w:val="en-GB"/>
        </w:rPr>
      </w:pPr>
      <w:r w:rsidRPr="007D6BC4">
        <w:rPr>
          <w:rFonts w:ascii="Times New Roman" w:hAnsi="Times New Roman"/>
          <w:lang w:val="en-GB"/>
        </w:rPr>
        <w:t>For the capacity calculation, the TSOs of Italy North Region shall only monitor the operational</w:t>
      </w:r>
      <w:r>
        <w:rPr>
          <w:rFonts w:ascii="Times New Roman" w:hAnsi="Times New Roman"/>
          <w:lang w:val="en-GB"/>
        </w:rPr>
        <w:t xml:space="preserve"> </w:t>
      </w:r>
      <w:r w:rsidRPr="007D6BC4">
        <w:rPr>
          <w:rFonts w:ascii="Times New Roman" w:hAnsi="Times New Roman"/>
          <w:lang w:val="en-GB"/>
        </w:rPr>
        <w:t>security limits and contingencies on network elements significantly influenced by cross-zonal</w:t>
      </w:r>
      <w:r>
        <w:rPr>
          <w:rFonts w:ascii="Times New Roman" w:hAnsi="Times New Roman"/>
          <w:lang w:val="en-GB"/>
        </w:rPr>
        <w:t xml:space="preserve"> </w:t>
      </w:r>
      <w:r w:rsidRPr="007D6BC4">
        <w:rPr>
          <w:rFonts w:ascii="Times New Roman" w:hAnsi="Times New Roman"/>
          <w:lang w:val="en-GB"/>
        </w:rPr>
        <w:t>power exchanges. The selection of these critical network elements and contingencies shall be</w:t>
      </w:r>
      <w:r>
        <w:rPr>
          <w:rFonts w:ascii="Times New Roman" w:hAnsi="Times New Roman"/>
          <w:lang w:val="en-GB"/>
        </w:rPr>
        <w:t xml:space="preserve"> </w:t>
      </w:r>
      <w:r w:rsidRPr="007D6BC4">
        <w:rPr>
          <w:rFonts w:ascii="Times New Roman" w:hAnsi="Times New Roman"/>
          <w:lang w:val="en-GB"/>
        </w:rPr>
        <w:t xml:space="preserve">based on a sensitivity analysis </w:t>
      </w:r>
      <w:r w:rsidR="00D953AA">
        <w:rPr>
          <w:rFonts w:ascii="Times New Roman" w:hAnsi="Times New Roman"/>
          <w:lang w:val="en-GB"/>
        </w:rPr>
        <w:t xml:space="preserve">performed for each calculated timestamps </w:t>
      </w:r>
      <w:r w:rsidRPr="007D6BC4">
        <w:rPr>
          <w:rFonts w:ascii="Times New Roman" w:hAnsi="Times New Roman"/>
          <w:lang w:val="en-GB"/>
        </w:rPr>
        <w:t>by the TSOs of the Italy North Region in</w:t>
      </w:r>
      <w:r>
        <w:rPr>
          <w:rFonts w:ascii="Times New Roman" w:hAnsi="Times New Roman"/>
          <w:lang w:val="en-GB"/>
        </w:rPr>
        <w:t xml:space="preserve"> </w:t>
      </w:r>
      <w:r w:rsidRPr="007D6BC4">
        <w:rPr>
          <w:rFonts w:ascii="Times New Roman" w:hAnsi="Times New Roman"/>
          <w:lang w:val="en-GB"/>
        </w:rPr>
        <w:t>the different network states including but not limited to base case, after contingency and after</w:t>
      </w:r>
      <w:r>
        <w:rPr>
          <w:rFonts w:ascii="Times New Roman" w:hAnsi="Times New Roman"/>
          <w:lang w:val="en-GB"/>
        </w:rPr>
        <w:t xml:space="preserve"> </w:t>
      </w:r>
      <w:r w:rsidRPr="007D6BC4">
        <w:rPr>
          <w:rFonts w:ascii="Times New Roman" w:hAnsi="Times New Roman"/>
          <w:lang w:val="en-GB"/>
        </w:rPr>
        <w:t>remedial action.</w:t>
      </w:r>
      <w:r w:rsidR="00D953AA">
        <w:rPr>
          <w:rFonts w:ascii="Times New Roman" w:hAnsi="Times New Roman"/>
          <w:lang w:val="en-GB"/>
        </w:rPr>
        <w:t xml:space="preserve"> </w:t>
      </w:r>
    </w:p>
    <w:p w14:paraId="7A535B5C" w14:textId="77777777" w:rsidR="007D6BC4" w:rsidRDefault="007D6BC4" w:rsidP="007D6BC4">
      <w:pPr>
        <w:pStyle w:val="Paragraphedeliste"/>
        <w:spacing w:after="120" w:line="259" w:lineRule="auto"/>
        <w:jc w:val="both"/>
        <w:rPr>
          <w:rFonts w:ascii="Times New Roman" w:hAnsi="Times New Roman"/>
          <w:lang w:val="en-GB"/>
        </w:rPr>
      </w:pPr>
    </w:p>
    <w:p w14:paraId="7A535B5D" w14:textId="3FC0AE21" w:rsidR="00A419F7" w:rsidRPr="00A419F7" w:rsidRDefault="00A419F7" w:rsidP="008A0DA6">
      <w:pPr>
        <w:pStyle w:val="Paragraphedeliste"/>
        <w:numPr>
          <w:ilvl w:val="0"/>
          <w:numId w:val="48"/>
        </w:numPr>
        <w:autoSpaceDE w:val="0"/>
        <w:autoSpaceDN w:val="0"/>
        <w:adjustRightInd w:val="0"/>
        <w:jc w:val="both"/>
        <w:rPr>
          <w:rFonts w:ascii="Times New Roman" w:eastAsiaTheme="minorHAnsi" w:hAnsi="Times New Roman"/>
          <w:szCs w:val="22"/>
          <w:lang w:val="en-US" w:eastAsia="en-US"/>
        </w:rPr>
      </w:pPr>
      <w:r w:rsidRPr="00A419F7">
        <w:rPr>
          <w:rFonts w:ascii="Times New Roman" w:eastAsiaTheme="minorHAnsi" w:hAnsi="Times New Roman"/>
          <w:szCs w:val="22"/>
          <w:lang w:val="en-US" w:eastAsia="en-US"/>
        </w:rPr>
        <w:t>Only critical network elements with a sensitivity to cross-zonal power exchanges equal or higher than</w:t>
      </w:r>
      <w:r>
        <w:rPr>
          <w:rFonts w:ascii="Times New Roman" w:eastAsiaTheme="minorHAnsi" w:hAnsi="Times New Roman"/>
          <w:szCs w:val="22"/>
          <w:lang w:val="en-US" w:eastAsia="en-US"/>
        </w:rPr>
        <w:t xml:space="preserve"> </w:t>
      </w:r>
      <w:r w:rsidR="00F92B66">
        <w:rPr>
          <w:rFonts w:ascii="Times New Roman" w:eastAsiaTheme="minorHAnsi" w:hAnsi="Times New Roman"/>
          <w:szCs w:val="22"/>
          <w:lang w:val="en-US" w:eastAsia="en-US"/>
        </w:rPr>
        <w:t>5%</w:t>
      </w:r>
      <w:r w:rsidRPr="00A419F7">
        <w:rPr>
          <w:rFonts w:ascii="Times New Roman" w:eastAsiaTheme="minorHAnsi" w:hAnsi="Times New Roman"/>
          <w:szCs w:val="22"/>
          <w:lang w:val="en-US" w:eastAsia="en-US"/>
        </w:rPr>
        <w:t xml:space="preserve"> shall be monitored during the capacity calculation process</w:t>
      </w:r>
      <w:r w:rsidR="00F81CC0">
        <w:rPr>
          <w:rFonts w:ascii="Times New Roman" w:eastAsiaTheme="minorHAnsi" w:hAnsi="Times New Roman"/>
          <w:szCs w:val="22"/>
          <w:lang w:val="en-US" w:eastAsia="en-US"/>
        </w:rPr>
        <w:t xml:space="preserve"> (</w:t>
      </w:r>
      <w:r w:rsidR="0055509E">
        <w:rPr>
          <w:rFonts w:ascii="Times New Roman" w:eastAsiaTheme="minorHAnsi" w:hAnsi="Times New Roman"/>
          <w:szCs w:val="22"/>
          <w:lang w:val="en-US" w:eastAsia="en-US"/>
        </w:rPr>
        <w:t xml:space="preserve">the </w:t>
      </w:r>
      <w:r w:rsidR="00F81CC0">
        <w:rPr>
          <w:rFonts w:ascii="Times New Roman" w:eastAsiaTheme="minorHAnsi" w:hAnsi="Times New Roman"/>
          <w:szCs w:val="22"/>
          <w:lang w:val="en-US" w:eastAsia="en-US"/>
        </w:rPr>
        <w:t>p</w:t>
      </w:r>
      <w:r w:rsidR="00F92B66">
        <w:rPr>
          <w:rFonts w:ascii="Times New Roman" w:eastAsiaTheme="minorHAnsi" w:hAnsi="Times New Roman"/>
          <w:szCs w:val="22"/>
          <w:lang w:val="en-US" w:eastAsia="en-US"/>
        </w:rPr>
        <w:t xml:space="preserve">ercentage </w:t>
      </w:r>
      <w:r w:rsidR="0055509E">
        <w:rPr>
          <w:rFonts w:ascii="Times New Roman" w:eastAsiaTheme="minorHAnsi" w:hAnsi="Times New Roman"/>
          <w:szCs w:val="22"/>
          <w:lang w:val="en-US" w:eastAsia="en-US"/>
        </w:rPr>
        <w:t>to be used</w:t>
      </w:r>
      <w:r w:rsidR="00A30822">
        <w:rPr>
          <w:rFonts w:ascii="Times New Roman" w:eastAsiaTheme="minorHAnsi" w:hAnsi="Times New Roman"/>
          <w:szCs w:val="22"/>
          <w:lang w:val="en-US" w:eastAsia="en-US"/>
        </w:rPr>
        <w:t xml:space="preserve"> can </w:t>
      </w:r>
      <w:r w:rsidR="00F92B66">
        <w:rPr>
          <w:rFonts w:ascii="Times New Roman" w:eastAsiaTheme="minorHAnsi" w:hAnsi="Times New Roman"/>
          <w:szCs w:val="22"/>
          <w:lang w:val="en-US" w:eastAsia="en-US"/>
        </w:rPr>
        <w:t>be reassessed during</w:t>
      </w:r>
      <w:r w:rsidR="00F81CC0">
        <w:rPr>
          <w:rFonts w:ascii="Times New Roman" w:eastAsiaTheme="minorHAnsi" w:hAnsi="Times New Roman"/>
          <w:szCs w:val="22"/>
          <w:lang w:val="en-US" w:eastAsia="en-US"/>
        </w:rPr>
        <w:t xml:space="preserve"> </w:t>
      </w:r>
      <w:r w:rsidR="005056B3">
        <w:rPr>
          <w:rFonts w:ascii="Times New Roman" w:eastAsiaTheme="minorHAnsi" w:hAnsi="Times New Roman"/>
          <w:szCs w:val="22"/>
          <w:lang w:val="en-US" w:eastAsia="en-US"/>
        </w:rPr>
        <w:t xml:space="preserve">the implementation of the </w:t>
      </w:r>
      <w:r w:rsidR="00844BBE">
        <w:rPr>
          <w:rFonts w:ascii="Times New Roman" w:eastAsiaTheme="minorHAnsi" w:hAnsi="Times New Roman"/>
          <w:szCs w:val="22"/>
          <w:lang w:val="en-US" w:eastAsia="en-US"/>
        </w:rPr>
        <w:t>D-2 CCC M</w:t>
      </w:r>
      <w:r w:rsidR="005056B3">
        <w:rPr>
          <w:rFonts w:ascii="Times New Roman" w:eastAsiaTheme="minorHAnsi" w:hAnsi="Times New Roman"/>
          <w:szCs w:val="22"/>
          <w:lang w:val="en-US" w:eastAsia="en-US"/>
        </w:rPr>
        <w:t>ethodology</w:t>
      </w:r>
      <w:r w:rsidR="00F81CC0">
        <w:rPr>
          <w:rFonts w:ascii="Times New Roman" w:eastAsiaTheme="minorHAnsi" w:hAnsi="Times New Roman"/>
          <w:szCs w:val="22"/>
          <w:lang w:val="en-US" w:eastAsia="en-US"/>
        </w:rPr>
        <w:t>).</w:t>
      </w:r>
      <w:r w:rsidR="0059729D">
        <w:rPr>
          <w:rFonts w:ascii="Times New Roman" w:eastAsiaTheme="minorHAnsi" w:hAnsi="Times New Roman"/>
          <w:szCs w:val="22"/>
          <w:lang w:val="en-US" w:eastAsia="en-US"/>
        </w:rPr>
        <w:t xml:space="preserve"> The sensitivity shall be assessed</w:t>
      </w:r>
      <w:r w:rsidR="0059729D" w:rsidRPr="0059729D">
        <w:rPr>
          <w:rFonts w:ascii="Times New Roman" w:eastAsiaTheme="minorHAnsi" w:hAnsi="Times New Roman"/>
          <w:szCs w:val="22"/>
          <w:lang w:val="en-US" w:eastAsia="en-US"/>
        </w:rPr>
        <w:t xml:space="preserve"> </w:t>
      </w:r>
      <w:r w:rsidR="0059729D">
        <w:rPr>
          <w:rFonts w:ascii="Times New Roman" w:eastAsiaTheme="minorHAnsi" w:hAnsi="Times New Roman"/>
          <w:szCs w:val="22"/>
          <w:lang w:val="en-US" w:eastAsia="en-US"/>
        </w:rPr>
        <w:t>using the same</w:t>
      </w:r>
      <w:r w:rsidR="00C1770F">
        <w:rPr>
          <w:rFonts w:ascii="Times New Roman" w:eastAsiaTheme="minorHAnsi" w:hAnsi="Times New Roman"/>
          <w:szCs w:val="22"/>
          <w:lang w:val="en-US" w:eastAsia="en-US"/>
        </w:rPr>
        <w:t xml:space="preserve"> methodology for simulating </w:t>
      </w:r>
      <w:r w:rsidR="0059729D">
        <w:rPr>
          <w:rFonts w:ascii="Times New Roman" w:eastAsiaTheme="minorHAnsi" w:hAnsi="Times New Roman"/>
          <w:szCs w:val="22"/>
          <w:lang w:val="en-US" w:eastAsia="en-US"/>
        </w:rPr>
        <w:t>exchange</w:t>
      </w:r>
      <w:r w:rsidR="00C1770F">
        <w:rPr>
          <w:rFonts w:ascii="Times New Roman" w:eastAsiaTheme="minorHAnsi" w:hAnsi="Times New Roman"/>
          <w:szCs w:val="22"/>
          <w:lang w:val="en-US" w:eastAsia="en-US"/>
        </w:rPr>
        <w:t>s</w:t>
      </w:r>
      <w:r w:rsidR="0059729D">
        <w:rPr>
          <w:rFonts w:ascii="Times New Roman" w:eastAsiaTheme="minorHAnsi" w:hAnsi="Times New Roman"/>
          <w:szCs w:val="22"/>
          <w:lang w:val="en-US" w:eastAsia="en-US"/>
        </w:rPr>
        <w:t xml:space="preserve"> as the one used during the capacity calculation</w:t>
      </w:r>
      <w:r w:rsidR="00DD366F">
        <w:rPr>
          <w:rFonts w:ascii="Times New Roman" w:eastAsiaTheme="minorHAnsi" w:hAnsi="Times New Roman"/>
          <w:szCs w:val="22"/>
          <w:lang w:val="en-US" w:eastAsia="en-US"/>
        </w:rPr>
        <w:t xml:space="preserve"> process</w:t>
      </w:r>
      <w:r w:rsidR="0059729D">
        <w:rPr>
          <w:rFonts w:ascii="Times New Roman" w:eastAsiaTheme="minorHAnsi" w:hAnsi="Times New Roman"/>
          <w:szCs w:val="22"/>
          <w:lang w:val="en-US" w:eastAsia="en-US"/>
        </w:rPr>
        <w:t>.</w:t>
      </w:r>
    </w:p>
    <w:p w14:paraId="7A535B5E" w14:textId="77777777" w:rsidR="00A419F7" w:rsidRPr="00F92B66" w:rsidRDefault="00A419F7" w:rsidP="00F92B66">
      <w:pPr>
        <w:spacing w:after="120" w:line="259" w:lineRule="auto"/>
        <w:jc w:val="both"/>
        <w:rPr>
          <w:rFonts w:ascii="Times New Roman" w:hAnsi="Times New Roman"/>
          <w:lang w:val="en-GB"/>
        </w:rPr>
      </w:pPr>
    </w:p>
    <w:p w14:paraId="7A535B5F" w14:textId="77777777" w:rsidR="007D6BC4" w:rsidRDefault="001C25F5" w:rsidP="007D6BC4">
      <w:pPr>
        <w:pStyle w:val="Paragraphedeliste"/>
        <w:numPr>
          <w:ilvl w:val="0"/>
          <w:numId w:val="48"/>
        </w:numPr>
        <w:spacing w:after="120" w:line="259" w:lineRule="auto"/>
        <w:jc w:val="both"/>
        <w:rPr>
          <w:rFonts w:ascii="Times New Roman" w:hAnsi="Times New Roman"/>
          <w:lang w:val="en-GB"/>
        </w:rPr>
      </w:pPr>
      <w:r>
        <w:rPr>
          <w:rFonts w:ascii="Times New Roman" w:hAnsi="Times New Roman"/>
          <w:lang w:val="en-GB"/>
        </w:rPr>
        <w:t>W</w:t>
      </w:r>
      <w:r w:rsidR="007D6BC4" w:rsidRPr="007D6BC4">
        <w:rPr>
          <w:rFonts w:ascii="Times New Roman" w:hAnsi="Times New Roman"/>
          <w:lang w:val="en-GB"/>
        </w:rPr>
        <w:t>here the power flows on network elements</w:t>
      </w:r>
      <w:r>
        <w:rPr>
          <w:rFonts w:ascii="Times New Roman" w:hAnsi="Times New Roman"/>
          <w:lang w:val="en-GB"/>
        </w:rPr>
        <w:t xml:space="preserve"> monitored in the capacity calculation</w:t>
      </w:r>
      <w:r w:rsidR="007D6BC4" w:rsidRPr="007D6BC4">
        <w:rPr>
          <w:rFonts w:ascii="Times New Roman" w:hAnsi="Times New Roman"/>
          <w:lang w:val="en-GB"/>
        </w:rPr>
        <w:t xml:space="preserve"> are influenced by cross-zonal power exchanges in different capacity calculation regions, </w:t>
      </w:r>
      <w:r w:rsidR="003774CC">
        <w:rPr>
          <w:rFonts w:ascii="Times New Roman" w:hAnsi="Times New Roman"/>
          <w:lang w:val="en-GB"/>
        </w:rPr>
        <w:t>the TSOs</w:t>
      </w:r>
      <w:r w:rsidR="006C0D2C">
        <w:rPr>
          <w:rFonts w:ascii="Times New Roman" w:hAnsi="Times New Roman"/>
          <w:lang w:val="en-GB"/>
        </w:rPr>
        <w:t xml:space="preserve"> of the Italy North region</w:t>
      </w:r>
      <w:r w:rsidR="003774CC">
        <w:rPr>
          <w:rFonts w:ascii="Times New Roman" w:hAnsi="Times New Roman"/>
          <w:lang w:val="en-GB"/>
        </w:rPr>
        <w:t xml:space="preserve"> shall define </w:t>
      </w:r>
      <w:r w:rsidR="007D6BC4" w:rsidRPr="007D6BC4">
        <w:rPr>
          <w:rFonts w:ascii="Times New Roman" w:hAnsi="Times New Roman"/>
          <w:lang w:val="en-GB"/>
        </w:rPr>
        <w:t>the rules for sharing the power flow capabilities of network elements among different capacity calculation regions in order to accommodate these flows.</w:t>
      </w:r>
      <w:r w:rsidR="0055509E">
        <w:rPr>
          <w:rFonts w:ascii="Times New Roman" w:hAnsi="Times New Roman"/>
          <w:lang w:val="en-GB"/>
        </w:rPr>
        <w:t xml:space="preserve"> T</w:t>
      </w:r>
      <w:r w:rsidR="0055509E" w:rsidRPr="0055509E">
        <w:rPr>
          <w:rFonts w:ascii="Times New Roman" w:hAnsi="Times New Roman"/>
          <w:lang w:val="en-GB"/>
        </w:rPr>
        <w:t>he</w:t>
      </w:r>
      <w:r w:rsidR="0055509E">
        <w:rPr>
          <w:rFonts w:ascii="Times New Roman" w:hAnsi="Times New Roman"/>
          <w:lang w:val="en-GB"/>
        </w:rPr>
        <w:t>se</w:t>
      </w:r>
      <w:r w:rsidR="0055509E" w:rsidRPr="0055509E">
        <w:rPr>
          <w:rFonts w:ascii="Times New Roman" w:hAnsi="Times New Roman"/>
          <w:lang w:val="en-GB"/>
        </w:rPr>
        <w:t xml:space="preserve"> </w:t>
      </w:r>
      <w:r w:rsidR="0055509E">
        <w:rPr>
          <w:rFonts w:ascii="Times New Roman" w:hAnsi="Times New Roman"/>
          <w:lang w:val="en-GB"/>
        </w:rPr>
        <w:t>rules</w:t>
      </w:r>
      <w:r w:rsidR="0055509E" w:rsidRPr="0055509E">
        <w:rPr>
          <w:rFonts w:ascii="Times New Roman" w:hAnsi="Times New Roman"/>
          <w:lang w:val="en-GB"/>
        </w:rPr>
        <w:t xml:space="preserve"> will be detailed in cooperation with </w:t>
      </w:r>
      <w:r w:rsidR="0055509E">
        <w:rPr>
          <w:rFonts w:ascii="Times New Roman" w:hAnsi="Times New Roman"/>
          <w:lang w:val="en-GB"/>
        </w:rPr>
        <w:t xml:space="preserve">the </w:t>
      </w:r>
      <w:r w:rsidR="0055509E" w:rsidRPr="0055509E">
        <w:rPr>
          <w:rFonts w:ascii="Times New Roman" w:hAnsi="Times New Roman"/>
          <w:lang w:val="en-GB"/>
        </w:rPr>
        <w:t xml:space="preserve">other </w:t>
      </w:r>
      <w:r w:rsidR="0055509E">
        <w:rPr>
          <w:rFonts w:ascii="Times New Roman" w:hAnsi="Times New Roman"/>
          <w:lang w:val="en-GB"/>
        </w:rPr>
        <w:t>capacity calculation r</w:t>
      </w:r>
      <w:r w:rsidR="0055509E" w:rsidRPr="0055509E">
        <w:rPr>
          <w:rFonts w:ascii="Times New Roman" w:hAnsi="Times New Roman"/>
          <w:lang w:val="en-GB"/>
        </w:rPr>
        <w:t>egions during the implementation phase</w:t>
      </w:r>
      <w:r w:rsidR="0055509E">
        <w:rPr>
          <w:rFonts w:ascii="Times New Roman" w:hAnsi="Times New Roman"/>
          <w:lang w:val="en-GB"/>
        </w:rPr>
        <w:t xml:space="preserve"> of this methodology.</w:t>
      </w:r>
    </w:p>
    <w:p w14:paraId="7A535B60" w14:textId="77777777" w:rsidR="007D6BC4" w:rsidRDefault="007D6BC4" w:rsidP="007D6BC4">
      <w:pPr>
        <w:pStyle w:val="Paragraphedeliste"/>
        <w:spacing w:after="120" w:line="259" w:lineRule="auto"/>
        <w:jc w:val="both"/>
        <w:rPr>
          <w:rFonts w:ascii="Times New Roman" w:hAnsi="Times New Roman"/>
          <w:lang w:val="en-GB"/>
        </w:rPr>
      </w:pPr>
    </w:p>
    <w:p w14:paraId="7A535B61" w14:textId="77777777" w:rsidR="007D6BC4" w:rsidRPr="007D6BC4" w:rsidRDefault="004508C4" w:rsidP="007D6BC4">
      <w:pPr>
        <w:pStyle w:val="Paragraphedeliste"/>
        <w:numPr>
          <w:ilvl w:val="0"/>
          <w:numId w:val="48"/>
        </w:numPr>
        <w:spacing w:after="120" w:line="259" w:lineRule="auto"/>
        <w:jc w:val="both"/>
        <w:rPr>
          <w:rFonts w:ascii="Times New Roman" w:hAnsi="Times New Roman"/>
          <w:lang w:val="en-GB"/>
        </w:rPr>
      </w:pPr>
      <w:r w:rsidRPr="007D6BC4">
        <w:rPr>
          <w:rFonts w:ascii="Times New Roman" w:hAnsi="Times New Roman"/>
          <w:lang w:val="en-GB"/>
        </w:rPr>
        <w:t>The TSOs of Italy North Region shall review the list of critical network elements to be monitored in</w:t>
      </w:r>
      <w:r>
        <w:rPr>
          <w:rFonts w:ascii="Times New Roman" w:hAnsi="Times New Roman"/>
          <w:lang w:val="en-GB"/>
        </w:rPr>
        <w:t xml:space="preserve"> </w:t>
      </w:r>
      <w:r w:rsidRPr="007D6BC4">
        <w:rPr>
          <w:rFonts w:ascii="Times New Roman" w:hAnsi="Times New Roman"/>
          <w:lang w:val="en-GB"/>
        </w:rPr>
        <w:t>the capacity calculation process at least once a year.</w:t>
      </w:r>
    </w:p>
    <w:p w14:paraId="7A535B62" w14:textId="77777777" w:rsidR="007D6BC4" w:rsidRDefault="007D6BC4" w:rsidP="007D6BC4">
      <w:pPr>
        <w:pStyle w:val="Paragraphedeliste"/>
        <w:spacing w:after="120" w:line="259" w:lineRule="auto"/>
        <w:jc w:val="both"/>
        <w:rPr>
          <w:rFonts w:ascii="Times New Roman" w:hAnsi="Times New Roman"/>
          <w:lang w:val="en-GB"/>
        </w:rPr>
      </w:pPr>
    </w:p>
    <w:p w14:paraId="7A535B63" w14:textId="77777777" w:rsidR="007D6BC4" w:rsidRDefault="004508C4" w:rsidP="007D6BC4">
      <w:pPr>
        <w:pStyle w:val="Paragraphedeliste"/>
        <w:numPr>
          <w:ilvl w:val="0"/>
          <w:numId w:val="48"/>
        </w:numPr>
        <w:spacing w:after="120" w:line="259" w:lineRule="auto"/>
        <w:jc w:val="both"/>
        <w:rPr>
          <w:rFonts w:ascii="Times New Roman" w:hAnsi="Times New Roman"/>
          <w:lang w:val="en-GB"/>
        </w:rPr>
      </w:pPr>
      <w:r w:rsidRPr="007D6BC4">
        <w:rPr>
          <w:rFonts w:ascii="Times New Roman" w:hAnsi="Times New Roman"/>
          <w:lang w:val="en-GB"/>
        </w:rPr>
        <w:t>The coordinated capacity calculator shall use the critical network elements in accordance with</w:t>
      </w:r>
      <w:r>
        <w:rPr>
          <w:rFonts w:ascii="Times New Roman" w:hAnsi="Times New Roman"/>
          <w:lang w:val="en-GB"/>
        </w:rPr>
        <w:t xml:space="preserve"> </w:t>
      </w:r>
      <w:r w:rsidRPr="007D6BC4">
        <w:rPr>
          <w:rFonts w:ascii="Times New Roman" w:hAnsi="Times New Roman"/>
          <w:lang w:val="en-GB"/>
        </w:rPr>
        <w:t>Article 7.3 for the capacity calculation performed within Italy North Region in order to determine th</w:t>
      </w:r>
      <w:r>
        <w:rPr>
          <w:rFonts w:ascii="Times New Roman" w:hAnsi="Times New Roman"/>
          <w:lang w:val="en-GB"/>
        </w:rPr>
        <w:t xml:space="preserve">e </w:t>
      </w:r>
      <w:r w:rsidRPr="007D6BC4">
        <w:rPr>
          <w:rFonts w:ascii="Times New Roman" w:hAnsi="Times New Roman"/>
          <w:lang w:val="en-GB"/>
        </w:rPr>
        <w:t>maximum net transmission capacity for each bidding-zone border.</w:t>
      </w:r>
    </w:p>
    <w:p w14:paraId="7A535B64" w14:textId="77777777" w:rsidR="00346EC0" w:rsidRPr="00225680" w:rsidRDefault="00346EC0" w:rsidP="001141C0">
      <w:pPr>
        <w:pStyle w:val="Paragraphedeliste"/>
        <w:rPr>
          <w:rFonts w:ascii="Times New Roman" w:hAnsi="Times New Roman"/>
          <w:lang w:val="en-GB"/>
        </w:rPr>
      </w:pPr>
    </w:p>
    <w:p w14:paraId="7A535B65" w14:textId="77777777" w:rsidR="00346EC0" w:rsidRPr="007D6BC4" w:rsidRDefault="00857B8D" w:rsidP="007D6BC4">
      <w:pPr>
        <w:pStyle w:val="Paragraphedeliste"/>
        <w:numPr>
          <w:ilvl w:val="0"/>
          <w:numId w:val="48"/>
        </w:numPr>
        <w:spacing w:after="120" w:line="259" w:lineRule="auto"/>
        <w:jc w:val="both"/>
        <w:rPr>
          <w:rFonts w:ascii="Times New Roman" w:hAnsi="Times New Roman"/>
          <w:lang w:val="en-GB"/>
        </w:rPr>
      </w:pPr>
      <w:r>
        <w:rPr>
          <w:rFonts w:ascii="Times New Roman" w:hAnsi="Times New Roman"/>
          <w:lang w:val="en-GB"/>
        </w:rPr>
        <w:t xml:space="preserve">The </w:t>
      </w:r>
      <w:r w:rsidRPr="00857B8D">
        <w:rPr>
          <w:rFonts w:ascii="Times New Roman" w:hAnsi="Times New Roman"/>
          <w:lang w:val="en-GB"/>
        </w:rPr>
        <w:t>Italian operational constraints related to the control of voltage profiles and dynamic stability of Italian system</w:t>
      </w:r>
      <w:r>
        <w:rPr>
          <w:rFonts w:ascii="Times New Roman" w:hAnsi="Times New Roman"/>
          <w:lang w:val="en-GB"/>
        </w:rPr>
        <w:t>, which</w:t>
      </w:r>
      <w:r w:rsidRPr="00857B8D">
        <w:rPr>
          <w:rFonts w:ascii="Times New Roman" w:hAnsi="Times New Roman"/>
          <w:lang w:val="en-GB"/>
        </w:rPr>
        <w:t xml:space="preserve"> are needed to maintain the transmission system within operational security limits </w:t>
      </w:r>
      <w:r>
        <w:rPr>
          <w:rFonts w:ascii="Times New Roman" w:hAnsi="Times New Roman"/>
          <w:lang w:val="en-GB"/>
        </w:rPr>
        <w:t>but</w:t>
      </w:r>
      <w:r w:rsidRPr="00857B8D">
        <w:rPr>
          <w:rFonts w:ascii="Times New Roman" w:hAnsi="Times New Roman"/>
          <w:lang w:val="en-GB"/>
        </w:rPr>
        <w:t xml:space="preserve"> cannot be transformed efficiently into maximum flows on critical network elements</w:t>
      </w:r>
      <w:r>
        <w:rPr>
          <w:rFonts w:ascii="Times New Roman" w:hAnsi="Times New Roman"/>
          <w:lang w:val="en-GB"/>
        </w:rPr>
        <w:t>, shall be expressed via allocation constraints.</w:t>
      </w:r>
    </w:p>
    <w:p w14:paraId="7A535B66" w14:textId="77777777" w:rsidR="007D6BC4" w:rsidRPr="007D6BC4" w:rsidRDefault="007D6BC4" w:rsidP="007D6BC4">
      <w:pPr>
        <w:pStyle w:val="Paragraphedeliste"/>
        <w:rPr>
          <w:rFonts w:ascii="Times New Roman" w:hAnsi="Times New Roman"/>
          <w:lang w:val="en-GB"/>
        </w:rPr>
      </w:pPr>
    </w:p>
    <w:p w14:paraId="7A535B67" w14:textId="77777777" w:rsidR="007D6BC4" w:rsidRPr="004508C4" w:rsidRDefault="007D6BC4" w:rsidP="007D6BC4">
      <w:pPr>
        <w:pStyle w:val="Paragraphedeliste"/>
        <w:spacing w:after="120" w:line="259" w:lineRule="auto"/>
        <w:jc w:val="both"/>
        <w:rPr>
          <w:rFonts w:ascii="Times New Roman" w:hAnsi="Times New Roman"/>
          <w:lang w:val="en-GB"/>
        </w:rPr>
      </w:pPr>
    </w:p>
    <w:p w14:paraId="7A535B68" w14:textId="77777777" w:rsidR="00600DCF" w:rsidRPr="00CE1516" w:rsidRDefault="004C3E21" w:rsidP="00600DCF">
      <w:pPr>
        <w:spacing w:after="120" w:line="260" w:lineRule="exact"/>
        <w:jc w:val="center"/>
        <w:outlineLvl w:val="1"/>
        <w:rPr>
          <w:rFonts w:ascii="Times New Roman" w:hAnsi="Times New Roman" w:cs="Arial"/>
          <w:b/>
          <w:color w:val="23236E"/>
          <w:sz w:val="24"/>
          <w:lang w:val="en-GB" w:eastAsia="en-US"/>
        </w:rPr>
      </w:pPr>
      <w:bookmarkStart w:id="35" w:name="_Toc475469392"/>
      <w:bookmarkStart w:id="36" w:name="_Toc496628116"/>
      <w:r w:rsidRPr="00CE1516">
        <w:rPr>
          <w:rFonts w:ascii="Times New Roman" w:hAnsi="Times New Roman" w:cs="Arial"/>
          <w:b/>
          <w:color w:val="23236E"/>
          <w:sz w:val="24"/>
          <w:lang w:val="en-GB" w:eastAsia="en-US"/>
        </w:rPr>
        <w:lastRenderedPageBreak/>
        <w:t>Article 7</w:t>
      </w:r>
      <w:r w:rsidR="00600DCF" w:rsidRPr="00CE1516">
        <w:rPr>
          <w:rFonts w:ascii="Times New Roman" w:hAnsi="Times New Roman" w:cs="Arial"/>
          <w:b/>
          <w:color w:val="23236E"/>
          <w:sz w:val="24"/>
          <w:lang w:val="en-GB" w:eastAsia="en-US"/>
        </w:rPr>
        <w:br/>
        <w:t>Generation shift keys methodology</w:t>
      </w:r>
      <w:bookmarkEnd w:id="35"/>
      <w:bookmarkEnd w:id="36"/>
    </w:p>
    <w:p w14:paraId="5BBC9814" w14:textId="77777777" w:rsidR="002C6FDA" w:rsidRDefault="002C6FDA" w:rsidP="002C6FDA">
      <w:pPr>
        <w:pStyle w:val="Paragraphedeliste"/>
        <w:numPr>
          <w:ilvl w:val="0"/>
          <w:numId w:val="26"/>
        </w:numPr>
        <w:spacing w:after="120" w:line="259" w:lineRule="auto"/>
        <w:jc w:val="both"/>
        <w:rPr>
          <w:rFonts w:ascii="Times New Roman" w:hAnsi="Times New Roman"/>
          <w:lang w:val="en-GB"/>
        </w:rPr>
      </w:pPr>
      <w:r w:rsidRPr="00CE1516">
        <w:rPr>
          <w:rFonts w:ascii="Times New Roman" w:hAnsi="Times New Roman"/>
          <w:lang w:val="en-GB"/>
        </w:rPr>
        <w:t xml:space="preserve">The TSOs of </w:t>
      </w:r>
      <w:r>
        <w:rPr>
          <w:rFonts w:ascii="Times New Roman" w:hAnsi="Times New Roman"/>
          <w:lang w:val="en-GB"/>
        </w:rPr>
        <w:t xml:space="preserve">Italy North </w:t>
      </w:r>
      <w:r w:rsidRPr="00CE1516">
        <w:rPr>
          <w:rFonts w:ascii="Times New Roman" w:hAnsi="Times New Roman"/>
          <w:lang w:val="en-GB"/>
        </w:rPr>
        <w:t>Region shall define the generation shift keys in accordance with Article 24 of CACM Regulation.</w:t>
      </w:r>
    </w:p>
    <w:p w14:paraId="6D2321BC" w14:textId="77777777" w:rsidR="002C6FDA" w:rsidRPr="00703724" w:rsidRDefault="002C6FDA" w:rsidP="002C6FDA">
      <w:pPr>
        <w:pStyle w:val="Paragraphedeliste"/>
        <w:spacing w:after="120" w:line="259" w:lineRule="auto"/>
        <w:jc w:val="both"/>
        <w:rPr>
          <w:rFonts w:ascii="Times New Roman" w:hAnsi="Times New Roman"/>
          <w:lang w:val="en-GB"/>
        </w:rPr>
      </w:pPr>
    </w:p>
    <w:p w14:paraId="77D22DC4" w14:textId="77777777" w:rsidR="002C6FDA" w:rsidRPr="00F77A49" w:rsidRDefault="002C6FDA" w:rsidP="002C6FDA">
      <w:pPr>
        <w:pStyle w:val="Paragraphedeliste"/>
        <w:numPr>
          <w:ilvl w:val="0"/>
          <w:numId w:val="26"/>
        </w:numPr>
        <w:spacing w:after="120" w:line="259" w:lineRule="auto"/>
        <w:jc w:val="both"/>
        <w:rPr>
          <w:rFonts w:ascii="Times New Roman" w:hAnsi="Times New Roman"/>
          <w:lang w:val="en-GB"/>
        </w:rPr>
      </w:pPr>
      <w:r w:rsidRPr="00F77A49">
        <w:rPr>
          <w:rFonts w:ascii="Times New Roman" w:hAnsi="Times New Roman"/>
          <w:lang w:val="en-GB"/>
        </w:rPr>
        <w:t>RTE shall define generation shift keys proportional to the base case scen</w:t>
      </w:r>
      <w:r>
        <w:rPr>
          <w:rFonts w:ascii="Times New Roman" w:hAnsi="Times New Roman"/>
          <w:lang w:val="en-GB"/>
        </w:rPr>
        <w:t xml:space="preserve">arios for each market time unit </w:t>
      </w:r>
      <w:r w:rsidRPr="00F77A49">
        <w:rPr>
          <w:rFonts w:ascii="Times New Roman" w:hAnsi="Times New Roman"/>
          <w:lang w:val="en-GB"/>
        </w:rPr>
        <w:t>with all expected generating units in the IGM, reflecting RTE’s best forecast of market behaviour.</w:t>
      </w:r>
    </w:p>
    <w:p w14:paraId="5532BDCD" w14:textId="77777777" w:rsidR="002C6FDA" w:rsidRDefault="002C6FDA" w:rsidP="002C6FDA">
      <w:pPr>
        <w:pStyle w:val="Paragraphedeliste"/>
        <w:rPr>
          <w:rFonts w:ascii="Times New Roman" w:hAnsi="Times New Roman"/>
          <w:lang w:val="en-GB"/>
        </w:rPr>
      </w:pPr>
    </w:p>
    <w:p w14:paraId="16A83638" w14:textId="77777777" w:rsidR="002C6FDA" w:rsidRPr="00770FF4" w:rsidRDefault="002C6FDA" w:rsidP="002C6FDA">
      <w:pPr>
        <w:pStyle w:val="Paragraphedeliste"/>
        <w:numPr>
          <w:ilvl w:val="0"/>
          <w:numId w:val="26"/>
        </w:numPr>
        <w:rPr>
          <w:rFonts w:ascii="Times New Roman" w:hAnsi="Times New Roman"/>
          <w:lang w:val="en-GB"/>
        </w:rPr>
      </w:pPr>
      <w:r w:rsidRPr="00770FF4">
        <w:rPr>
          <w:rFonts w:ascii="Times New Roman" w:hAnsi="Times New Roman"/>
          <w:lang w:val="en-GB"/>
        </w:rPr>
        <w:t xml:space="preserve">TERNA shall define generation shift keys </w:t>
      </w:r>
      <w:r>
        <w:rPr>
          <w:rFonts w:ascii="Times New Roman" w:hAnsi="Times New Roman"/>
          <w:lang w:val="en-GB"/>
        </w:rPr>
        <w:t xml:space="preserve">based on </w:t>
      </w:r>
      <w:r w:rsidRPr="00770FF4">
        <w:rPr>
          <w:rFonts w:ascii="Times New Roman" w:hAnsi="Times New Roman"/>
          <w:lang w:val="en-GB"/>
        </w:rPr>
        <w:t xml:space="preserve">the base case scenarios for each market time unit with all expected generating </w:t>
      </w:r>
      <w:r>
        <w:rPr>
          <w:rFonts w:ascii="Times New Roman" w:hAnsi="Times New Roman"/>
          <w:lang w:val="en-GB"/>
        </w:rPr>
        <w:t>units in the IGM, reflecting TERNA</w:t>
      </w:r>
      <w:r w:rsidRPr="00770FF4">
        <w:rPr>
          <w:rFonts w:ascii="Times New Roman" w:hAnsi="Times New Roman"/>
          <w:lang w:val="en-GB"/>
        </w:rPr>
        <w:t>’s best forecast of market behaviour.</w:t>
      </w:r>
    </w:p>
    <w:p w14:paraId="4E34C687" w14:textId="77777777" w:rsidR="002C6FDA" w:rsidRPr="000B2DCF" w:rsidRDefault="002C6FDA" w:rsidP="002C6FDA">
      <w:pPr>
        <w:pStyle w:val="Paragraphedeliste"/>
        <w:rPr>
          <w:rFonts w:ascii="Times New Roman" w:hAnsi="Times New Roman" w:cs="Arial"/>
          <w:b/>
          <w:sz w:val="24"/>
          <w:lang w:val="en-GB" w:eastAsia="en-US"/>
        </w:rPr>
      </w:pPr>
    </w:p>
    <w:p w14:paraId="59B10E1F" w14:textId="77777777" w:rsidR="002C6FDA" w:rsidRPr="0038282C" w:rsidRDefault="002C6FDA" w:rsidP="002C6FDA">
      <w:pPr>
        <w:pStyle w:val="Paragraphedeliste"/>
        <w:numPr>
          <w:ilvl w:val="0"/>
          <w:numId w:val="26"/>
        </w:numPr>
        <w:spacing w:after="120" w:line="259" w:lineRule="auto"/>
        <w:jc w:val="both"/>
        <w:rPr>
          <w:rFonts w:ascii="Times New Roman" w:hAnsi="Times New Roman"/>
          <w:lang w:val="en-GB"/>
        </w:rPr>
      </w:pPr>
      <w:proofErr w:type="spellStart"/>
      <w:r w:rsidRPr="0038282C">
        <w:rPr>
          <w:rFonts w:ascii="Times New Roman" w:hAnsi="Times New Roman"/>
          <w:lang w:val="en-GB"/>
        </w:rPr>
        <w:t>Swissgrid</w:t>
      </w:r>
      <w:proofErr w:type="spellEnd"/>
      <w:r w:rsidRPr="0038282C">
        <w:rPr>
          <w:rFonts w:ascii="Times New Roman" w:hAnsi="Times New Roman"/>
          <w:lang w:val="en-GB"/>
        </w:rPr>
        <w:t xml:space="preserve"> </w:t>
      </w:r>
      <w:r w:rsidRPr="00770FF4">
        <w:rPr>
          <w:rFonts w:ascii="Times New Roman" w:hAnsi="Times New Roman"/>
          <w:lang w:val="en-GB"/>
        </w:rPr>
        <w:t xml:space="preserve">shall define generation shift keys </w:t>
      </w:r>
      <w:r>
        <w:rPr>
          <w:rFonts w:ascii="Times New Roman" w:hAnsi="Times New Roman"/>
          <w:lang w:val="en-GB"/>
        </w:rPr>
        <w:t xml:space="preserve">based on </w:t>
      </w:r>
      <w:r w:rsidRPr="00770FF4">
        <w:rPr>
          <w:rFonts w:ascii="Times New Roman" w:hAnsi="Times New Roman"/>
          <w:lang w:val="en-GB"/>
        </w:rPr>
        <w:t xml:space="preserve">the base case scenarios for each market time unit with all expected generating </w:t>
      </w:r>
      <w:r>
        <w:rPr>
          <w:rFonts w:ascii="Times New Roman" w:hAnsi="Times New Roman"/>
          <w:lang w:val="en-GB"/>
        </w:rPr>
        <w:t xml:space="preserve">units in the IGM, reflecting </w:t>
      </w:r>
      <w:proofErr w:type="spellStart"/>
      <w:r>
        <w:rPr>
          <w:rFonts w:ascii="Times New Roman" w:hAnsi="Times New Roman"/>
          <w:lang w:val="en-GB"/>
        </w:rPr>
        <w:t>Swissgrid</w:t>
      </w:r>
      <w:r w:rsidRPr="00770FF4">
        <w:rPr>
          <w:rFonts w:ascii="Times New Roman" w:hAnsi="Times New Roman"/>
          <w:lang w:val="en-GB"/>
        </w:rPr>
        <w:t>’s</w:t>
      </w:r>
      <w:proofErr w:type="spellEnd"/>
      <w:r w:rsidRPr="00770FF4">
        <w:rPr>
          <w:rFonts w:ascii="Times New Roman" w:hAnsi="Times New Roman"/>
          <w:lang w:val="en-GB"/>
        </w:rPr>
        <w:t xml:space="preserve"> best forecast of market behaviour.</w:t>
      </w:r>
    </w:p>
    <w:p w14:paraId="7877965F" w14:textId="77777777" w:rsidR="002C6FDA" w:rsidRPr="0038282C" w:rsidRDefault="002C6FDA" w:rsidP="002C6FDA">
      <w:pPr>
        <w:pStyle w:val="Paragraphedeliste"/>
        <w:spacing w:after="120" w:line="259" w:lineRule="auto"/>
        <w:jc w:val="both"/>
        <w:rPr>
          <w:rFonts w:ascii="Times New Roman" w:hAnsi="Times New Roman" w:cs="Arial"/>
          <w:b/>
          <w:sz w:val="24"/>
          <w:lang w:val="en-GB" w:eastAsia="en-US"/>
        </w:rPr>
      </w:pPr>
    </w:p>
    <w:p w14:paraId="1ED0B5EC" w14:textId="77777777" w:rsidR="002C6FDA" w:rsidRPr="000B2DCF" w:rsidRDefault="002C6FDA" w:rsidP="002C6FDA">
      <w:pPr>
        <w:pStyle w:val="Paragraphedeliste"/>
        <w:numPr>
          <w:ilvl w:val="0"/>
          <w:numId w:val="26"/>
        </w:numPr>
        <w:spacing w:after="120" w:line="259" w:lineRule="auto"/>
        <w:jc w:val="both"/>
        <w:rPr>
          <w:rFonts w:ascii="Times New Roman" w:hAnsi="Times New Roman" w:cs="Arial"/>
          <w:b/>
          <w:sz w:val="24"/>
          <w:lang w:val="en-GB" w:eastAsia="en-US"/>
        </w:rPr>
      </w:pPr>
      <w:r>
        <w:rPr>
          <w:rFonts w:ascii="Times New Roman" w:hAnsi="Times New Roman"/>
          <w:lang w:val="en-GB"/>
        </w:rPr>
        <w:t>ELES</w:t>
      </w:r>
      <w:r w:rsidRPr="000B2DCF">
        <w:rPr>
          <w:rFonts w:ascii="Times New Roman" w:hAnsi="Times New Roman"/>
          <w:lang w:val="en-GB"/>
        </w:rPr>
        <w:t xml:space="preserve"> </w:t>
      </w:r>
      <w:r w:rsidRPr="00770FF4">
        <w:rPr>
          <w:rFonts w:ascii="Times New Roman" w:hAnsi="Times New Roman"/>
          <w:lang w:val="en-GB"/>
        </w:rPr>
        <w:t xml:space="preserve">shall define generation shift keys </w:t>
      </w:r>
      <w:r>
        <w:rPr>
          <w:rFonts w:ascii="Times New Roman" w:hAnsi="Times New Roman"/>
          <w:lang w:val="en-GB"/>
        </w:rPr>
        <w:t xml:space="preserve">based on </w:t>
      </w:r>
      <w:r w:rsidRPr="00770FF4">
        <w:rPr>
          <w:rFonts w:ascii="Times New Roman" w:hAnsi="Times New Roman"/>
          <w:lang w:val="en-GB"/>
        </w:rPr>
        <w:t xml:space="preserve">the base case scenarios for each market time unit with all expected generating </w:t>
      </w:r>
      <w:r>
        <w:rPr>
          <w:rFonts w:ascii="Times New Roman" w:hAnsi="Times New Roman"/>
          <w:lang w:val="en-GB"/>
        </w:rPr>
        <w:t>units and selected loads in the IGM, reflecting ELES</w:t>
      </w:r>
      <w:r w:rsidRPr="00770FF4">
        <w:rPr>
          <w:rFonts w:ascii="Times New Roman" w:hAnsi="Times New Roman"/>
          <w:lang w:val="en-GB"/>
        </w:rPr>
        <w:t>’s best forecast of market behaviour.</w:t>
      </w:r>
    </w:p>
    <w:p w14:paraId="47DFD881" w14:textId="77777777" w:rsidR="002C6FDA" w:rsidRPr="000B2DCF" w:rsidRDefault="002C6FDA" w:rsidP="002C6FDA">
      <w:pPr>
        <w:pStyle w:val="Paragraphedeliste"/>
        <w:rPr>
          <w:rFonts w:ascii="Times New Roman" w:hAnsi="Times New Roman" w:cs="Arial"/>
          <w:b/>
          <w:sz w:val="24"/>
          <w:lang w:val="en-GB" w:eastAsia="en-US"/>
        </w:rPr>
      </w:pPr>
    </w:p>
    <w:p w14:paraId="7181A86C" w14:textId="64FBAEE1" w:rsidR="002C6FDA" w:rsidRDefault="002C6FDA" w:rsidP="002C6FDA">
      <w:pPr>
        <w:pStyle w:val="Paragraphedeliste"/>
        <w:numPr>
          <w:ilvl w:val="0"/>
          <w:numId w:val="26"/>
        </w:numPr>
        <w:spacing w:after="120" w:line="259" w:lineRule="auto"/>
        <w:jc w:val="both"/>
        <w:rPr>
          <w:rFonts w:ascii="Times New Roman" w:hAnsi="Times New Roman"/>
          <w:lang w:val="en-GB"/>
        </w:rPr>
      </w:pPr>
      <w:r>
        <w:rPr>
          <w:rFonts w:ascii="Times New Roman" w:hAnsi="Times New Roman"/>
          <w:lang w:val="en-GB"/>
        </w:rPr>
        <w:t>APG</w:t>
      </w:r>
      <w:r w:rsidRPr="000B2DCF">
        <w:rPr>
          <w:rFonts w:ascii="Times New Roman" w:hAnsi="Times New Roman"/>
          <w:lang w:val="en-GB"/>
        </w:rPr>
        <w:t xml:space="preserve"> </w:t>
      </w:r>
      <w:r w:rsidRPr="00770FF4">
        <w:rPr>
          <w:rFonts w:ascii="Times New Roman" w:hAnsi="Times New Roman"/>
          <w:lang w:val="en-GB"/>
        </w:rPr>
        <w:t xml:space="preserve">shall define generation shift keys </w:t>
      </w:r>
      <w:r>
        <w:rPr>
          <w:rFonts w:ascii="Times New Roman" w:hAnsi="Times New Roman"/>
          <w:lang w:val="en-GB"/>
        </w:rPr>
        <w:t xml:space="preserve">based on </w:t>
      </w:r>
      <w:r w:rsidRPr="00770FF4">
        <w:rPr>
          <w:rFonts w:ascii="Times New Roman" w:hAnsi="Times New Roman"/>
          <w:lang w:val="en-GB"/>
        </w:rPr>
        <w:t xml:space="preserve">the base case scenarios for each market time unit with all expected generating </w:t>
      </w:r>
      <w:r>
        <w:rPr>
          <w:rFonts w:ascii="Times New Roman" w:hAnsi="Times New Roman"/>
          <w:lang w:val="en-GB"/>
        </w:rPr>
        <w:t>units in the IGM, reflecting APG</w:t>
      </w:r>
      <w:r w:rsidRPr="00770FF4">
        <w:rPr>
          <w:rFonts w:ascii="Times New Roman" w:hAnsi="Times New Roman"/>
          <w:lang w:val="en-GB"/>
        </w:rPr>
        <w:t>’s best forecast of market behaviour.</w:t>
      </w:r>
    </w:p>
    <w:p w14:paraId="50052928" w14:textId="77777777" w:rsidR="002C6FDA" w:rsidRPr="002C6FDA" w:rsidRDefault="002C6FDA" w:rsidP="002C6FDA">
      <w:pPr>
        <w:pStyle w:val="Paragraphedeliste"/>
        <w:rPr>
          <w:rFonts w:ascii="Times New Roman" w:hAnsi="Times New Roman"/>
          <w:lang w:val="en-GB"/>
        </w:rPr>
      </w:pPr>
    </w:p>
    <w:p w14:paraId="2670ED0B" w14:textId="404CA8D3" w:rsidR="002C6FDA" w:rsidRDefault="002C6FDA" w:rsidP="00E567BB">
      <w:pPr>
        <w:pStyle w:val="Paragraphedeliste"/>
        <w:numPr>
          <w:ilvl w:val="0"/>
          <w:numId w:val="26"/>
        </w:numPr>
        <w:spacing w:after="120" w:line="259" w:lineRule="auto"/>
        <w:jc w:val="both"/>
        <w:rPr>
          <w:rFonts w:ascii="Times New Roman" w:hAnsi="Times New Roman"/>
          <w:lang w:val="en-GB"/>
        </w:rPr>
      </w:pPr>
      <w:r>
        <w:rPr>
          <w:rFonts w:ascii="Times New Roman" w:hAnsi="Times New Roman"/>
          <w:lang w:val="en-GB"/>
        </w:rPr>
        <w:t xml:space="preserve">The </w:t>
      </w:r>
      <w:r w:rsidR="00766BF1">
        <w:rPr>
          <w:rFonts w:ascii="Times New Roman" w:hAnsi="Times New Roman"/>
          <w:lang w:val="en-GB"/>
        </w:rPr>
        <w:t xml:space="preserve">TSOs of Italy North </w:t>
      </w:r>
      <w:r w:rsidR="00766BF1" w:rsidRPr="00CE1516">
        <w:rPr>
          <w:rFonts w:ascii="Times New Roman" w:hAnsi="Times New Roman"/>
          <w:lang w:val="en-GB"/>
        </w:rPr>
        <w:t>Region</w:t>
      </w:r>
      <w:r w:rsidR="00766BF1">
        <w:rPr>
          <w:rFonts w:ascii="Times New Roman" w:hAnsi="Times New Roman"/>
          <w:lang w:val="en-GB"/>
        </w:rPr>
        <w:t xml:space="preserve"> </w:t>
      </w:r>
      <w:r w:rsidR="00E567BB">
        <w:rPr>
          <w:rFonts w:ascii="Times New Roman" w:hAnsi="Times New Roman"/>
          <w:lang w:val="en-GB"/>
        </w:rPr>
        <w:t>have the possibility to change the type of g</w:t>
      </w:r>
      <w:r w:rsidR="00E567BB" w:rsidRPr="00E567BB">
        <w:rPr>
          <w:rFonts w:ascii="Times New Roman" w:hAnsi="Times New Roman"/>
          <w:lang w:val="en-GB"/>
        </w:rPr>
        <w:t>eneration shift keys</w:t>
      </w:r>
      <w:r w:rsidR="004C7A06">
        <w:rPr>
          <w:rFonts w:ascii="Times New Roman" w:hAnsi="Times New Roman"/>
          <w:lang w:val="en-GB"/>
        </w:rPr>
        <w:t>.</w:t>
      </w:r>
    </w:p>
    <w:p w14:paraId="7A535B70" w14:textId="77777777" w:rsidR="00600DCF" w:rsidRPr="00600DCF" w:rsidRDefault="00600DCF" w:rsidP="00600DCF">
      <w:pPr>
        <w:pStyle w:val="Paragraphedeliste"/>
        <w:rPr>
          <w:rFonts w:ascii="Times New Roman" w:hAnsi="Times New Roman" w:cs="Arial"/>
          <w:b/>
          <w:color w:val="00B050"/>
          <w:sz w:val="24"/>
          <w:lang w:val="en-GB" w:eastAsia="en-US"/>
        </w:rPr>
      </w:pPr>
    </w:p>
    <w:p w14:paraId="7A535B71" w14:textId="77777777" w:rsidR="00600DCF" w:rsidRPr="00D529C5" w:rsidRDefault="004C3E21" w:rsidP="00600DCF">
      <w:pPr>
        <w:spacing w:after="120" w:line="260" w:lineRule="exact"/>
        <w:jc w:val="center"/>
        <w:outlineLvl w:val="1"/>
        <w:rPr>
          <w:rFonts w:ascii="Times New Roman" w:hAnsi="Times New Roman" w:cs="Arial"/>
          <w:b/>
          <w:color w:val="23236E"/>
          <w:sz w:val="24"/>
          <w:lang w:val="en-GB" w:eastAsia="en-US"/>
        </w:rPr>
      </w:pPr>
      <w:bookmarkStart w:id="37" w:name="_Toc475469393"/>
      <w:bookmarkStart w:id="38" w:name="_Toc496628117"/>
      <w:r w:rsidRPr="00D529C5">
        <w:rPr>
          <w:rFonts w:ascii="Times New Roman" w:hAnsi="Times New Roman" w:cs="Arial"/>
          <w:b/>
          <w:color w:val="23236E"/>
          <w:sz w:val="24"/>
          <w:lang w:val="en-GB" w:eastAsia="en-US"/>
        </w:rPr>
        <w:t>Article 8</w:t>
      </w:r>
      <w:r w:rsidR="00600DCF" w:rsidRPr="00D529C5">
        <w:rPr>
          <w:rFonts w:ascii="Times New Roman" w:hAnsi="Times New Roman" w:cs="Arial"/>
          <w:b/>
          <w:color w:val="23236E"/>
          <w:sz w:val="24"/>
          <w:lang w:val="en-GB" w:eastAsia="en-US"/>
        </w:rPr>
        <w:br/>
        <w:t>Methodology for remedial actions in capacity calculation</w:t>
      </w:r>
      <w:bookmarkEnd w:id="37"/>
      <w:bookmarkEnd w:id="38"/>
    </w:p>
    <w:p w14:paraId="7A535B72" w14:textId="77777777" w:rsidR="00600DCF" w:rsidRPr="00E264A7" w:rsidRDefault="00600DCF" w:rsidP="00600DCF">
      <w:pPr>
        <w:pStyle w:val="Paragraphedeliste"/>
        <w:numPr>
          <w:ilvl w:val="0"/>
          <w:numId w:val="30"/>
        </w:numPr>
        <w:spacing w:after="120" w:line="259" w:lineRule="auto"/>
        <w:jc w:val="both"/>
        <w:rPr>
          <w:rFonts w:ascii="Times New Roman" w:hAnsi="Times New Roman"/>
          <w:lang w:val="en-GB"/>
        </w:rPr>
      </w:pPr>
      <w:r w:rsidRPr="00E264A7">
        <w:rPr>
          <w:rFonts w:ascii="Times New Roman" w:hAnsi="Times New Roman"/>
          <w:lang w:val="en-GB"/>
        </w:rPr>
        <w:t xml:space="preserve">The TSOs of </w:t>
      </w:r>
      <w:r w:rsidR="00E264A7" w:rsidRPr="00E264A7">
        <w:rPr>
          <w:rFonts w:ascii="Times New Roman" w:hAnsi="Times New Roman"/>
          <w:lang w:val="en-GB"/>
        </w:rPr>
        <w:t>Italy North</w:t>
      </w:r>
      <w:r w:rsidRPr="00E264A7">
        <w:rPr>
          <w:rFonts w:ascii="Times New Roman" w:hAnsi="Times New Roman"/>
          <w:lang w:val="en-GB"/>
        </w:rPr>
        <w:t xml:space="preserve"> Region shall define the remedial actions in accordance with Article 25 of CACM Regulation.</w:t>
      </w:r>
    </w:p>
    <w:p w14:paraId="7A535B73" w14:textId="77777777" w:rsidR="00600DCF" w:rsidRPr="00600DCF" w:rsidRDefault="00600DCF" w:rsidP="00600DCF">
      <w:pPr>
        <w:pStyle w:val="Paragraphedeliste"/>
        <w:spacing w:after="120" w:line="259" w:lineRule="auto"/>
        <w:jc w:val="both"/>
        <w:rPr>
          <w:rFonts w:ascii="Times New Roman" w:hAnsi="Times New Roman"/>
          <w:color w:val="00B050"/>
          <w:lang w:val="en-GB"/>
        </w:rPr>
      </w:pPr>
    </w:p>
    <w:p w14:paraId="7A535B74" w14:textId="77777777" w:rsidR="00600DCF" w:rsidRDefault="00600DCF" w:rsidP="00600DCF">
      <w:pPr>
        <w:pStyle w:val="Paragraphedeliste"/>
        <w:numPr>
          <w:ilvl w:val="0"/>
          <w:numId w:val="30"/>
        </w:numPr>
        <w:spacing w:after="120" w:line="259" w:lineRule="auto"/>
        <w:jc w:val="both"/>
        <w:rPr>
          <w:rFonts w:ascii="Times New Roman" w:hAnsi="Times New Roman"/>
          <w:lang w:val="en-GB"/>
        </w:rPr>
      </w:pPr>
      <w:r w:rsidRPr="002E665D">
        <w:rPr>
          <w:rFonts w:ascii="Times New Roman" w:hAnsi="Times New Roman"/>
          <w:lang w:val="en-GB"/>
        </w:rPr>
        <w:t xml:space="preserve">Each TSO of </w:t>
      </w:r>
      <w:r w:rsidR="002E665D" w:rsidRPr="002E665D">
        <w:rPr>
          <w:rFonts w:ascii="Times New Roman" w:hAnsi="Times New Roman"/>
          <w:lang w:val="en-GB"/>
        </w:rPr>
        <w:t>Italy North</w:t>
      </w:r>
      <w:r w:rsidRPr="002E665D">
        <w:rPr>
          <w:rFonts w:ascii="Times New Roman" w:hAnsi="Times New Roman"/>
          <w:lang w:val="en-GB"/>
        </w:rPr>
        <w:t xml:space="preserve"> Region shall define individually the remedial actions of its responsibility area to be used in the </w:t>
      </w:r>
      <w:r w:rsidR="003D3598">
        <w:rPr>
          <w:rFonts w:ascii="Times New Roman" w:hAnsi="Times New Roman"/>
          <w:lang w:val="en-GB"/>
        </w:rPr>
        <w:t xml:space="preserve">day-ahead common </w:t>
      </w:r>
      <w:r w:rsidRPr="002E665D">
        <w:rPr>
          <w:rFonts w:ascii="Times New Roman" w:hAnsi="Times New Roman"/>
          <w:lang w:val="en-GB"/>
        </w:rPr>
        <w:t xml:space="preserve">capacity calculation within </w:t>
      </w:r>
      <w:r w:rsidR="002E665D" w:rsidRPr="002E665D">
        <w:rPr>
          <w:rFonts w:ascii="Times New Roman" w:hAnsi="Times New Roman"/>
          <w:lang w:val="en-GB"/>
        </w:rPr>
        <w:t>Italy North</w:t>
      </w:r>
      <w:r w:rsidRPr="002E665D">
        <w:rPr>
          <w:rFonts w:ascii="Times New Roman" w:hAnsi="Times New Roman"/>
          <w:lang w:val="en-GB"/>
        </w:rPr>
        <w:t xml:space="preserve"> Region.</w:t>
      </w:r>
    </w:p>
    <w:p w14:paraId="7A535B75" w14:textId="77777777" w:rsidR="002E665D" w:rsidRPr="002E665D" w:rsidRDefault="002E665D" w:rsidP="002E665D">
      <w:pPr>
        <w:pStyle w:val="Paragraphedeliste"/>
        <w:rPr>
          <w:rFonts w:ascii="Times New Roman" w:hAnsi="Times New Roman"/>
          <w:lang w:val="en-GB"/>
        </w:rPr>
      </w:pPr>
    </w:p>
    <w:p w14:paraId="7A535B76" w14:textId="77777777" w:rsidR="002E665D" w:rsidRPr="002E665D" w:rsidRDefault="002E665D" w:rsidP="00F0294C">
      <w:pPr>
        <w:pStyle w:val="Paragraphedeliste"/>
        <w:numPr>
          <w:ilvl w:val="0"/>
          <w:numId w:val="30"/>
        </w:numPr>
        <w:spacing w:after="120" w:line="259" w:lineRule="auto"/>
        <w:jc w:val="both"/>
        <w:rPr>
          <w:rFonts w:ascii="Times New Roman" w:hAnsi="Times New Roman"/>
          <w:lang w:val="en-GB"/>
        </w:rPr>
      </w:pPr>
      <w:r w:rsidRPr="002E665D">
        <w:rPr>
          <w:rFonts w:ascii="Times New Roman" w:hAnsi="Times New Roman"/>
          <w:lang w:val="en-GB"/>
        </w:rPr>
        <w:t xml:space="preserve">The remedial actions to be defined by each TSO of </w:t>
      </w:r>
      <w:r w:rsidR="003D3598">
        <w:rPr>
          <w:rFonts w:ascii="Times New Roman" w:hAnsi="Times New Roman"/>
          <w:lang w:val="en-GB"/>
        </w:rPr>
        <w:t>Italy North</w:t>
      </w:r>
      <w:r w:rsidRPr="002E665D">
        <w:rPr>
          <w:rFonts w:ascii="Times New Roman" w:hAnsi="Times New Roman"/>
          <w:lang w:val="en-GB"/>
        </w:rPr>
        <w:t xml:space="preserve"> Region shall be either preventive (pre-fault) or curative (post-fault). The TSOs of </w:t>
      </w:r>
      <w:r w:rsidR="003D3598">
        <w:rPr>
          <w:rFonts w:ascii="Times New Roman" w:hAnsi="Times New Roman"/>
          <w:lang w:val="en-GB"/>
        </w:rPr>
        <w:t>Italy North</w:t>
      </w:r>
      <w:r w:rsidRPr="002E665D">
        <w:rPr>
          <w:rFonts w:ascii="Times New Roman" w:hAnsi="Times New Roman"/>
          <w:lang w:val="en-GB"/>
        </w:rPr>
        <w:t xml:space="preserve"> Region may use the following remedial actions, but not limited</w:t>
      </w:r>
      <w:r>
        <w:rPr>
          <w:rFonts w:ascii="Times New Roman" w:hAnsi="Times New Roman"/>
          <w:lang w:val="en-GB"/>
        </w:rPr>
        <w:t xml:space="preserve"> </w:t>
      </w:r>
      <w:r w:rsidR="00914582">
        <w:rPr>
          <w:rFonts w:ascii="Times New Roman" w:hAnsi="Times New Roman"/>
          <w:lang w:val="en-GB"/>
        </w:rPr>
        <w:t>to</w:t>
      </w:r>
      <w:r w:rsidRPr="002E665D">
        <w:rPr>
          <w:rFonts w:ascii="Times New Roman" w:hAnsi="Times New Roman"/>
          <w:lang w:val="en-GB"/>
        </w:rPr>
        <w:t>:</w:t>
      </w:r>
    </w:p>
    <w:p w14:paraId="7A535B77" w14:textId="77777777" w:rsidR="002E665D" w:rsidRPr="002E665D" w:rsidRDefault="002E665D" w:rsidP="002E665D">
      <w:pPr>
        <w:pStyle w:val="Paragraphedeliste"/>
        <w:numPr>
          <w:ilvl w:val="0"/>
          <w:numId w:val="29"/>
        </w:numPr>
        <w:spacing w:after="120" w:line="259" w:lineRule="auto"/>
        <w:jc w:val="both"/>
        <w:rPr>
          <w:rFonts w:ascii="Times New Roman" w:hAnsi="Times New Roman"/>
          <w:lang w:val="en-GB"/>
        </w:rPr>
      </w:pPr>
      <w:r>
        <w:rPr>
          <w:rFonts w:ascii="Times New Roman" w:hAnsi="Times New Roman"/>
          <w:lang w:val="en-GB"/>
        </w:rPr>
        <w:t>c</w:t>
      </w:r>
      <w:r w:rsidRPr="002E665D">
        <w:rPr>
          <w:rFonts w:ascii="Times New Roman" w:hAnsi="Times New Roman"/>
          <w:lang w:val="en-GB"/>
        </w:rPr>
        <w:t>hanging the tap position</w:t>
      </w:r>
      <w:r>
        <w:rPr>
          <w:rFonts w:ascii="Times New Roman" w:hAnsi="Times New Roman"/>
          <w:lang w:val="en-GB"/>
        </w:rPr>
        <w:t xml:space="preserve"> of a phase shifter transformer;</w:t>
      </w:r>
    </w:p>
    <w:p w14:paraId="7A535B78" w14:textId="77777777" w:rsidR="002E665D" w:rsidRPr="002E665D" w:rsidRDefault="002E665D" w:rsidP="002E665D">
      <w:pPr>
        <w:pStyle w:val="Paragraphedeliste"/>
        <w:numPr>
          <w:ilvl w:val="0"/>
          <w:numId w:val="29"/>
        </w:numPr>
        <w:spacing w:after="120" w:line="259" w:lineRule="auto"/>
        <w:jc w:val="both"/>
        <w:rPr>
          <w:rFonts w:ascii="Times New Roman" w:hAnsi="Times New Roman"/>
          <w:lang w:val="en-GB"/>
        </w:rPr>
      </w:pPr>
      <w:r>
        <w:rPr>
          <w:rFonts w:ascii="Times New Roman" w:hAnsi="Times New Roman"/>
          <w:lang w:val="en-GB"/>
        </w:rPr>
        <w:t>t</w:t>
      </w:r>
      <w:r w:rsidRPr="002E665D">
        <w:rPr>
          <w:rFonts w:ascii="Times New Roman" w:hAnsi="Times New Roman"/>
          <w:lang w:val="en-GB"/>
        </w:rPr>
        <w:t>opology measure: opening or closing of a line, cable, transformer, bu</w:t>
      </w:r>
      <w:r>
        <w:rPr>
          <w:rFonts w:ascii="Times New Roman" w:hAnsi="Times New Roman"/>
          <w:lang w:val="en-GB"/>
        </w:rPr>
        <w:t>s bar coupler;</w:t>
      </w:r>
    </w:p>
    <w:p w14:paraId="7A535B79" w14:textId="77777777" w:rsidR="002E665D" w:rsidRPr="002E665D" w:rsidRDefault="002E665D" w:rsidP="002E665D">
      <w:pPr>
        <w:pStyle w:val="Paragraphedeliste"/>
        <w:numPr>
          <w:ilvl w:val="0"/>
          <w:numId w:val="29"/>
        </w:numPr>
        <w:spacing w:after="120" w:line="259" w:lineRule="auto"/>
        <w:jc w:val="both"/>
        <w:rPr>
          <w:rFonts w:ascii="Times New Roman" w:hAnsi="Times New Roman"/>
          <w:lang w:val="en-GB"/>
        </w:rPr>
      </w:pPr>
      <w:r w:rsidRPr="002E665D">
        <w:rPr>
          <w:rFonts w:ascii="Times New Roman" w:hAnsi="Times New Roman"/>
          <w:lang w:val="en-GB"/>
        </w:rPr>
        <w:t>switching of a network elem</w:t>
      </w:r>
      <w:r>
        <w:rPr>
          <w:rFonts w:ascii="Times New Roman" w:hAnsi="Times New Roman"/>
          <w:lang w:val="en-GB"/>
        </w:rPr>
        <w:t>ent from one bus bar to another; or</w:t>
      </w:r>
    </w:p>
    <w:p w14:paraId="7A535B7A" w14:textId="061D93E3" w:rsidR="002E665D" w:rsidRDefault="002E665D" w:rsidP="002E665D">
      <w:pPr>
        <w:pStyle w:val="Paragraphedeliste"/>
        <w:numPr>
          <w:ilvl w:val="0"/>
          <w:numId w:val="29"/>
        </w:numPr>
        <w:spacing w:after="120" w:line="259" w:lineRule="auto"/>
        <w:jc w:val="both"/>
        <w:rPr>
          <w:rFonts w:ascii="Times New Roman" w:hAnsi="Times New Roman"/>
          <w:lang w:val="en-GB"/>
        </w:rPr>
      </w:pPr>
      <w:r>
        <w:rPr>
          <w:rFonts w:ascii="Times New Roman" w:hAnsi="Times New Roman"/>
          <w:lang w:val="en-GB"/>
        </w:rPr>
        <w:t>m</w:t>
      </w:r>
      <w:r w:rsidRPr="002E665D">
        <w:rPr>
          <w:rFonts w:ascii="Times New Roman" w:hAnsi="Times New Roman"/>
          <w:lang w:val="en-GB"/>
        </w:rPr>
        <w:t>odification of generation.</w:t>
      </w:r>
    </w:p>
    <w:p w14:paraId="7BE6C10B" w14:textId="77777777" w:rsidR="00EF4737" w:rsidRPr="00FB6D2B" w:rsidRDefault="00EF4737" w:rsidP="00EF4737">
      <w:pPr>
        <w:pStyle w:val="Paragraphedeliste"/>
        <w:rPr>
          <w:rFonts w:ascii="Times New Roman" w:hAnsi="Times New Roman"/>
          <w:lang w:val="en-GB"/>
        </w:rPr>
      </w:pPr>
    </w:p>
    <w:p w14:paraId="7A535B7C" w14:textId="77777777" w:rsidR="00600DCF" w:rsidRPr="003D3598" w:rsidRDefault="00600DCF" w:rsidP="003D3598">
      <w:pPr>
        <w:pStyle w:val="Paragraphedeliste"/>
        <w:numPr>
          <w:ilvl w:val="0"/>
          <w:numId w:val="30"/>
        </w:numPr>
        <w:spacing w:after="120" w:line="259" w:lineRule="auto"/>
        <w:jc w:val="both"/>
        <w:rPr>
          <w:rFonts w:ascii="Times New Roman" w:hAnsi="Times New Roman"/>
          <w:lang w:val="en-GB"/>
        </w:rPr>
      </w:pPr>
      <w:r w:rsidRPr="003D3598">
        <w:rPr>
          <w:rFonts w:ascii="Times New Roman" w:hAnsi="Times New Roman"/>
          <w:lang w:val="en-GB"/>
        </w:rPr>
        <w:t xml:space="preserve">Each TSO of </w:t>
      </w:r>
      <w:r w:rsidR="005F4EBD">
        <w:rPr>
          <w:rFonts w:ascii="Times New Roman" w:hAnsi="Times New Roman"/>
          <w:lang w:val="en-GB"/>
        </w:rPr>
        <w:t>Italy North</w:t>
      </w:r>
      <w:r w:rsidRPr="003D3598">
        <w:rPr>
          <w:rFonts w:ascii="Times New Roman" w:hAnsi="Times New Roman"/>
          <w:lang w:val="en-GB"/>
        </w:rPr>
        <w:t xml:space="preserve"> Region shall inform the coordinated capacity calculator in a timely manner on any change in its remedial actions within </w:t>
      </w:r>
      <w:r w:rsidR="005F4EBD">
        <w:rPr>
          <w:rFonts w:ascii="Times New Roman" w:hAnsi="Times New Roman"/>
          <w:lang w:val="en-GB"/>
        </w:rPr>
        <w:t>Italy North</w:t>
      </w:r>
      <w:r w:rsidR="005F4EBD" w:rsidRPr="003D3598">
        <w:rPr>
          <w:rFonts w:ascii="Times New Roman" w:hAnsi="Times New Roman"/>
          <w:lang w:val="en-GB"/>
        </w:rPr>
        <w:t xml:space="preserve"> </w:t>
      </w:r>
      <w:r w:rsidRPr="003D3598">
        <w:rPr>
          <w:rFonts w:ascii="Times New Roman" w:hAnsi="Times New Roman"/>
          <w:lang w:val="en-GB"/>
        </w:rPr>
        <w:t>Region to ensure an efficient capacity calculation</w:t>
      </w:r>
      <w:r w:rsidR="003D3598">
        <w:rPr>
          <w:rFonts w:ascii="Times New Roman" w:hAnsi="Times New Roman"/>
          <w:lang w:val="en-GB"/>
        </w:rPr>
        <w:t>.</w:t>
      </w:r>
    </w:p>
    <w:p w14:paraId="7A535B7D" w14:textId="77777777" w:rsidR="001D703C" w:rsidRPr="001A682D" w:rsidRDefault="001D703C" w:rsidP="001A682D">
      <w:pPr>
        <w:rPr>
          <w:rFonts w:ascii="Times New Roman" w:hAnsi="Times New Roman"/>
          <w:lang w:val="en-GB"/>
        </w:rPr>
      </w:pPr>
    </w:p>
    <w:p w14:paraId="7A535B7E" w14:textId="079CC52A" w:rsidR="001D703C" w:rsidRDefault="001D703C" w:rsidP="001D703C">
      <w:pPr>
        <w:pStyle w:val="Paragraphedeliste"/>
        <w:numPr>
          <w:ilvl w:val="0"/>
          <w:numId w:val="30"/>
        </w:numPr>
        <w:spacing w:after="120" w:line="259" w:lineRule="auto"/>
        <w:jc w:val="both"/>
        <w:rPr>
          <w:rFonts w:ascii="Times New Roman" w:hAnsi="Times New Roman"/>
          <w:lang w:val="en-GB"/>
        </w:rPr>
      </w:pPr>
      <w:bookmarkStart w:id="39" w:name="_Hlk506466066"/>
      <w:r w:rsidRPr="001D703C">
        <w:rPr>
          <w:rFonts w:ascii="Times New Roman" w:hAnsi="Times New Roman"/>
          <w:lang w:val="en-GB"/>
        </w:rPr>
        <w:lastRenderedPageBreak/>
        <w:t xml:space="preserve">Each TSO within </w:t>
      </w:r>
      <w:r>
        <w:rPr>
          <w:rFonts w:ascii="Times New Roman" w:hAnsi="Times New Roman"/>
          <w:lang w:val="en-GB"/>
        </w:rPr>
        <w:t>the Italy North R</w:t>
      </w:r>
      <w:r w:rsidRPr="001D703C">
        <w:rPr>
          <w:rFonts w:ascii="Times New Roman" w:hAnsi="Times New Roman"/>
          <w:lang w:val="en-GB"/>
        </w:rPr>
        <w:t>egion shall coor</w:t>
      </w:r>
      <w:r>
        <w:rPr>
          <w:rFonts w:ascii="Times New Roman" w:hAnsi="Times New Roman"/>
          <w:lang w:val="en-GB"/>
        </w:rPr>
        <w:t>dinate with the other TSOs of the Region regarding</w:t>
      </w:r>
      <w:r w:rsidRPr="001D703C">
        <w:rPr>
          <w:rFonts w:ascii="Times New Roman" w:hAnsi="Times New Roman"/>
          <w:lang w:val="en-GB"/>
        </w:rPr>
        <w:t xml:space="preserve"> the use of remedial actions to be taken into account in capacity calculation and their actual application in real time operation</w:t>
      </w:r>
      <w:r w:rsidR="00AC1CE7">
        <w:rPr>
          <w:rFonts w:ascii="Times New Roman" w:hAnsi="Times New Roman"/>
          <w:lang w:val="en-GB"/>
        </w:rPr>
        <w:t>.</w:t>
      </w:r>
      <w:r w:rsidR="001A682D">
        <w:rPr>
          <w:rFonts w:ascii="Times New Roman" w:hAnsi="Times New Roman"/>
          <w:lang w:val="en-GB"/>
        </w:rPr>
        <w:t xml:space="preserve"> The coordination of remedial actions is ensured by the capacity calculation methodology</w:t>
      </w:r>
      <w:r w:rsidR="00FD1AC7">
        <w:rPr>
          <w:rFonts w:ascii="Times New Roman" w:hAnsi="Times New Roman"/>
          <w:lang w:val="en-GB"/>
        </w:rPr>
        <w:t>.</w:t>
      </w:r>
    </w:p>
    <w:bookmarkEnd w:id="39"/>
    <w:p w14:paraId="7A535B7F" w14:textId="77777777" w:rsidR="0055159B" w:rsidRPr="0055159B" w:rsidRDefault="0055159B" w:rsidP="0055159B">
      <w:pPr>
        <w:pStyle w:val="Paragraphedeliste"/>
        <w:rPr>
          <w:rFonts w:ascii="Times New Roman" w:hAnsi="Times New Roman"/>
          <w:lang w:val="en-GB"/>
        </w:rPr>
      </w:pPr>
    </w:p>
    <w:p w14:paraId="7A535B80" w14:textId="6157DE22" w:rsidR="00600DCF" w:rsidRDefault="0055159B" w:rsidP="0055159B">
      <w:pPr>
        <w:pStyle w:val="Paragraphedeliste"/>
        <w:numPr>
          <w:ilvl w:val="0"/>
          <w:numId w:val="30"/>
        </w:numPr>
        <w:spacing w:after="120" w:line="259" w:lineRule="auto"/>
        <w:jc w:val="both"/>
        <w:rPr>
          <w:rFonts w:ascii="Times New Roman" w:hAnsi="Times New Roman"/>
          <w:lang w:val="en-GB"/>
        </w:rPr>
      </w:pPr>
      <w:bookmarkStart w:id="40" w:name="_Hlk506466081"/>
      <w:r w:rsidRPr="0055159B">
        <w:rPr>
          <w:rFonts w:ascii="Times New Roman" w:hAnsi="Times New Roman"/>
          <w:lang w:val="en-GB"/>
        </w:rPr>
        <w:t>Each TSO shall ensure that remedial actions are taken into account in capacity calculation under the condition that the available remedial actions remaining after calculation, taken together with the reliability</w:t>
      </w:r>
      <w:r>
        <w:rPr>
          <w:rFonts w:ascii="Times New Roman" w:hAnsi="Times New Roman"/>
          <w:lang w:val="en-GB"/>
        </w:rPr>
        <w:t xml:space="preserve"> margin referred to in Article 5</w:t>
      </w:r>
      <w:r w:rsidRPr="0055159B">
        <w:rPr>
          <w:rFonts w:ascii="Times New Roman" w:hAnsi="Times New Roman"/>
          <w:lang w:val="en-GB"/>
        </w:rPr>
        <w:t>, are sufficient to ensure operational security</w:t>
      </w:r>
      <w:r w:rsidR="00AC1CE7">
        <w:rPr>
          <w:rFonts w:ascii="Times New Roman" w:hAnsi="Times New Roman"/>
          <w:lang w:val="en-GB"/>
        </w:rPr>
        <w:t>.</w:t>
      </w:r>
      <w:r w:rsidR="00A63BCD">
        <w:rPr>
          <w:rFonts w:ascii="Times New Roman" w:hAnsi="Times New Roman"/>
          <w:lang w:val="en-GB"/>
        </w:rPr>
        <w:t xml:space="preserve"> </w:t>
      </w:r>
      <w:r w:rsidR="00016665" w:rsidRPr="00016665">
        <w:rPr>
          <w:rFonts w:ascii="Times New Roman" w:hAnsi="Times New Roman"/>
          <w:lang w:val="en-GB"/>
        </w:rPr>
        <w:t xml:space="preserve">The use, during </w:t>
      </w:r>
      <w:r w:rsidR="00A63327">
        <w:rPr>
          <w:rFonts w:ascii="Times New Roman" w:hAnsi="Times New Roman"/>
          <w:lang w:val="en-GB"/>
        </w:rPr>
        <w:t>later operational security timeframes (DACF, IDCF and</w:t>
      </w:r>
      <w:r w:rsidR="00016665" w:rsidRPr="00016665">
        <w:rPr>
          <w:rFonts w:ascii="Times New Roman" w:hAnsi="Times New Roman"/>
          <w:lang w:val="en-GB"/>
        </w:rPr>
        <w:t xml:space="preserve"> real time</w:t>
      </w:r>
      <w:r w:rsidR="00EC7DA2">
        <w:rPr>
          <w:rFonts w:ascii="Times New Roman" w:hAnsi="Times New Roman"/>
          <w:lang w:val="en-GB"/>
        </w:rPr>
        <w:t>)</w:t>
      </w:r>
      <w:r w:rsidR="00016665" w:rsidRPr="00016665">
        <w:rPr>
          <w:rFonts w:ascii="Times New Roman" w:hAnsi="Times New Roman"/>
          <w:lang w:val="en-GB"/>
        </w:rPr>
        <w:t xml:space="preserve">, of remedial actions defined during capacity calculation process will be </w:t>
      </w:r>
      <w:r w:rsidR="00EC7DA2">
        <w:rPr>
          <w:rFonts w:ascii="Times New Roman" w:hAnsi="Times New Roman"/>
          <w:lang w:val="en-GB"/>
        </w:rPr>
        <w:t>coordinated</w:t>
      </w:r>
      <w:r w:rsidR="00EC7DA2" w:rsidRPr="00016665">
        <w:rPr>
          <w:rFonts w:ascii="Times New Roman" w:hAnsi="Times New Roman"/>
          <w:lang w:val="en-GB"/>
        </w:rPr>
        <w:t xml:space="preserve"> </w:t>
      </w:r>
      <w:r w:rsidR="00016665" w:rsidRPr="00016665">
        <w:rPr>
          <w:rFonts w:ascii="Times New Roman" w:hAnsi="Times New Roman"/>
          <w:lang w:val="en-GB"/>
        </w:rPr>
        <w:t xml:space="preserve">in </w:t>
      </w:r>
      <w:r w:rsidR="00EC7DA2">
        <w:rPr>
          <w:rFonts w:ascii="Times New Roman" w:hAnsi="Times New Roman"/>
          <w:lang w:val="en-GB"/>
        </w:rPr>
        <w:t xml:space="preserve">line with </w:t>
      </w:r>
      <w:r w:rsidR="00037CFF">
        <w:rPr>
          <w:rFonts w:ascii="Times New Roman" w:hAnsi="Times New Roman"/>
          <w:lang w:val="en-GB"/>
        </w:rPr>
        <w:t>the methodologies to be defined</w:t>
      </w:r>
      <w:r w:rsidR="00016665" w:rsidRPr="00016665">
        <w:rPr>
          <w:rFonts w:ascii="Times New Roman" w:hAnsi="Times New Roman"/>
          <w:lang w:val="en-GB"/>
        </w:rPr>
        <w:t xml:space="preserve"> according to the </w:t>
      </w:r>
      <w:r w:rsidR="00037CFF" w:rsidRPr="00037CFF">
        <w:rPr>
          <w:rFonts w:ascii="Times New Roman" w:hAnsi="Times New Roman"/>
          <w:lang w:val="en-GB"/>
        </w:rPr>
        <w:t>Regulation (EU) 201</w:t>
      </w:r>
      <w:r w:rsidR="00037CFF">
        <w:rPr>
          <w:rFonts w:ascii="Times New Roman" w:hAnsi="Times New Roman"/>
          <w:lang w:val="en-GB"/>
        </w:rPr>
        <w:t>7</w:t>
      </w:r>
      <w:r w:rsidR="00037CFF" w:rsidRPr="00037CFF">
        <w:rPr>
          <w:rFonts w:ascii="Times New Roman" w:hAnsi="Times New Roman"/>
          <w:lang w:val="en-GB"/>
        </w:rPr>
        <w:t>/1</w:t>
      </w:r>
      <w:r w:rsidR="00037CFF">
        <w:rPr>
          <w:rFonts w:ascii="Times New Roman" w:hAnsi="Times New Roman"/>
          <w:lang w:val="en-GB"/>
        </w:rPr>
        <w:t>485</w:t>
      </w:r>
      <w:r w:rsidR="00037CFF" w:rsidRPr="00037CFF">
        <w:rPr>
          <w:rFonts w:ascii="Times New Roman" w:hAnsi="Times New Roman"/>
          <w:lang w:val="en-GB"/>
        </w:rPr>
        <w:t xml:space="preserve"> establishing a guideline on electricity transmission system </w:t>
      </w:r>
      <w:r w:rsidR="00104FBC">
        <w:rPr>
          <w:rFonts w:ascii="Times New Roman" w:hAnsi="Times New Roman"/>
          <w:lang w:val="en-GB"/>
        </w:rPr>
        <w:t>operation</w:t>
      </w:r>
      <w:r w:rsidR="00037CFF" w:rsidRPr="00037CFF">
        <w:rPr>
          <w:rFonts w:ascii="Times New Roman" w:hAnsi="Times New Roman"/>
          <w:lang w:val="en-GB"/>
        </w:rPr>
        <w:t xml:space="preserve"> (the “</w:t>
      </w:r>
      <w:r w:rsidR="00037CFF">
        <w:rPr>
          <w:rFonts w:ascii="Times New Roman" w:hAnsi="Times New Roman"/>
          <w:lang w:val="en-GB"/>
        </w:rPr>
        <w:t>SOGL</w:t>
      </w:r>
      <w:r w:rsidR="00037CFF" w:rsidRPr="00037CFF">
        <w:rPr>
          <w:rFonts w:ascii="Times New Roman" w:hAnsi="Times New Roman"/>
          <w:lang w:val="en-GB"/>
        </w:rPr>
        <w:t>”</w:t>
      </w:r>
      <w:r w:rsidR="00EC7DA2">
        <w:rPr>
          <w:rFonts w:ascii="Times New Roman" w:hAnsi="Times New Roman"/>
          <w:lang w:val="en-GB"/>
        </w:rPr>
        <w:t xml:space="preserve"> Article 75 and 76</w:t>
      </w:r>
      <w:r w:rsidR="00037CFF" w:rsidRPr="00037CFF">
        <w:rPr>
          <w:rFonts w:ascii="Times New Roman" w:hAnsi="Times New Roman"/>
          <w:lang w:val="en-GB"/>
        </w:rPr>
        <w:t>)</w:t>
      </w:r>
      <w:r w:rsidR="0099443F">
        <w:rPr>
          <w:rFonts w:ascii="Times New Roman" w:hAnsi="Times New Roman"/>
          <w:lang w:val="en-GB"/>
        </w:rPr>
        <w:t>.</w:t>
      </w:r>
    </w:p>
    <w:bookmarkEnd w:id="40"/>
    <w:p w14:paraId="7A535B81" w14:textId="77777777" w:rsidR="0055159B" w:rsidRPr="0055159B" w:rsidRDefault="0055159B" w:rsidP="0055159B">
      <w:pPr>
        <w:pStyle w:val="Paragraphedeliste"/>
        <w:rPr>
          <w:rFonts w:ascii="Times New Roman" w:hAnsi="Times New Roman"/>
          <w:lang w:val="en-GB"/>
        </w:rPr>
      </w:pPr>
    </w:p>
    <w:p w14:paraId="7A535B82" w14:textId="77777777" w:rsidR="0055159B" w:rsidRPr="0055159B" w:rsidRDefault="0055159B" w:rsidP="0055159B">
      <w:pPr>
        <w:pStyle w:val="Paragraphedeliste"/>
        <w:spacing w:after="120" w:line="259" w:lineRule="auto"/>
        <w:jc w:val="both"/>
        <w:rPr>
          <w:rFonts w:ascii="Times New Roman" w:hAnsi="Times New Roman"/>
          <w:lang w:val="en-GB"/>
        </w:rPr>
      </w:pPr>
    </w:p>
    <w:p w14:paraId="7A535B83" w14:textId="77777777" w:rsidR="00600DCF" w:rsidRPr="003234E9" w:rsidRDefault="004C3E21" w:rsidP="00600DCF">
      <w:pPr>
        <w:spacing w:after="120" w:line="260" w:lineRule="exact"/>
        <w:jc w:val="center"/>
        <w:outlineLvl w:val="1"/>
        <w:rPr>
          <w:rFonts w:ascii="Times New Roman" w:hAnsi="Times New Roman" w:cs="Arial"/>
          <w:b/>
          <w:color w:val="23236E"/>
          <w:sz w:val="24"/>
          <w:lang w:val="en-GB" w:eastAsia="en-US"/>
        </w:rPr>
      </w:pPr>
      <w:bookmarkStart w:id="41" w:name="_Toc475469394"/>
      <w:bookmarkStart w:id="42" w:name="_Toc496628118"/>
      <w:r w:rsidRPr="003234E9">
        <w:rPr>
          <w:rFonts w:ascii="Times New Roman" w:hAnsi="Times New Roman" w:cs="Arial"/>
          <w:b/>
          <w:color w:val="23236E"/>
          <w:sz w:val="24"/>
          <w:lang w:val="en-GB" w:eastAsia="en-US"/>
        </w:rPr>
        <w:t>Article 9</w:t>
      </w:r>
      <w:r w:rsidR="00600DCF" w:rsidRPr="003234E9">
        <w:rPr>
          <w:rFonts w:ascii="Times New Roman" w:hAnsi="Times New Roman" w:cs="Arial"/>
          <w:b/>
          <w:color w:val="23236E"/>
          <w:sz w:val="24"/>
          <w:lang w:val="en-GB" w:eastAsia="en-US"/>
        </w:rPr>
        <w:br/>
        <w:t>Cross-zonal capacity validation methodology</w:t>
      </w:r>
      <w:bookmarkEnd w:id="41"/>
      <w:bookmarkEnd w:id="42"/>
    </w:p>
    <w:p w14:paraId="7A535B84" w14:textId="77777777" w:rsidR="00600DCF" w:rsidRPr="00766353" w:rsidRDefault="00600DCF" w:rsidP="00816B08">
      <w:pPr>
        <w:pStyle w:val="Paragraphedeliste"/>
        <w:numPr>
          <w:ilvl w:val="0"/>
          <w:numId w:val="40"/>
        </w:numPr>
        <w:spacing w:after="120" w:line="259" w:lineRule="auto"/>
        <w:jc w:val="both"/>
        <w:rPr>
          <w:rFonts w:ascii="Times New Roman" w:hAnsi="Times New Roman"/>
          <w:lang w:val="en-GB"/>
        </w:rPr>
      </w:pPr>
      <w:r w:rsidRPr="00766353">
        <w:rPr>
          <w:rFonts w:ascii="Times New Roman" w:hAnsi="Times New Roman"/>
          <w:lang w:val="en-GB"/>
        </w:rPr>
        <w:t xml:space="preserve">The TSOs of </w:t>
      </w:r>
      <w:r w:rsidR="00766353">
        <w:rPr>
          <w:rFonts w:ascii="Times New Roman" w:hAnsi="Times New Roman"/>
          <w:lang w:val="en-GB"/>
        </w:rPr>
        <w:t>Italy North</w:t>
      </w:r>
      <w:r w:rsidR="00766353" w:rsidRPr="003D3598">
        <w:rPr>
          <w:rFonts w:ascii="Times New Roman" w:hAnsi="Times New Roman"/>
          <w:lang w:val="en-GB"/>
        </w:rPr>
        <w:t xml:space="preserve"> </w:t>
      </w:r>
      <w:r w:rsidRPr="00766353">
        <w:rPr>
          <w:rFonts w:ascii="Times New Roman" w:hAnsi="Times New Roman"/>
          <w:lang w:val="en-GB"/>
        </w:rPr>
        <w:t xml:space="preserve">Region shall validate the cross-zonal capacities calculated by the coordinated capacity calculator of the </w:t>
      </w:r>
      <w:r w:rsidR="00766353">
        <w:rPr>
          <w:rFonts w:ascii="Times New Roman" w:hAnsi="Times New Roman"/>
          <w:lang w:val="en-GB"/>
        </w:rPr>
        <w:t>Italy North</w:t>
      </w:r>
      <w:r w:rsidR="00766353" w:rsidRPr="003D3598">
        <w:rPr>
          <w:rFonts w:ascii="Times New Roman" w:hAnsi="Times New Roman"/>
          <w:lang w:val="en-GB"/>
        </w:rPr>
        <w:t xml:space="preserve"> </w:t>
      </w:r>
      <w:r w:rsidRPr="00766353">
        <w:rPr>
          <w:rFonts w:ascii="Times New Roman" w:hAnsi="Times New Roman"/>
          <w:lang w:val="en-GB"/>
        </w:rPr>
        <w:t>Region.</w:t>
      </w:r>
    </w:p>
    <w:p w14:paraId="7A535B85" w14:textId="77777777" w:rsidR="00600DCF" w:rsidRPr="00063112" w:rsidRDefault="00600DCF" w:rsidP="00063112">
      <w:pPr>
        <w:pStyle w:val="Paragraphedeliste"/>
        <w:spacing w:after="120" w:line="259" w:lineRule="auto"/>
        <w:jc w:val="both"/>
        <w:rPr>
          <w:rFonts w:ascii="Times New Roman" w:hAnsi="Times New Roman"/>
          <w:lang w:val="en-GB"/>
        </w:rPr>
      </w:pPr>
    </w:p>
    <w:p w14:paraId="7A535B86" w14:textId="77777777" w:rsidR="00600DCF" w:rsidRPr="00063112" w:rsidRDefault="00600DCF" w:rsidP="00063112">
      <w:pPr>
        <w:pStyle w:val="Paragraphedeliste"/>
        <w:numPr>
          <w:ilvl w:val="0"/>
          <w:numId w:val="40"/>
        </w:numPr>
        <w:spacing w:after="120" w:line="259" w:lineRule="auto"/>
        <w:jc w:val="both"/>
        <w:rPr>
          <w:rFonts w:ascii="Times New Roman" w:hAnsi="Times New Roman"/>
          <w:lang w:val="en-GB"/>
        </w:rPr>
      </w:pPr>
      <w:r w:rsidRPr="00063112">
        <w:rPr>
          <w:rFonts w:ascii="Times New Roman" w:hAnsi="Times New Roman"/>
          <w:lang w:val="en-GB"/>
        </w:rPr>
        <w:t xml:space="preserve">The coordinated capacity calculator shall make available the common grid model for </w:t>
      </w:r>
      <w:r w:rsidR="00063112" w:rsidRPr="00063112">
        <w:rPr>
          <w:rFonts w:ascii="Times New Roman" w:hAnsi="Times New Roman"/>
          <w:lang w:val="en-GB"/>
        </w:rPr>
        <w:t>Italy North</w:t>
      </w:r>
      <w:r w:rsidRPr="00063112">
        <w:rPr>
          <w:rFonts w:ascii="Times New Roman" w:hAnsi="Times New Roman"/>
          <w:lang w:val="en-GB"/>
        </w:rPr>
        <w:t xml:space="preserve"> Region </w:t>
      </w:r>
      <w:r w:rsidR="004B6C6C">
        <w:rPr>
          <w:rFonts w:ascii="Times New Roman" w:hAnsi="Times New Roman"/>
          <w:lang w:val="en-GB"/>
        </w:rPr>
        <w:t>for all</w:t>
      </w:r>
      <w:r w:rsidRPr="00063112">
        <w:rPr>
          <w:rFonts w:ascii="Times New Roman" w:hAnsi="Times New Roman"/>
          <w:lang w:val="en-GB"/>
        </w:rPr>
        <w:t xml:space="preserve"> scenarios for the relevant market time unit to the TSOs of </w:t>
      </w:r>
      <w:r w:rsidR="00063112" w:rsidRPr="00063112">
        <w:rPr>
          <w:rFonts w:ascii="Times New Roman" w:hAnsi="Times New Roman"/>
          <w:lang w:val="en-GB"/>
        </w:rPr>
        <w:t>Italy North</w:t>
      </w:r>
      <w:r w:rsidRPr="00063112">
        <w:rPr>
          <w:rFonts w:ascii="Times New Roman" w:hAnsi="Times New Roman"/>
          <w:lang w:val="en-GB"/>
        </w:rPr>
        <w:t xml:space="preserve"> Region</w:t>
      </w:r>
      <w:r w:rsidR="00882CA9" w:rsidRPr="00063112">
        <w:rPr>
          <w:rFonts w:ascii="Times New Roman" w:hAnsi="Times New Roman"/>
          <w:lang w:val="en-GB"/>
        </w:rPr>
        <w:t>.</w:t>
      </w:r>
    </w:p>
    <w:p w14:paraId="7A535B87" w14:textId="77777777" w:rsidR="00600DCF" w:rsidRPr="00600DCF" w:rsidRDefault="00600DCF" w:rsidP="00600DCF">
      <w:pPr>
        <w:pStyle w:val="Paragraphedeliste"/>
        <w:spacing w:after="120" w:line="259" w:lineRule="auto"/>
        <w:jc w:val="both"/>
        <w:rPr>
          <w:rFonts w:ascii="Times New Roman" w:hAnsi="Times New Roman" w:cs="Arial"/>
          <w:b/>
          <w:color w:val="00B050"/>
          <w:sz w:val="24"/>
          <w:lang w:val="en-GB" w:eastAsia="en-US"/>
        </w:rPr>
      </w:pPr>
    </w:p>
    <w:p w14:paraId="7A535B88" w14:textId="22B680EF" w:rsidR="00600DCF" w:rsidRDefault="00600DCF" w:rsidP="00063112">
      <w:pPr>
        <w:pStyle w:val="Paragraphedeliste"/>
        <w:numPr>
          <w:ilvl w:val="0"/>
          <w:numId w:val="40"/>
        </w:numPr>
        <w:spacing w:after="120" w:line="259" w:lineRule="auto"/>
        <w:jc w:val="both"/>
        <w:rPr>
          <w:rFonts w:ascii="Times New Roman" w:hAnsi="Times New Roman"/>
          <w:lang w:val="en-GB"/>
        </w:rPr>
      </w:pPr>
      <w:r w:rsidRPr="00063112">
        <w:rPr>
          <w:rFonts w:ascii="Times New Roman" w:hAnsi="Times New Roman"/>
          <w:lang w:val="en-GB"/>
        </w:rPr>
        <w:t xml:space="preserve">TSOs </w:t>
      </w:r>
      <w:r w:rsidR="00A63BCD">
        <w:rPr>
          <w:rFonts w:ascii="Times New Roman" w:hAnsi="Times New Roman"/>
          <w:lang w:val="en-GB"/>
        </w:rPr>
        <w:t>shall</w:t>
      </w:r>
      <w:r w:rsidR="00A63BCD" w:rsidRPr="00063112">
        <w:rPr>
          <w:rFonts w:ascii="Times New Roman" w:hAnsi="Times New Roman"/>
          <w:lang w:val="en-GB"/>
        </w:rPr>
        <w:t xml:space="preserve"> </w:t>
      </w:r>
      <w:r w:rsidRPr="00063112">
        <w:rPr>
          <w:rFonts w:ascii="Times New Roman" w:hAnsi="Times New Roman"/>
          <w:lang w:val="en-GB"/>
        </w:rPr>
        <w:t xml:space="preserve">validate the cross-zonal capacities calculated by </w:t>
      </w:r>
      <w:r w:rsidR="000660FF">
        <w:rPr>
          <w:rFonts w:ascii="Times New Roman" w:hAnsi="Times New Roman"/>
          <w:lang w:val="en-GB"/>
        </w:rPr>
        <w:t xml:space="preserve">the Coordinating Capacity Calculator </w:t>
      </w:r>
      <w:r w:rsidRPr="00063112">
        <w:rPr>
          <w:rFonts w:ascii="Times New Roman" w:hAnsi="Times New Roman"/>
          <w:lang w:val="en-GB"/>
        </w:rPr>
        <w:t xml:space="preserve">with grid model provided in accordance with Article </w:t>
      </w:r>
      <w:r w:rsidR="00063112" w:rsidRPr="00063112">
        <w:rPr>
          <w:rFonts w:ascii="Times New Roman" w:hAnsi="Times New Roman"/>
          <w:lang w:val="en-GB"/>
        </w:rPr>
        <w:t>10</w:t>
      </w:r>
      <w:r w:rsidRPr="00063112">
        <w:rPr>
          <w:rFonts w:ascii="Times New Roman" w:hAnsi="Times New Roman"/>
          <w:lang w:val="en-GB"/>
        </w:rPr>
        <w:t>.2.</w:t>
      </w:r>
    </w:p>
    <w:p w14:paraId="207E6C76" w14:textId="77777777" w:rsidR="00FB6D2B" w:rsidRPr="00FB6D2B" w:rsidRDefault="00FB6D2B" w:rsidP="00FB6D2B">
      <w:pPr>
        <w:pStyle w:val="Paragraphedeliste"/>
        <w:rPr>
          <w:rFonts w:ascii="Times New Roman" w:hAnsi="Times New Roman"/>
          <w:lang w:val="en-GB"/>
        </w:rPr>
      </w:pPr>
    </w:p>
    <w:p w14:paraId="4E7D0C8B" w14:textId="24449954" w:rsidR="00FB6D2B" w:rsidRPr="00063112" w:rsidRDefault="00FB6D2B" w:rsidP="00FB6D2B">
      <w:pPr>
        <w:pStyle w:val="Paragraphedeliste"/>
        <w:numPr>
          <w:ilvl w:val="0"/>
          <w:numId w:val="40"/>
        </w:numPr>
        <w:spacing w:after="120" w:line="259" w:lineRule="auto"/>
        <w:jc w:val="both"/>
        <w:rPr>
          <w:rFonts w:ascii="Times New Roman" w:hAnsi="Times New Roman"/>
          <w:lang w:val="en-GB"/>
        </w:rPr>
      </w:pPr>
      <w:r w:rsidRPr="00FB6D2B">
        <w:rPr>
          <w:rFonts w:ascii="Times New Roman" w:hAnsi="Times New Roman"/>
          <w:lang w:val="en-GB"/>
        </w:rPr>
        <w:t>In case TSOs expect different flow patterns as a result of different market situations compared to the assumption of the Capacity Calculation process, the TSOs shall assess and validate a secure capacity value</w:t>
      </w:r>
      <w:r w:rsidR="00FD1AC7">
        <w:rPr>
          <w:rFonts w:ascii="Times New Roman" w:hAnsi="Times New Roman"/>
          <w:lang w:val="en-GB"/>
        </w:rPr>
        <w:t>.</w:t>
      </w:r>
    </w:p>
    <w:p w14:paraId="7A535B89" w14:textId="77777777" w:rsidR="00600DCF" w:rsidRPr="00600DCF" w:rsidRDefault="00600DCF" w:rsidP="00600DCF">
      <w:pPr>
        <w:pStyle w:val="Paragraphedeliste"/>
        <w:rPr>
          <w:rFonts w:ascii="Times New Roman" w:hAnsi="Times New Roman" w:cs="Arial"/>
          <w:b/>
          <w:color w:val="00B050"/>
          <w:sz w:val="24"/>
          <w:lang w:val="en-GB" w:eastAsia="en-US"/>
        </w:rPr>
      </w:pPr>
    </w:p>
    <w:p w14:paraId="7A535B8A" w14:textId="77777777" w:rsidR="00600DCF" w:rsidRPr="006864B3" w:rsidRDefault="00600DCF" w:rsidP="00063112">
      <w:pPr>
        <w:pStyle w:val="Paragraphedeliste"/>
        <w:numPr>
          <w:ilvl w:val="0"/>
          <w:numId w:val="40"/>
        </w:numPr>
        <w:spacing w:after="120" w:line="259" w:lineRule="auto"/>
        <w:jc w:val="both"/>
        <w:rPr>
          <w:rFonts w:ascii="Times New Roman" w:hAnsi="Times New Roman"/>
          <w:lang w:val="en-GB"/>
        </w:rPr>
      </w:pPr>
      <w:r w:rsidRPr="006864B3">
        <w:rPr>
          <w:rFonts w:ascii="Times New Roman" w:hAnsi="Times New Roman"/>
          <w:lang w:val="en-GB"/>
        </w:rPr>
        <w:t xml:space="preserve">Where one or more </w:t>
      </w:r>
      <w:r w:rsidR="00F53083" w:rsidRPr="006864B3">
        <w:rPr>
          <w:rFonts w:ascii="Times New Roman" w:hAnsi="Times New Roman"/>
          <w:lang w:val="en-GB"/>
        </w:rPr>
        <w:t>Italy North</w:t>
      </w:r>
      <w:r w:rsidRPr="006864B3">
        <w:rPr>
          <w:rFonts w:ascii="Times New Roman" w:hAnsi="Times New Roman"/>
          <w:lang w:val="en-GB"/>
        </w:rPr>
        <w:t xml:space="preserve"> TSOs </w:t>
      </w:r>
      <w:r w:rsidR="006D2297">
        <w:rPr>
          <w:rFonts w:ascii="Times New Roman" w:hAnsi="Times New Roman"/>
          <w:lang w:val="en-GB"/>
        </w:rPr>
        <w:t xml:space="preserve">do not </w:t>
      </w:r>
      <w:r w:rsidRPr="006864B3">
        <w:rPr>
          <w:rFonts w:ascii="Times New Roman" w:hAnsi="Times New Roman"/>
          <w:lang w:val="en-GB"/>
        </w:rPr>
        <w:t>validate the cross-zonal capacity calculated, the concerned TSO(s) shall provide</w:t>
      </w:r>
      <w:r w:rsidR="003C7969">
        <w:rPr>
          <w:rFonts w:ascii="Times New Roman" w:hAnsi="Times New Roman"/>
          <w:lang w:val="en-GB"/>
        </w:rPr>
        <w:t xml:space="preserve"> </w:t>
      </w:r>
      <w:r w:rsidRPr="006864B3">
        <w:rPr>
          <w:rFonts w:ascii="Times New Roman" w:hAnsi="Times New Roman"/>
          <w:lang w:val="en-GB"/>
        </w:rPr>
        <w:t>the updated amount of cross-zonal capacities for the border</w:t>
      </w:r>
      <w:r w:rsidR="00034EDA">
        <w:rPr>
          <w:rFonts w:ascii="Times New Roman" w:hAnsi="Times New Roman"/>
          <w:lang w:val="en-GB"/>
        </w:rPr>
        <w:t>(s)</w:t>
      </w:r>
      <w:r w:rsidRPr="006864B3">
        <w:rPr>
          <w:rFonts w:ascii="Times New Roman" w:hAnsi="Times New Roman"/>
          <w:lang w:val="en-GB"/>
        </w:rPr>
        <w:t xml:space="preserve"> considered and the reasons for the reduction. The final cross-zonal capacity is the minimum value sent by the </w:t>
      </w:r>
      <w:r w:rsidR="006864B3" w:rsidRPr="006864B3">
        <w:rPr>
          <w:rFonts w:ascii="Times New Roman" w:hAnsi="Times New Roman"/>
          <w:lang w:val="en-GB"/>
        </w:rPr>
        <w:t>Italy North</w:t>
      </w:r>
      <w:r w:rsidR="006F197C">
        <w:rPr>
          <w:rFonts w:ascii="Times New Roman" w:hAnsi="Times New Roman"/>
          <w:lang w:val="en-GB"/>
        </w:rPr>
        <w:t xml:space="preserve"> TSOs</w:t>
      </w:r>
      <w:r w:rsidRPr="006864B3">
        <w:rPr>
          <w:rFonts w:ascii="Times New Roman" w:hAnsi="Times New Roman"/>
          <w:lang w:val="en-GB"/>
        </w:rPr>
        <w:t>.</w:t>
      </w:r>
    </w:p>
    <w:p w14:paraId="7A535B8B" w14:textId="77777777" w:rsidR="00600DCF" w:rsidRPr="00600DCF" w:rsidRDefault="00600DCF" w:rsidP="00600DCF">
      <w:pPr>
        <w:pStyle w:val="Paragraphedeliste"/>
        <w:spacing w:after="120" w:line="259" w:lineRule="auto"/>
        <w:jc w:val="both"/>
        <w:rPr>
          <w:rFonts w:ascii="Times New Roman" w:hAnsi="Times New Roman" w:cs="Arial"/>
          <w:b/>
          <w:color w:val="00B050"/>
          <w:sz w:val="24"/>
          <w:lang w:val="en-GB" w:eastAsia="en-US"/>
        </w:rPr>
      </w:pPr>
    </w:p>
    <w:p w14:paraId="7A535B8C" w14:textId="77777777" w:rsidR="00600DCF" w:rsidRPr="00EE59D2" w:rsidRDefault="004C3E21" w:rsidP="00600DCF">
      <w:pPr>
        <w:spacing w:after="120" w:line="260" w:lineRule="exact"/>
        <w:jc w:val="center"/>
        <w:outlineLvl w:val="1"/>
        <w:rPr>
          <w:rFonts w:ascii="Times New Roman" w:hAnsi="Times New Roman" w:cs="Arial"/>
          <w:b/>
          <w:color w:val="23236E"/>
          <w:sz w:val="24"/>
          <w:lang w:val="en-GB" w:eastAsia="en-US"/>
        </w:rPr>
      </w:pPr>
      <w:bookmarkStart w:id="43" w:name="_Toc496628119"/>
      <w:r w:rsidRPr="00EE59D2">
        <w:rPr>
          <w:rFonts w:ascii="Times New Roman" w:hAnsi="Times New Roman" w:cs="Arial"/>
          <w:b/>
          <w:color w:val="23236E"/>
          <w:sz w:val="24"/>
          <w:lang w:val="en-GB" w:eastAsia="en-US"/>
        </w:rPr>
        <w:t>Article 10</w:t>
      </w:r>
      <w:r w:rsidR="00600DCF" w:rsidRPr="00EE59D2">
        <w:rPr>
          <w:rFonts w:ascii="Times New Roman" w:hAnsi="Times New Roman" w:cs="Arial"/>
          <w:b/>
          <w:color w:val="23236E"/>
          <w:sz w:val="24"/>
          <w:lang w:val="en-GB" w:eastAsia="en-US"/>
        </w:rPr>
        <w:br/>
        <w:t>Day-ahead capacity calculation</w:t>
      </w:r>
      <w:bookmarkEnd w:id="43"/>
    </w:p>
    <w:p w14:paraId="7A535B8D" w14:textId="77777777" w:rsidR="00600DCF" w:rsidRPr="00DE6E9C" w:rsidRDefault="00600DCF" w:rsidP="0005619B">
      <w:pPr>
        <w:pStyle w:val="Paragraphedeliste"/>
        <w:numPr>
          <w:ilvl w:val="0"/>
          <w:numId w:val="54"/>
        </w:numPr>
        <w:spacing w:after="120" w:line="259" w:lineRule="auto"/>
        <w:jc w:val="both"/>
        <w:rPr>
          <w:rFonts w:ascii="Times New Roman" w:hAnsi="Times New Roman"/>
          <w:lang w:val="en-GB"/>
        </w:rPr>
      </w:pPr>
      <w:r w:rsidRPr="00DE6E9C">
        <w:rPr>
          <w:rFonts w:ascii="Times New Roman" w:hAnsi="Times New Roman"/>
          <w:lang w:val="en-GB"/>
        </w:rPr>
        <w:t xml:space="preserve">In accordance with Article </w:t>
      </w:r>
      <w:r w:rsidR="00DE6E9C" w:rsidRPr="00DE6E9C">
        <w:rPr>
          <w:rFonts w:ascii="Times New Roman" w:hAnsi="Times New Roman"/>
          <w:lang w:val="en-GB"/>
        </w:rPr>
        <w:t>8</w:t>
      </w:r>
      <w:r w:rsidRPr="00DE6E9C">
        <w:rPr>
          <w:rFonts w:ascii="Times New Roman" w:hAnsi="Times New Roman"/>
          <w:lang w:val="en-GB"/>
        </w:rPr>
        <w:t xml:space="preserve"> of CACM Regulation, the TSOs of </w:t>
      </w:r>
      <w:r w:rsidR="00DE6E9C">
        <w:rPr>
          <w:rFonts w:ascii="Times New Roman" w:hAnsi="Times New Roman"/>
          <w:lang w:val="en-GB"/>
        </w:rPr>
        <w:t>Italy North</w:t>
      </w:r>
      <w:r w:rsidRPr="00DE6E9C">
        <w:rPr>
          <w:rFonts w:ascii="Times New Roman" w:hAnsi="Times New Roman"/>
          <w:lang w:val="en-GB"/>
        </w:rPr>
        <w:t xml:space="preserve"> Region shall calculate cross-zonal capacities for each bidding-zone border of </w:t>
      </w:r>
      <w:r w:rsidR="00DE6E9C">
        <w:rPr>
          <w:rFonts w:ascii="Times New Roman" w:hAnsi="Times New Roman"/>
          <w:lang w:val="en-GB"/>
        </w:rPr>
        <w:t>Italy North</w:t>
      </w:r>
      <w:r w:rsidR="00DE6E9C" w:rsidRPr="00DE6E9C">
        <w:rPr>
          <w:rFonts w:ascii="Times New Roman" w:hAnsi="Times New Roman"/>
          <w:lang w:val="en-GB"/>
        </w:rPr>
        <w:t xml:space="preserve"> </w:t>
      </w:r>
      <w:r w:rsidRPr="00DE6E9C">
        <w:rPr>
          <w:rFonts w:ascii="Times New Roman" w:hAnsi="Times New Roman"/>
          <w:lang w:val="en-GB"/>
        </w:rPr>
        <w:t>Region.</w:t>
      </w:r>
    </w:p>
    <w:p w14:paraId="7A535B8E" w14:textId="77777777" w:rsidR="00600DCF" w:rsidRPr="0005619B" w:rsidRDefault="00600DCF" w:rsidP="0005619B">
      <w:pPr>
        <w:pStyle w:val="Paragraphedeliste"/>
        <w:spacing w:after="120" w:line="259" w:lineRule="auto"/>
        <w:jc w:val="both"/>
        <w:rPr>
          <w:rFonts w:ascii="Times New Roman" w:hAnsi="Times New Roman"/>
          <w:lang w:val="en-GB"/>
        </w:rPr>
      </w:pPr>
    </w:p>
    <w:p w14:paraId="7A535B8F" w14:textId="77777777" w:rsidR="004F6B5E" w:rsidRPr="004F6B5E" w:rsidRDefault="00600DCF" w:rsidP="0005619B">
      <w:pPr>
        <w:pStyle w:val="Paragraphedeliste"/>
        <w:numPr>
          <w:ilvl w:val="0"/>
          <w:numId w:val="54"/>
        </w:numPr>
        <w:spacing w:after="120" w:line="259" w:lineRule="auto"/>
        <w:jc w:val="both"/>
        <w:rPr>
          <w:rFonts w:ascii="Times New Roman" w:hAnsi="Times New Roman"/>
          <w:lang w:val="en-GB"/>
        </w:rPr>
      </w:pPr>
      <w:r w:rsidRPr="00DE6E9C">
        <w:rPr>
          <w:rFonts w:ascii="Times New Roman" w:hAnsi="Times New Roman"/>
          <w:lang w:val="en-GB"/>
        </w:rPr>
        <w:t xml:space="preserve">The TSOs of </w:t>
      </w:r>
      <w:r w:rsidR="00DE6E9C">
        <w:rPr>
          <w:rFonts w:ascii="Times New Roman" w:hAnsi="Times New Roman"/>
          <w:lang w:val="en-GB"/>
        </w:rPr>
        <w:t>Italy North</w:t>
      </w:r>
      <w:r w:rsidR="00DE6E9C" w:rsidRPr="00DE6E9C">
        <w:rPr>
          <w:rFonts w:ascii="Times New Roman" w:hAnsi="Times New Roman"/>
          <w:lang w:val="en-GB"/>
        </w:rPr>
        <w:t xml:space="preserve"> </w:t>
      </w:r>
      <w:r w:rsidR="0019374F">
        <w:rPr>
          <w:rFonts w:ascii="Times New Roman" w:hAnsi="Times New Roman"/>
          <w:lang w:val="en-GB"/>
        </w:rPr>
        <w:t xml:space="preserve">Region </w:t>
      </w:r>
      <w:r w:rsidRPr="00DE6E9C">
        <w:rPr>
          <w:rFonts w:ascii="Times New Roman" w:hAnsi="Times New Roman"/>
          <w:lang w:val="en-GB"/>
        </w:rPr>
        <w:t>shall provide the coordinated capacity calculator with the last updated information on the transmission systems in a timely manner for th</w:t>
      </w:r>
      <w:r w:rsidR="00DE6E9C" w:rsidRPr="00DE6E9C">
        <w:rPr>
          <w:rFonts w:ascii="Times New Roman" w:hAnsi="Times New Roman"/>
          <w:lang w:val="en-GB"/>
        </w:rPr>
        <w:t>e capacity calculation that is start</w:t>
      </w:r>
      <w:r w:rsidR="004F6B5E">
        <w:rPr>
          <w:rFonts w:ascii="Times New Roman" w:hAnsi="Times New Roman"/>
          <w:lang w:val="en-GB"/>
        </w:rPr>
        <w:t>ed in the end of D-2.</w:t>
      </w:r>
    </w:p>
    <w:p w14:paraId="7A535B90" w14:textId="77777777" w:rsidR="004F6B5E" w:rsidRPr="004F6B5E" w:rsidRDefault="004F6B5E" w:rsidP="0005619B">
      <w:pPr>
        <w:pStyle w:val="Paragraphedeliste"/>
        <w:spacing w:after="120" w:line="259" w:lineRule="auto"/>
        <w:jc w:val="both"/>
        <w:rPr>
          <w:rFonts w:ascii="Times New Roman" w:hAnsi="Times New Roman"/>
          <w:lang w:val="en-GB"/>
        </w:rPr>
      </w:pPr>
    </w:p>
    <w:p w14:paraId="7A535B91" w14:textId="77777777" w:rsidR="00705F9A" w:rsidRDefault="004F6B5E" w:rsidP="00705F9A">
      <w:pPr>
        <w:pStyle w:val="Paragraphedeliste"/>
        <w:numPr>
          <w:ilvl w:val="0"/>
          <w:numId w:val="54"/>
        </w:numPr>
        <w:spacing w:after="120" w:line="259" w:lineRule="auto"/>
        <w:jc w:val="both"/>
        <w:rPr>
          <w:rFonts w:ascii="Times New Roman" w:hAnsi="Times New Roman"/>
          <w:lang w:val="en-GB"/>
        </w:rPr>
      </w:pPr>
      <w:bookmarkStart w:id="44" w:name="_Hlk506466198"/>
      <w:r w:rsidRPr="004F6B5E">
        <w:rPr>
          <w:rFonts w:ascii="Times New Roman" w:hAnsi="Times New Roman"/>
          <w:lang w:val="en-GB"/>
        </w:rPr>
        <w:t xml:space="preserve">The coordinated capacity calculator shall </w:t>
      </w:r>
      <w:r w:rsidR="004C38BA">
        <w:rPr>
          <w:rFonts w:ascii="Times New Roman" w:hAnsi="Times New Roman"/>
          <w:lang w:val="en-GB"/>
        </w:rPr>
        <w:t>use the CGM built in accordance with Article 28 of CACM</w:t>
      </w:r>
      <w:r w:rsidR="00FA20E0">
        <w:rPr>
          <w:rFonts w:ascii="Times New Roman" w:hAnsi="Times New Roman"/>
          <w:lang w:val="en-GB"/>
        </w:rPr>
        <w:t xml:space="preserve"> no later than 24 months after the implementation of the </w:t>
      </w:r>
      <w:r w:rsidR="00705F9A">
        <w:rPr>
          <w:rFonts w:ascii="Times New Roman" w:hAnsi="Times New Roman"/>
          <w:lang w:val="en-GB"/>
        </w:rPr>
        <w:t>CGM Methodology.</w:t>
      </w:r>
      <w:r w:rsidR="00497485">
        <w:rPr>
          <w:rFonts w:ascii="Times New Roman" w:hAnsi="Times New Roman"/>
          <w:lang w:val="en-GB"/>
        </w:rPr>
        <w:t xml:space="preserve"> </w:t>
      </w:r>
    </w:p>
    <w:bookmarkEnd w:id="44"/>
    <w:p w14:paraId="7A535B92" w14:textId="77777777" w:rsidR="00705F9A" w:rsidRPr="00705F9A" w:rsidRDefault="00705F9A" w:rsidP="00705F9A">
      <w:pPr>
        <w:pStyle w:val="Paragraphedeliste"/>
        <w:rPr>
          <w:rFonts w:ascii="Times New Roman" w:hAnsi="Times New Roman"/>
          <w:lang w:val="en-GB"/>
        </w:rPr>
      </w:pPr>
    </w:p>
    <w:p w14:paraId="7A535B93" w14:textId="77777777" w:rsidR="00705F9A" w:rsidRPr="00705F9A" w:rsidRDefault="00705F9A" w:rsidP="00705F9A">
      <w:pPr>
        <w:pStyle w:val="Paragraphedeliste"/>
        <w:numPr>
          <w:ilvl w:val="0"/>
          <w:numId w:val="54"/>
        </w:numPr>
        <w:spacing w:after="120" w:line="259" w:lineRule="auto"/>
        <w:jc w:val="both"/>
        <w:rPr>
          <w:rFonts w:ascii="Times New Roman" w:hAnsi="Times New Roman"/>
          <w:lang w:val="en-GB"/>
        </w:rPr>
      </w:pPr>
      <w:r w:rsidRPr="00705F9A">
        <w:rPr>
          <w:rFonts w:ascii="Times New Roman" w:hAnsi="Times New Roman"/>
          <w:lang w:val="en-GB"/>
        </w:rPr>
        <w:lastRenderedPageBreak/>
        <w:t xml:space="preserve">After receiving the individual D-2CF data sets the whole D-2CF data set will be merged. This data set contains </w:t>
      </w:r>
    </w:p>
    <w:p w14:paraId="7A535B94" w14:textId="77777777" w:rsidR="00705F9A" w:rsidRPr="00705F9A" w:rsidRDefault="00705F9A" w:rsidP="00705F9A">
      <w:pPr>
        <w:pStyle w:val="Paragraphedeliste"/>
        <w:numPr>
          <w:ilvl w:val="0"/>
          <w:numId w:val="55"/>
        </w:numPr>
        <w:spacing w:after="120" w:line="259" w:lineRule="auto"/>
        <w:jc w:val="both"/>
        <w:rPr>
          <w:rFonts w:ascii="Times New Roman" w:hAnsi="Times New Roman"/>
          <w:lang w:val="en-GB"/>
        </w:rPr>
      </w:pPr>
      <w:r>
        <w:rPr>
          <w:rFonts w:ascii="Times New Roman" w:hAnsi="Times New Roman"/>
          <w:lang w:val="en-GB"/>
        </w:rPr>
        <w:t>T</w:t>
      </w:r>
      <w:r w:rsidRPr="00705F9A">
        <w:rPr>
          <w:rFonts w:ascii="Times New Roman" w:hAnsi="Times New Roman"/>
          <w:lang w:val="en-GB"/>
        </w:rPr>
        <w:t>he single D-2CF data sets from the participating TSO</w:t>
      </w:r>
      <w:r>
        <w:rPr>
          <w:rFonts w:ascii="Times New Roman" w:hAnsi="Times New Roman"/>
          <w:lang w:val="en-GB"/>
        </w:rPr>
        <w:t>;</w:t>
      </w:r>
    </w:p>
    <w:p w14:paraId="7A535B95" w14:textId="77777777" w:rsidR="00705F9A" w:rsidRDefault="00705F9A" w:rsidP="00902CB1">
      <w:pPr>
        <w:pStyle w:val="Paragraphedeliste"/>
        <w:numPr>
          <w:ilvl w:val="0"/>
          <w:numId w:val="55"/>
        </w:numPr>
        <w:spacing w:after="120" w:line="259" w:lineRule="auto"/>
        <w:jc w:val="both"/>
        <w:rPr>
          <w:rFonts w:ascii="Times New Roman" w:hAnsi="Times New Roman"/>
          <w:lang w:val="en-GB"/>
        </w:rPr>
      </w:pPr>
      <w:r>
        <w:rPr>
          <w:rFonts w:ascii="Times New Roman" w:hAnsi="Times New Roman"/>
          <w:lang w:val="en-GB"/>
        </w:rPr>
        <w:t>F</w:t>
      </w:r>
      <w:r w:rsidRPr="00705F9A">
        <w:rPr>
          <w:rFonts w:ascii="Times New Roman" w:hAnsi="Times New Roman"/>
          <w:lang w:val="en-GB"/>
        </w:rPr>
        <w:t>or non-participating TSOs, DACF</w:t>
      </w:r>
      <w:r>
        <w:rPr>
          <w:rFonts w:ascii="Times New Roman" w:hAnsi="Times New Roman"/>
          <w:lang w:val="en-GB"/>
        </w:rPr>
        <w:t xml:space="preserve"> are chosen instead of the </w:t>
      </w:r>
      <w:r w:rsidRPr="00705F9A">
        <w:rPr>
          <w:rFonts w:ascii="Times New Roman" w:hAnsi="Times New Roman"/>
          <w:lang w:val="en-GB"/>
        </w:rPr>
        <w:t xml:space="preserve">D2CF files </w:t>
      </w:r>
      <w:r>
        <w:rPr>
          <w:rFonts w:ascii="Times New Roman" w:hAnsi="Times New Roman"/>
          <w:lang w:val="en-GB"/>
        </w:rPr>
        <w:t xml:space="preserve">in case </w:t>
      </w:r>
      <w:r w:rsidRPr="00705F9A">
        <w:rPr>
          <w:rFonts w:ascii="Times New Roman" w:hAnsi="Times New Roman"/>
          <w:lang w:val="en-GB"/>
        </w:rPr>
        <w:t>D2CF files</w:t>
      </w:r>
      <w:r>
        <w:rPr>
          <w:rFonts w:ascii="Times New Roman" w:hAnsi="Times New Roman"/>
          <w:lang w:val="en-GB"/>
        </w:rPr>
        <w:t xml:space="preserve"> are not available.</w:t>
      </w:r>
    </w:p>
    <w:p w14:paraId="7A535B96" w14:textId="77777777" w:rsidR="00B832D4" w:rsidRPr="00B832D4" w:rsidRDefault="00B832D4" w:rsidP="0005619B">
      <w:pPr>
        <w:pStyle w:val="Paragraphedeliste"/>
        <w:spacing w:after="120" w:line="259" w:lineRule="auto"/>
        <w:jc w:val="both"/>
        <w:rPr>
          <w:rFonts w:ascii="Times New Roman" w:hAnsi="Times New Roman"/>
          <w:lang w:val="en-GB"/>
        </w:rPr>
      </w:pPr>
    </w:p>
    <w:p w14:paraId="7A535B98" w14:textId="544AF169" w:rsidR="0005619B" w:rsidRPr="00D53FA3" w:rsidRDefault="00B832D4" w:rsidP="00D53FA3">
      <w:pPr>
        <w:pStyle w:val="Paragraphedeliste"/>
        <w:numPr>
          <w:ilvl w:val="0"/>
          <w:numId w:val="54"/>
        </w:numPr>
        <w:spacing w:after="120" w:line="259" w:lineRule="auto"/>
        <w:jc w:val="both"/>
        <w:rPr>
          <w:rFonts w:ascii="Times New Roman" w:hAnsi="Times New Roman"/>
          <w:lang w:val="en-GB"/>
        </w:rPr>
      </w:pPr>
      <w:r>
        <w:rPr>
          <w:rFonts w:ascii="Times New Roman" w:hAnsi="Times New Roman"/>
          <w:lang w:val="en-GB"/>
        </w:rPr>
        <w:t xml:space="preserve">The capacity calculation is performed by the </w:t>
      </w:r>
      <w:r w:rsidRPr="004F6B5E">
        <w:rPr>
          <w:rFonts w:ascii="Times New Roman" w:hAnsi="Times New Roman"/>
          <w:lang w:val="en-GB"/>
        </w:rPr>
        <w:t>coordinated capacity calculator</w:t>
      </w:r>
      <w:r>
        <w:rPr>
          <w:rFonts w:ascii="Times New Roman" w:hAnsi="Times New Roman"/>
          <w:lang w:val="en-GB"/>
        </w:rPr>
        <w:t xml:space="preserve"> with an iterative process made up of the following steps</w:t>
      </w:r>
      <w:r w:rsidR="0005619B">
        <w:rPr>
          <w:rFonts w:ascii="Times New Roman" w:hAnsi="Times New Roman"/>
          <w:lang w:val="en-GB"/>
        </w:rPr>
        <w:t>, these will be repeated until it is not possible to achieve a higher secure level of capacity</w:t>
      </w:r>
      <w:r>
        <w:rPr>
          <w:rFonts w:ascii="Times New Roman" w:hAnsi="Times New Roman"/>
          <w:lang w:val="en-GB"/>
        </w:rPr>
        <w:t>:</w:t>
      </w:r>
    </w:p>
    <w:p w14:paraId="7A535B99" w14:textId="5A1C314B" w:rsidR="00B832D4" w:rsidRPr="0005619B" w:rsidRDefault="00B832D4" w:rsidP="00375CDC">
      <w:pPr>
        <w:pStyle w:val="Paragraphedeliste"/>
        <w:numPr>
          <w:ilvl w:val="0"/>
          <w:numId w:val="56"/>
        </w:numPr>
        <w:rPr>
          <w:rFonts w:ascii="Times New Roman" w:hAnsi="Times New Roman"/>
          <w:lang w:val="en-GB"/>
        </w:rPr>
      </w:pPr>
      <w:r>
        <w:rPr>
          <w:rFonts w:ascii="Times New Roman" w:hAnsi="Times New Roman"/>
          <w:lang w:val="en-GB"/>
        </w:rPr>
        <w:t>Security analysis on the CGM</w:t>
      </w:r>
      <w:r w:rsidR="0005619B">
        <w:rPr>
          <w:rFonts w:ascii="Times New Roman" w:hAnsi="Times New Roman"/>
          <w:lang w:val="en-GB"/>
        </w:rPr>
        <w:t>, considering the constraints defined in Article 6</w:t>
      </w:r>
      <w:r w:rsidR="00D53FA3">
        <w:rPr>
          <w:rFonts w:ascii="Times New Roman" w:hAnsi="Times New Roman"/>
          <w:lang w:val="en-GB"/>
        </w:rPr>
        <w:t>;</w:t>
      </w:r>
    </w:p>
    <w:p w14:paraId="7A535B9A" w14:textId="069BF685" w:rsidR="00B832D4" w:rsidRPr="0005619B" w:rsidRDefault="00B832D4" w:rsidP="00375CDC">
      <w:pPr>
        <w:pStyle w:val="Paragraphedeliste"/>
        <w:numPr>
          <w:ilvl w:val="0"/>
          <w:numId w:val="56"/>
        </w:numPr>
        <w:rPr>
          <w:rFonts w:ascii="Times New Roman" w:hAnsi="Times New Roman"/>
          <w:lang w:val="en-GB"/>
        </w:rPr>
      </w:pPr>
      <w:r>
        <w:rPr>
          <w:rFonts w:ascii="Times New Roman" w:hAnsi="Times New Roman"/>
          <w:lang w:val="en-GB"/>
        </w:rPr>
        <w:t>Remedial actions optimization to secure the CGM</w:t>
      </w:r>
      <w:r w:rsidR="00D53FA3">
        <w:rPr>
          <w:rFonts w:ascii="Times New Roman" w:hAnsi="Times New Roman"/>
          <w:lang w:val="en-GB"/>
        </w:rPr>
        <w:t>;</w:t>
      </w:r>
    </w:p>
    <w:p w14:paraId="7A535B9B" w14:textId="284D11DA" w:rsidR="004F6B5E" w:rsidRDefault="00B832D4" w:rsidP="00375CDC">
      <w:pPr>
        <w:pStyle w:val="Paragraphedeliste"/>
        <w:numPr>
          <w:ilvl w:val="0"/>
          <w:numId w:val="56"/>
        </w:numPr>
        <w:rPr>
          <w:rFonts w:ascii="Times New Roman" w:hAnsi="Times New Roman"/>
          <w:lang w:val="en-GB"/>
        </w:rPr>
      </w:pPr>
      <w:r>
        <w:rPr>
          <w:rFonts w:ascii="Times New Roman" w:hAnsi="Times New Roman"/>
          <w:lang w:val="en-GB"/>
        </w:rPr>
        <w:t xml:space="preserve">In case the CGM is secure, increase of the Italian import </w:t>
      </w:r>
      <w:r w:rsidR="0005619B">
        <w:rPr>
          <w:rFonts w:ascii="Times New Roman" w:hAnsi="Times New Roman"/>
          <w:lang w:val="en-GB"/>
        </w:rPr>
        <w:t xml:space="preserve">respecting the allocation constraint </w:t>
      </w:r>
      <w:r>
        <w:rPr>
          <w:rFonts w:ascii="Times New Roman" w:hAnsi="Times New Roman"/>
          <w:lang w:val="en-GB"/>
        </w:rPr>
        <w:t>by</w:t>
      </w:r>
      <w:r w:rsidR="0005619B">
        <w:rPr>
          <w:rFonts w:ascii="Times New Roman" w:hAnsi="Times New Roman"/>
          <w:lang w:val="en-GB"/>
        </w:rPr>
        <w:t xml:space="preserve"> adjusting </w:t>
      </w:r>
      <w:r>
        <w:rPr>
          <w:rFonts w:ascii="Times New Roman" w:hAnsi="Times New Roman"/>
          <w:lang w:val="en-GB"/>
        </w:rPr>
        <w:t>exchanges between Italy and the concerned countries</w:t>
      </w:r>
      <w:r w:rsidR="00D53FA3">
        <w:rPr>
          <w:rFonts w:ascii="Times New Roman" w:hAnsi="Times New Roman"/>
          <w:lang w:val="en-GB"/>
        </w:rPr>
        <w:t>.</w:t>
      </w:r>
    </w:p>
    <w:p w14:paraId="7A535B9C" w14:textId="77777777" w:rsidR="0005619B" w:rsidRPr="0005619B" w:rsidRDefault="0005619B" w:rsidP="0005619B">
      <w:pPr>
        <w:pStyle w:val="Paragraphedeliste"/>
        <w:spacing w:after="120" w:line="259" w:lineRule="auto"/>
        <w:ind w:left="1068"/>
        <w:jc w:val="both"/>
        <w:rPr>
          <w:rFonts w:ascii="Times New Roman" w:hAnsi="Times New Roman"/>
          <w:lang w:val="en-GB"/>
        </w:rPr>
      </w:pPr>
    </w:p>
    <w:p w14:paraId="7A535B9D" w14:textId="77777777" w:rsidR="004F6B5E" w:rsidRDefault="00600DCF" w:rsidP="0005619B">
      <w:pPr>
        <w:pStyle w:val="Paragraphedeliste"/>
        <w:numPr>
          <w:ilvl w:val="0"/>
          <w:numId w:val="54"/>
        </w:numPr>
        <w:spacing w:after="120" w:line="259" w:lineRule="auto"/>
        <w:jc w:val="both"/>
        <w:rPr>
          <w:rFonts w:ascii="Times New Roman" w:hAnsi="Times New Roman"/>
          <w:lang w:val="en-GB"/>
        </w:rPr>
      </w:pPr>
      <w:r w:rsidRPr="004F6B5E">
        <w:rPr>
          <w:rFonts w:ascii="Times New Roman" w:hAnsi="Times New Roman"/>
          <w:lang w:val="en-GB"/>
        </w:rPr>
        <w:t xml:space="preserve">The coordinated capacity calculator shall define the values of TTC for each market time unit. These values shall be provided to TSOs of the </w:t>
      </w:r>
      <w:r w:rsidR="004F6B5E">
        <w:rPr>
          <w:rFonts w:ascii="Times New Roman" w:hAnsi="Times New Roman"/>
          <w:lang w:val="en-GB"/>
        </w:rPr>
        <w:t>Italy North</w:t>
      </w:r>
      <w:r w:rsidRPr="004F6B5E">
        <w:rPr>
          <w:rFonts w:ascii="Times New Roman" w:hAnsi="Times New Roman"/>
          <w:lang w:val="en-GB"/>
        </w:rPr>
        <w:t xml:space="preserve"> Region for validation.</w:t>
      </w:r>
    </w:p>
    <w:p w14:paraId="7A535B9E" w14:textId="77777777" w:rsidR="00FA20E0" w:rsidRDefault="00FA20E0" w:rsidP="00FA20E0">
      <w:pPr>
        <w:pStyle w:val="Paragraphedeliste"/>
        <w:spacing w:after="120" w:line="259" w:lineRule="auto"/>
        <w:jc w:val="both"/>
        <w:rPr>
          <w:rFonts w:ascii="Times New Roman" w:hAnsi="Times New Roman"/>
          <w:lang w:val="en-GB"/>
        </w:rPr>
      </w:pPr>
    </w:p>
    <w:p w14:paraId="7A535B9F" w14:textId="77777777" w:rsidR="00FA20E0" w:rsidRDefault="00375CDC" w:rsidP="0005619B">
      <w:pPr>
        <w:pStyle w:val="Paragraphedeliste"/>
        <w:numPr>
          <w:ilvl w:val="0"/>
          <w:numId w:val="54"/>
        </w:numPr>
        <w:spacing w:after="120" w:line="259" w:lineRule="auto"/>
        <w:jc w:val="both"/>
        <w:rPr>
          <w:rFonts w:ascii="Times New Roman" w:hAnsi="Times New Roman"/>
          <w:lang w:val="en-GB"/>
        </w:rPr>
      </w:pPr>
      <w:r>
        <w:rPr>
          <w:rFonts w:ascii="Times New Roman" w:hAnsi="Times New Roman"/>
          <w:lang w:val="en-GB"/>
        </w:rPr>
        <w:t>The NTC Calculation for each border is achieved according to the following steps:</w:t>
      </w:r>
    </w:p>
    <w:p w14:paraId="7A535BA1" w14:textId="2FB2A140" w:rsidR="00375CDC" w:rsidRDefault="00375CDC" w:rsidP="00375CDC">
      <w:pPr>
        <w:pStyle w:val="Paragraphedeliste"/>
        <w:numPr>
          <w:ilvl w:val="0"/>
          <w:numId w:val="56"/>
        </w:numPr>
        <w:rPr>
          <w:rFonts w:ascii="Times New Roman" w:hAnsi="Times New Roman"/>
          <w:lang w:val="en-GB"/>
        </w:rPr>
      </w:pPr>
      <w:r>
        <w:rPr>
          <w:rFonts w:ascii="Times New Roman" w:hAnsi="Times New Roman"/>
          <w:lang w:val="en-GB"/>
        </w:rPr>
        <w:t xml:space="preserve">TTC Selection. </w:t>
      </w:r>
      <w:r w:rsidRPr="00375CDC">
        <w:rPr>
          <w:rFonts w:ascii="Times New Roman" w:hAnsi="Times New Roman"/>
          <w:lang w:val="en-GB"/>
        </w:rPr>
        <w:t xml:space="preserve">In this sub process, </w:t>
      </w:r>
      <w:r w:rsidR="00F01D2D">
        <w:rPr>
          <w:rFonts w:ascii="Times New Roman" w:hAnsi="Times New Roman"/>
          <w:lang w:val="en-GB"/>
        </w:rPr>
        <w:t xml:space="preserve">the TTC value is forced to be within </w:t>
      </w:r>
      <w:r w:rsidR="00CD3928">
        <w:rPr>
          <w:rFonts w:ascii="Times New Roman" w:hAnsi="Times New Roman"/>
          <w:lang w:val="en-GB"/>
        </w:rPr>
        <w:t xml:space="preserve">a limiting </w:t>
      </w:r>
      <w:r w:rsidR="00F01D2D">
        <w:rPr>
          <w:rFonts w:ascii="Times New Roman" w:hAnsi="Times New Roman"/>
          <w:lang w:val="en-GB"/>
        </w:rPr>
        <w:t>band</w:t>
      </w:r>
      <w:r w:rsidR="00D53FA3">
        <w:rPr>
          <w:rFonts w:ascii="Times New Roman" w:hAnsi="Times New Roman"/>
          <w:lang w:val="en-GB"/>
        </w:rPr>
        <w:t>;</w:t>
      </w:r>
    </w:p>
    <w:p w14:paraId="7A535BA2" w14:textId="72E0F1E8" w:rsidR="00375CDC" w:rsidRDefault="00375CDC" w:rsidP="00CD3928">
      <w:pPr>
        <w:pStyle w:val="Paragraphedeliste"/>
        <w:numPr>
          <w:ilvl w:val="0"/>
          <w:numId w:val="56"/>
        </w:numPr>
        <w:rPr>
          <w:rFonts w:ascii="Times New Roman" w:hAnsi="Times New Roman"/>
          <w:lang w:val="en-GB"/>
        </w:rPr>
      </w:pPr>
      <w:r>
        <w:rPr>
          <w:rFonts w:ascii="Times New Roman" w:hAnsi="Times New Roman"/>
          <w:lang w:val="en-GB"/>
        </w:rPr>
        <w:t>TTC Validation</w:t>
      </w:r>
      <w:r w:rsidR="00CD3928">
        <w:rPr>
          <w:rFonts w:ascii="Times New Roman" w:hAnsi="Times New Roman"/>
          <w:lang w:val="en-GB"/>
        </w:rPr>
        <w:t xml:space="preserve">. </w:t>
      </w:r>
      <w:r w:rsidR="00CD3928" w:rsidRPr="00CD3928">
        <w:rPr>
          <w:rFonts w:ascii="Times New Roman" w:hAnsi="Times New Roman"/>
          <w:lang w:val="en-GB"/>
        </w:rPr>
        <w:t xml:space="preserve">In this sub process, each TSO </w:t>
      </w:r>
      <w:r w:rsidR="00CD3928" w:rsidRPr="009F2591">
        <w:rPr>
          <w:rFonts w:ascii="Times New Roman" w:hAnsi="Times New Roman"/>
          <w:lang w:val="en-GB"/>
        </w:rPr>
        <w:t xml:space="preserve">of the </w:t>
      </w:r>
      <w:r w:rsidR="00CD3928">
        <w:rPr>
          <w:rFonts w:ascii="Times New Roman" w:hAnsi="Times New Roman"/>
          <w:lang w:val="en-GB"/>
        </w:rPr>
        <w:t>Italy North</w:t>
      </w:r>
      <w:r w:rsidR="00CD3928" w:rsidRPr="004F6B5E">
        <w:rPr>
          <w:rFonts w:ascii="Times New Roman" w:hAnsi="Times New Roman"/>
          <w:lang w:val="en-GB"/>
        </w:rPr>
        <w:t xml:space="preserve"> </w:t>
      </w:r>
      <w:r w:rsidR="00CD3928" w:rsidRPr="009F2591">
        <w:rPr>
          <w:rFonts w:ascii="Times New Roman" w:hAnsi="Times New Roman"/>
          <w:lang w:val="en-GB"/>
        </w:rPr>
        <w:t>Region</w:t>
      </w:r>
      <w:r w:rsidR="00CD3928">
        <w:rPr>
          <w:rFonts w:ascii="Times New Roman" w:hAnsi="Times New Roman"/>
          <w:lang w:val="en-GB"/>
        </w:rPr>
        <w:t xml:space="preserve"> has to verify </w:t>
      </w:r>
      <w:r w:rsidR="00CD6DF2">
        <w:rPr>
          <w:rFonts w:ascii="Times New Roman" w:hAnsi="Times New Roman"/>
          <w:lang w:val="en-GB"/>
        </w:rPr>
        <w:t>its</w:t>
      </w:r>
      <w:r w:rsidR="00CD3928" w:rsidRPr="00CD3928">
        <w:rPr>
          <w:rFonts w:ascii="Times New Roman" w:hAnsi="Times New Roman"/>
          <w:lang w:val="en-GB"/>
        </w:rPr>
        <w:t xml:space="preserve"> network security at the </w:t>
      </w:r>
      <w:r w:rsidR="002A52BE">
        <w:rPr>
          <w:rFonts w:ascii="Times New Roman" w:hAnsi="Times New Roman"/>
          <w:lang w:val="en-GB"/>
        </w:rPr>
        <w:t xml:space="preserve">TTC value </w:t>
      </w:r>
      <w:r w:rsidR="00CD3928" w:rsidRPr="00CD3928">
        <w:rPr>
          <w:rFonts w:ascii="Times New Roman" w:hAnsi="Times New Roman"/>
          <w:lang w:val="en-GB"/>
        </w:rPr>
        <w:t>provided by the TTC Selection sub process</w:t>
      </w:r>
      <w:r w:rsidR="002A52BE">
        <w:rPr>
          <w:rFonts w:ascii="Times New Roman" w:hAnsi="Times New Roman"/>
          <w:lang w:val="en-GB"/>
        </w:rPr>
        <w:t xml:space="preserve">. The </w:t>
      </w:r>
      <w:r w:rsidR="002A52BE" w:rsidRPr="00CD3928">
        <w:rPr>
          <w:rFonts w:ascii="Times New Roman" w:hAnsi="Times New Roman"/>
          <w:lang w:val="en-GB"/>
        </w:rPr>
        <w:t xml:space="preserve">TSO </w:t>
      </w:r>
      <w:r w:rsidR="002A52BE" w:rsidRPr="009F2591">
        <w:rPr>
          <w:rFonts w:ascii="Times New Roman" w:hAnsi="Times New Roman"/>
          <w:lang w:val="en-GB"/>
        </w:rPr>
        <w:t xml:space="preserve">of the </w:t>
      </w:r>
      <w:r w:rsidR="002A52BE">
        <w:rPr>
          <w:rFonts w:ascii="Times New Roman" w:hAnsi="Times New Roman"/>
          <w:lang w:val="en-GB"/>
        </w:rPr>
        <w:t>Italy North</w:t>
      </w:r>
      <w:r w:rsidR="002A52BE" w:rsidRPr="004F6B5E">
        <w:rPr>
          <w:rFonts w:ascii="Times New Roman" w:hAnsi="Times New Roman"/>
          <w:lang w:val="en-GB"/>
        </w:rPr>
        <w:t xml:space="preserve"> </w:t>
      </w:r>
      <w:r w:rsidR="002A52BE" w:rsidRPr="009F2591">
        <w:rPr>
          <w:rFonts w:ascii="Times New Roman" w:hAnsi="Times New Roman"/>
          <w:lang w:val="en-GB"/>
        </w:rPr>
        <w:t>Region</w:t>
      </w:r>
      <w:r w:rsidR="002A52BE">
        <w:rPr>
          <w:rFonts w:ascii="Times New Roman" w:hAnsi="Times New Roman"/>
          <w:lang w:val="en-GB"/>
        </w:rPr>
        <w:t xml:space="preserve"> have the possibility to reduce this TTC value in case it is considered not secure</w:t>
      </w:r>
      <w:r w:rsidR="00D53FA3">
        <w:rPr>
          <w:rFonts w:ascii="Times New Roman" w:hAnsi="Times New Roman"/>
          <w:lang w:val="en-GB"/>
        </w:rPr>
        <w:t>;</w:t>
      </w:r>
    </w:p>
    <w:p w14:paraId="7A535BA3" w14:textId="3AAD536F" w:rsidR="00375CDC" w:rsidRDefault="00375CDC" w:rsidP="00CD6DF2">
      <w:pPr>
        <w:pStyle w:val="Paragraphedeliste"/>
        <w:numPr>
          <w:ilvl w:val="0"/>
          <w:numId w:val="56"/>
        </w:numPr>
        <w:rPr>
          <w:rFonts w:ascii="Times New Roman" w:hAnsi="Times New Roman"/>
          <w:lang w:val="en-GB"/>
        </w:rPr>
      </w:pPr>
      <w:r>
        <w:rPr>
          <w:rFonts w:ascii="Times New Roman" w:hAnsi="Times New Roman"/>
          <w:lang w:val="en-GB"/>
        </w:rPr>
        <w:t>Border NTC Calculation</w:t>
      </w:r>
      <w:r w:rsidR="002A52BE">
        <w:rPr>
          <w:rFonts w:ascii="Times New Roman" w:hAnsi="Times New Roman"/>
          <w:lang w:val="en-GB"/>
        </w:rPr>
        <w:t xml:space="preserve">. </w:t>
      </w:r>
      <w:r w:rsidR="0017167C">
        <w:rPr>
          <w:rFonts w:ascii="Times New Roman" w:hAnsi="Times New Roman"/>
          <w:lang w:val="en-GB"/>
        </w:rPr>
        <w:t>The lowest value provided by the TTC Validation sub process is considered, reduced by the TRM and then split between the borders according to agreed splitting factors</w:t>
      </w:r>
      <w:r w:rsidR="00D53FA3">
        <w:rPr>
          <w:rFonts w:ascii="Times New Roman" w:hAnsi="Times New Roman"/>
          <w:lang w:val="en-GB"/>
        </w:rPr>
        <w:t>.</w:t>
      </w:r>
    </w:p>
    <w:p w14:paraId="22613ABC" w14:textId="2666906F" w:rsidR="009C024E" w:rsidRPr="00FB6D2B" w:rsidRDefault="00042DBE" w:rsidP="00FB6D2B">
      <w:pPr>
        <w:pStyle w:val="Paragraphedeliste"/>
        <w:spacing w:after="120" w:line="259" w:lineRule="auto"/>
        <w:ind w:left="708"/>
        <w:jc w:val="both"/>
        <w:rPr>
          <w:rFonts w:ascii="Times New Roman" w:hAnsi="Times New Roman"/>
          <w:lang w:val="en-GB"/>
        </w:rPr>
      </w:pPr>
      <w:r w:rsidRPr="007A63D6">
        <w:rPr>
          <w:rFonts w:ascii="Times New Roman" w:hAnsi="Times New Roman"/>
          <w:lang w:val="en-GB"/>
        </w:rPr>
        <w:t>The TSOs of the Italy North Region do not see the need to perform daily capacity calculation in</w:t>
      </w:r>
      <w:r w:rsidR="008B52F8">
        <w:rPr>
          <w:rFonts w:ascii="Times New Roman" w:hAnsi="Times New Roman"/>
          <w:lang w:val="en-GB"/>
        </w:rPr>
        <w:t xml:space="preserve"> </w:t>
      </w:r>
      <w:r w:rsidRPr="007A63D6">
        <w:rPr>
          <w:rFonts w:ascii="Times New Roman" w:hAnsi="Times New Roman"/>
          <w:lang w:val="en-GB"/>
        </w:rPr>
        <w:t>export direction because the full export is still expected to be the unlikely market direction. Nevertheless, the export capacity for each border is reassessed every year, and this value is used for the daily allocation</w:t>
      </w:r>
      <w:r w:rsidR="00D53FA3">
        <w:rPr>
          <w:rFonts w:ascii="Times New Roman" w:hAnsi="Times New Roman"/>
          <w:lang w:val="en-GB"/>
        </w:rPr>
        <w:t>.</w:t>
      </w:r>
      <w:bookmarkStart w:id="45" w:name="_GoBack"/>
      <w:bookmarkEnd w:id="45"/>
    </w:p>
    <w:p w14:paraId="3E04FB6A" w14:textId="77777777" w:rsidR="008B52F8" w:rsidRDefault="008B52F8" w:rsidP="00FB6D2B">
      <w:pPr>
        <w:pStyle w:val="Paragraphedeliste"/>
        <w:spacing w:after="120" w:line="259" w:lineRule="auto"/>
        <w:jc w:val="both"/>
        <w:rPr>
          <w:rFonts w:ascii="Times New Roman" w:hAnsi="Times New Roman"/>
          <w:lang w:val="en-GB"/>
        </w:rPr>
      </w:pPr>
    </w:p>
    <w:p w14:paraId="7A535BA7" w14:textId="5CFBAC11" w:rsidR="009F2591" w:rsidRDefault="00600DCF" w:rsidP="0005619B">
      <w:pPr>
        <w:pStyle w:val="Paragraphedeliste"/>
        <w:numPr>
          <w:ilvl w:val="0"/>
          <w:numId w:val="54"/>
        </w:numPr>
        <w:spacing w:after="120" w:line="259" w:lineRule="auto"/>
        <w:jc w:val="both"/>
        <w:rPr>
          <w:rFonts w:ascii="Times New Roman" w:hAnsi="Times New Roman"/>
          <w:lang w:val="en-GB"/>
        </w:rPr>
      </w:pPr>
      <w:r w:rsidRPr="009F2591">
        <w:rPr>
          <w:rFonts w:ascii="Times New Roman" w:hAnsi="Times New Roman"/>
          <w:lang w:val="en-GB"/>
        </w:rPr>
        <w:t xml:space="preserve">The coordinated capacity calculator of the </w:t>
      </w:r>
      <w:r w:rsidR="009F2591">
        <w:rPr>
          <w:rFonts w:ascii="Times New Roman" w:hAnsi="Times New Roman"/>
          <w:lang w:val="en-GB"/>
        </w:rPr>
        <w:t>Italy North</w:t>
      </w:r>
      <w:r w:rsidR="009F2591" w:rsidRPr="004F6B5E">
        <w:rPr>
          <w:rFonts w:ascii="Times New Roman" w:hAnsi="Times New Roman"/>
          <w:lang w:val="en-GB"/>
        </w:rPr>
        <w:t xml:space="preserve"> </w:t>
      </w:r>
      <w:r w:rsidRPr="009F2591">
        <w:rPr>
          <w:rFonts w:ascii="Times New Roman" w:hAnsi="Times New Roman"/>
          <w:lang w:val="en-GB"/>
        </w:rPr>
        <w:t xml:space="preserve">Region shall provide </w:t>
      </w:r>
      <w:bookmarkStart w:id="46" w:name="_Hlk506466402"/>
      <w:r w:rsidRPr="009F2591">
        <w:rPr>
          <w:rFonts w:ascii="Times New Roman" w:hAnsi="Times New Roman"/>
          <w:lang w:val="en-GB"/>
        </w:rPr>
        <w:t xml:space="preserve">the </w:t>
      </w:r>
      <w:r w:rsidR="00A63BCD">
        <w:rPr>
          <w:rFonts w:ascii="Times New Roman" w:hAnsi="Times New Roman"/>
          <w:lang w:val="en-GB"/>
        </w:rPr>
        <w:t>relevant NEMOs</w:t>
      </w:r>
      <w:r w:rsidRPr="009F2591">
        <w:rPr>
          <w:rFonts w:ascii="Times New Roman" w:hAnsi="Times New Roman"/>
          <w:lang w:val="en-GB"/>
        </w:rPr>
        <w:t xml:space="preserve"> </w:t>
      </w:r>
      <w:bookmarkEnd w:id="46"/>
      <w:r w:rsidRPr="009F2591">
        <w:rPr>
          <w:rFonts w:ascii="Times New Roman" w:hAnsi="Times New Roman"/>
          <w:lang w:val="en-GB"/>
        </w:rPr>
        <w:t>with the validated NTCs</w:t>
      </w:r>
      <w:r w:rsidR="00D26B9B">
        <w:rPr>
          <w:rFonts w:ascii="Times New Roman" w:hAnsi="Times New Roman"/>
          <w:lang w:val="en-GB"/>
        </w:rPr>
        <w:t xml:space="preserve"> </w:t>
      </w:r>
      <w:r w:rsidR="00D26B9B" w:rsidRPr="009F2591">
        <w:rPr>
          <w:rFonts w:ascii="Times New Roman" w:hAnsi="Times New Roman"/>
          <w:lang w:val="en-GB"/>
        </w:rPr>
        <w:t xml:space="preserve">for each bidding-zone border of </w:t>
      </w:r>
      <w:r w:rsidR="00D26B9B">
        <w:rPr>
          <w:rFonts w:ascii="Times New Roman" w:hAnsi="Times New Roman"/>
          <w:lang w:val="en-GB"/>
        </w:rPr>
        <w:t>Italy North</w:t>
      </w:r>
      <w:r w:rsidR="00D26B9B" w:rsidRPr="004F6B5E">
        <w:rPr>
          <w:rFonts w:ascii="Times New Roman" w:hAnsi="Times New Roman"/>
          <w:lang w:val="en-GB"/>
        </w:rPr>
        <w:t xml:space="preserve"> </w:t>
      </w:r>
      <w:r w:rsidR="00D26B9B" w:rsidRPr="009F2591">
        <w:rPr>
          <w:rFonts w:ascii="Times New Roman" w:hAnsi="Times New Roman"/>
          <w:lang w:val="en-GB"/>
        </w:rPr>
        <w:t>Region</w:t>
      </w:r>
      <w:r w:rsidRPr="009F2591">
        <w:rPr>
          <w:rFonts w:ascii="Times New Roman" w:hAnsi="Times New Roman"/>
          <w:lang w:val="en-GB"/>
        </w:rPr>
        <w:t xml:space="preserve"> after application of the reliability margin defined in accordance with Article </w:t>
      </w:r>
      <w:r w:rsidR="00D26B9B">
        <w:rPr>
          <w:rFonts w:ascii="Times New Roman" w:hAnsi="Times New Roman"/>
          <w:lang w:val="en-GB"/>
        </w:rPr>
        <w:t>5</w:t>
      </w:r>
      <w:r w:rsidR="00FA20E0">
        <w:rPr>
          <w:rFonts w:ascii="Times New Roman" w:hAnsi="Times New Roman"/>
          <w:lang w:val="en-GB"/>
        </w:rPr>
        <w:t>.</w:t>
      </w:r>
    </w:p>
    <w:p w14:paraId="7A535BA8" w14:textId="77777777" w:rsidR="009F2591" w:rsidRPr="0005619B" w:rsidRDefault="009F2591" w:rsidP="0005619B">
      <w:pPr>
        <w:pStyle w:val="Paragraphedeliste"/>
        <w:spacing w:after="120" w:line="259" w:lineRule="auto"/>
        <w:jc w:val="both"/>
        <w:rPr>
          <w:rFonts w:ascii="Times New Roman" w:hAnsi="Times New Roman"/>
          <w:lang w:val="en-GB"/>
        </w:rPr>
      </w:pPr>
    </w:p>
    <w:p w14:paraId="7A535BA9" w14:textId="77777777" w:rsidR="009F2591" w:rsidRPr="009F2591" w:rsidRDefault="009F2591" w:rsidP="0005619B">
      <w:pPr>
        <w:pStyle w:val="Paragraphedeliste"/>
        <w:numPr>
          <w:ilvl w:val="0"/>
          <w:numId w:val="54"/>
        </w:numPr>
        <w:spacing w:after="120" w:line="259" w:lineRule="auto"/>
        <w:jc w:val="both"/>
        <w:rPr>
          <w:rFonts w:ascii="Times New Roman" w:hAnsi="Times New Roman"/>
          <w:lang w:val="en-GB"/>
        </w:rPr>
      </w:pPr>
      <w:r w:rsidRPr="0005619B">
        <w:rPr>
          <w:rFonts w:ascii="Times New Roman" w:hAnsi="Times New Roman"/>
          <w:lang w:val="en-GB"/>
        </w:rPr>
        <w:t xml:space="preserve">In accordance with Article 46 of CACM Regulation, the coordinated capacity calculator and </w:t>
      </w:r>
      <w:r>
        <w:rPr>
          <w:rFonts w:ascii="Times New Roman" w:hAnsi="Times New Roman"/>
          <w:lang w:val="en-GB"/>
        </w:rPr>
        <w:t>Italy North</w:t>
      </w:r>
      <w:r w:rsidRPr="004F6B5E">
        <w:rPr>
          <w:rFonts w:ascii="Times New Roman" w:hAnsi="Times New Roman"/>
          <w:lang w:val="en-GB"/>
        </w:rPr>
        <w:t xml:space="preserve"> </w:t>
      </w:r>
      <w:r w:rsidRPr="0005619B">
        <w:rPr>
          <w:rFonts w:ascii="Times New Roman" w:hAnsi="Times New Roman"/>
          <w:lang w:val="en-GB"/>
        </w:rPr>
        <w:t>TSOs shall ensure that cross-zonal capacity shall be provided to relevant NEMOs before the day-ahead firmness deadline as defined in accordance with Article 69 of CACM Regulation.</w:t>
      </w:r>
    </w:p>
    <w:p w14:paraId="7B415E29" w14:textId="62AD98CE" w:rsidR="00FB6D2B" w:rsidRDefault="00FB6D2B" w:rsidP="00FB6D2B">
      <w:pPr>
        <w:spacing w:after="120" w:line="259" w:lineRule="auto"/>
        <w:contextualSpacing/>
        <w:jc w:val="both"/>
        <w:rPr>
          <w:rFonts w:ascii="Times New Roman" w:hAnsi="Times New Roman"/>
          <w:color w:val="00B050"/>
          <w:szCs w:val="22"/>
          <w:lang w:val="en-GB" w:eastAsia="en-US"/>
        </w:rPr>
      </w:pPr>
    </w:p>
    <w:p w14:paraId="7A535BAB" w14:textId="77777777" w:rsidR="00600DCF" w:rsidRPr="00FD2474" w:rsidRDefault="004C3E21" w:rsidP="00600DCF">
      <w:pPr>
        <w:spacing w:after="120" w:line="260" w:lineRule="exact"/>
        <w:jc w:val="center"/>
        <w:outlineLvl w:val="1"/>
        <w:rPr>
          <w:rFonts w:ascii="Times New Roman" w:hAnsi="Times New Roman" w:cs="Arial"/>
          <w:b/>
          <w:color w:val="23236E"/>
          <w:sz w:val="24"/>
          <w:lang w:val="en-GB" w:eastAsia="en-US"/>
        </w:rPr>
      </w:pPr>
      <w:bookmarkStart w:id="47" w:name="_Toc475469396"/>
      <w:bookmarkStart w:id="48" w:name="_Toc496628120"/>
      <w:r w:rsidRPr="00FD2474">
        <w:rPr>
          <w:rFonts w:ascii="Times New Roman" w:hAnsi="Times New Roman" w:cs="Arial"/>
          <w:b/>
          <w:color w:val="23236E"/>
          <w:sz w:val="24"/>
          <w:lang w:val="en-GB" w:eastAsia="en-US"/>
        </w:rPr>
        <w:t>Article 11</w:t>
      </w:r>
      <w:r w:rsidR="00600DCF" w:rsidRPr="00FD2474">
        <w:rPr>
          <w:rFonts w:ascii="Times New Roman" w:hAnsi="Times New Roman" w:cs="Arial"/>
          <w:b/>
          <w:color w:val="23236E"/>
          <w:sz w:val="24"/>
          <w:lang w:val="en-GB" w:eastAsia="en-US"/>
        </w:rPr>
        <w:br/>
      </w:r>
      <w:proofErr w:type="spellStart"/>
      <w:r w:rsidR="00600DCF" w:rsidRPr="00FD2474">
        <w:rPr>
          <w:rFonts w:ascii="Times New Roman" w:hAnsi="Times New Roman" w:cs="Arial"/>
          <w:b/>
          <w:color w:val="23236E"/>
          <w:sz w:val="24"/>
          <w:lang w:val="en-GB" w:eastAsia="en-US"/>
        </w:rPr>
        <w:t>Fallback</w:t>
      </w:r>
      <w:proofErr w:type="spellEnd"/>
      <w:r w:rsidR="00600DCF" w:rsidRPr="00FD2474">
        <w:rPr>
          <w:rFonts w:ascii="Times New Roman" w:hAnsi="Times New Roman" w:cs="Arial"/>
          <w:b/>
          <w:color w:val="23236E"/>
          <w:sz w:val="24"/>
          <w:lang w:val="en-GB" w:eastAsia="en-US"/>
        </w:rPr>
        <w:t xml:space="preserve"> procedures</w:t>
      </w:r>
      <w:bookmarkEnd w:id="47"/>
      <w:bookmarkEnd w:id="48"/>
    </w:p>
    <w:p w14:paraId="7A535BAC" w14:textId="77777777" w:rsidR="00600DCF" w:rsidRPr="00483D36" w:rsidRDefault="002732BA" w:rsidP="00483D36">
      <w:pPr>
        <w:pStyle w:val="Paragraphedeliste"/>
        <w:numPr>
          <w:ilvl w:val="0"/>
          <w:numId w:val="45"/>
        </w:numPr>
        <w:autoSpaceDE w:val="0"/>
        <w:autoSpaceDN w:val="0"/>
        <w:adjustRightInd w:val="0"/>
        <w:spacing w:after="120" w:line="259" w:lineRule="auto"/>
        <w:jc w:val="both"/>
        <w:rPr>
          <w:rFonts w:ascii="Times New Roman" w:eastAsiaTheme="minorHAnsi" w:hAnsi="Times New Roman"/>
          <w:szCs w:val="22"/>
          <w:lang w:val="en-US" w:eastAsia="en-US"/>
        </w:rPr>
      </w:pPr>
      <w:r>
        <w:rPr>
          <w:rFonts w:ascii="Times New Roman" w:eastAsiaTheme="minorHAnsi" w:hAnsi="Times New Roman"/>
          <w:szCs w:val="22"/>
          <w:lang w:val="en-US" w:eastAsia="en-US"/>
        </w:rPr>
        <w:t>For the goal of the fall back procedures application, p</w:t>
      </w:r>
      <w:r w:rsidR="00600DCF" w:rsidRPr="00483D36">
        <w:rPr>
          <w:rFonts w:ascii="Times New Roman" w:eastAsiaTheme="minorHAnsi" w:hAnsi="Times New Roman"/>
          <w:szCs w:val="22"/>
          <w:lang w:val="en-US" w:eastAsia="en-US"/>
        </w:rPr>
        <w:t xml:space="preserve">rior to each capacity calculation performed in D-2, the TSOs of </w:t>
      </w:r>
      <w:r w:rsidR="00483D36">
        <w:rPr>
          <w:rFonts w:ascii="Times New Roman" w:hAnsi="Times New Roman"/>
          <w:lang w:val="en-GB"/>
        </w:rPr>
        <w:t>Italy North</w:t>
      </w:r>
      <w:r w:rsidR="00483D36" w:rsidRPr="004F6B5E">
        <w:rPr>
          <w:rFonts w:ascii="Times New Roman" w:hAnsi="Times New Roman"/>
          <w:lang w:val="en-GB"/>
        </w:rPr>
        <w:t xml:space="preserve"> </w:t>
      </w:r>
      <w:r w:rsidR="00600DCF" w:rsidRPr="00483D36">
        <w:rPr>
          <w:rFonts w:ascii="Times New Roman" w:eastAsiaTheme="minorHAnsi" w:hAnsi="Times New Roman"/>
          <w:szCs w:val="22"/>
          <w:lang w:val="en-US" w:eastAsia="en-US"/>
        </w:rPr>
        <w:t>Region shall ensure the coordinated capacity calculator is provided with the already allocated capacities within the long term timeframe.</w:t>
      </w:r>
    </w:p>
    <w:p w14:paraId="7A535BAD" w14:textId="77777777" w:rsidR="00600DCF" w:rsidRPr="00600DCF" w:rsidRDefault="00600DCF" w:rsidP="00600DCF">
      <w:pPr>
        <w:pStyle w:val="Paragraphedeliste"/>
        <w:spacing w:after="120" w:line="259" w:lineRule="auto"/>
        <w:jc w:val="both"/>
        <w:rPr>
          <w:rFonts w:ascii="Times New Roman" w:hAnsi="Times New Roman" w:cs="Arial"/>
          <w:b/>
          <w:color w:val="00B050"/>
          <w:sz w:val="24"/>
          <w:lang w:val="en-GB" w:eastAsia="en-US"/>
        </w:rPr>
      </w:pPr>
    </w:p>
    <w:p w14:paraId="7A535BAE" w14:textId="77777777" w:rsidR="00600DCF" w:rsidRPr="00483D36" w:rsidRDefault="00483D36" w:rsidP="00F0294C">
      <w:pPr>
        <w:pStyle w:val="Paragraphedeliste"/>
        <w:numPr>
          <w:ilvl w:val="0"/>
          <w:numId w:val="45"/>
        </w:numPr>
        <w:autoSpaceDE w:val="0"/>
        <w:autoSpaceDN w:val="0"/>
        <w:adjustRightInd w:val="0"/>
        <w:spacing w:after="120" w:line="259" w:lineRule="auto"/>
        <w:jc w:val="both"/>
        <w:rPr>
          <w:rFonts w:ascii="Times New Roman" w:eastAsiaTheme="minorHAnsi" w:hAnsi="Times New Roman"/>
          <w:szCs w:val="22"/>
          <w:lang w:val="en-US" w:eastAsia="en-US"/>
        </w:rPr>
      </w:pPr>
      <w:r w:rsidRPr="00483D36">
        <w:rPr>
          <w:rFonts w:ascii="Times New Roman" w:eastAsiaTheme="minorHAnsi" w:hAnsi="Times New Roman"/>
          <w:szCs w:val="22"/>
          <w:lang w:val="en-US" w:eastAsia="en-US"/>
        </w:rPr>
        <w:t xml:space="preserve">For the capacity calculation performed in D-2, where an incident occurs in the capacity calculation process and the coordinated capacity calculator is unable to produce results within the allotted time </w:t>
      </w:r>
      <w:r w:rsidRPr="00483D36">
        <w:rPr>
          <w:rFonts w:ascii="Times New Roman" w:eastAsiaTheme="minorHAnsi" w:hAnsi="Times New Roman"/>
          <w:szCs w:val="22"/>
          <w:lang w:val="en-US" w:eastAsia="en-US"/>
        </w:rPr>
        <w:lastRenderedPageBreak/>
        <w:t xml:space="preserve">for the calculation process, the </w:t>
      </w:r>
      <w:r>
        <w:rPr>
          <w:rFonts w:ascii="Times New Roman" w:hAnsi="Times New Roman"/>
          <w:lang w:val="en-GB"/>
        </w:rPr>
        <w:t>Italy North</w:t>
      </w:r>
      <w:r w:rsidRPr="004F6B5E">
        <w:rPr>
          <w:rFonts w:ascii="Times New Roman" w:hAnsi="Times New Roman"/>
          <w:lang w:val="en-GB"/>
        </w:rPr>
        <w:t xml:space="preserve"> </w:t>
      </w:r>
      <w:r w:rsidRPr="00483D36">
        <w:rPr>
          <w:rFonts w:ascii="Times New Roman" w:eastAsiaTheme="minorHAnsi" w:hAnsi="Times New Roman"/>
          <w:szCs w:val="22"/>
          <w:lang w:val="en-US" w:eastAsia="en-US"/>
        </w:rPr>
        <w:t xml:space="preserve">TSOs shall validate the last coordinated cross-zonal capacities calculated within the long term timeframe. After this validation step, the coordinated capacity calculator or </w:t>
      </w:r>
      <w:r>
        <w:rPr>
          <w:rFonts w:ascii="Times New Roman" w:hAnsi="Times New Roman"/>
          <w:lang w:val="en-GB"/>
        </w:rPr>
        <w:t>Italy North</w:t>
      </w:r>
      <w:r w:rsidRPr="004F6B5E">
        <w:rPr>
          <w:rFonts w:ascii="Times New Roman" w:hAnsi="Times New Roman"/>
          <w:lang w:val="en-GB"/>
        </w:rPr>
        <w:t xml:space="preserve"> </w:t>
      </w:r>
      <w:r w:rsidRPr="00483D36">
        <w:rPr>
          <w:rFonts w:ascii="Times New Roman" w:eastAsiaTheme="minorHAnsi" w:hAnsi="Times New Roman"/>
          <w:szCs w:val="22"/>
          <w:lang w:val="en-US" w:eastAsia="en-US"/>
        </w:rPr>
        <w:t xml:space="preserve">TSOs where applicable, shall provide the </w:t>
      </w:r>
      <w:r w:rsidR="00947A29">
        <w:rPr>
          <w:rFonts w:ascii="Times New Roman" w:eastAsiaTheme="minorHAnsi" w:hAnsi="Times New Roman"/>
          <w:szCs w:val="22"/>
          <w:lang w:val="en-US" w:eastAsia="en-US"/>
        </w:rPr>
        <w:t>relevant NEMOs</w:t>
      </w:r>
      <w:r w:rsidRPr="00483D36">
        <w:rPr>
          <w:rFonts w:ascii="Times New Roman" w:eastAsiaTheme="minorHAnsi" w:hAnsi="Times New Roman"/>
          <w:szCs w:val="22"/>
          <w:lang w:val="en-US" w:eastAsia="en-US"/>
        </w:rPr>
        <w:t xml:space="preserve"> with this coordinated value.</w:t>
      </w:r>
    </w:p>
    <w:p w14:paraId="7A535BAF" w14:textId="77777777" w:rsidR="00600DCF" w:rsidRPr="00CB2FE0" w:rsidRDefault="00600DCF" w:rsidP="004F245D">
      <w:pPr>
        <w:spacing w:after="120" w:line="259" w:lineRule="auto"/>
        <w:ind w:left="567"/>
        <w:contextualSpacing/>
        <w:jc w:val="both"/>
        <w:rPr>
          <w:rFonts w:ascii="Times New Roman" w:hAnsi="Times New Roman"/>
          <w:color w:val="00B050"/>
          <w:szCs w:val="22"/>
          <w:lang w:val="en-GB" w:eastAsia="en-US"/>
        </w:rPr>
      </w:pPr>
    </w:p>
    <w:p w14:paraId="7A535BB0" w14:textId="77777777" w:rsidR="00B650D8" w:rsidRPr="00856950" w:rsidRDefault="004F245D" w:rsidP="00B650D8">
      <w:pPr>
        <w:spacing w:after="120" w:line="260" w:lineRule="exact"/>
        <w:jc w:val="center"/>
        <w:outlineLvl w:val="1"/>
        <w:rPr>
          <w:rFonts w:ascii="Times New Roman" w:hAnsi="Times New Roman" w:cs="Arial"/>
          <w:b/>
          <w:color w:val="23236E"/>
          <w:sz w:val="24"/>
          <w:lang w:val="en-GB" w:eastAsia="en-US"/>
        </w:rPr>
      </w:pPr>
      <w:bookmarkStart w:id="49" w:name="_Toc422337372"/>
      <w:bookmarkStart w:id="50" w:name="_Toc422742328"/>
      <w:bookmarkStart w:id="51" w:name="_Toc422749331"/>
      <w:bookmarkStart w:id="52" w:name="_Toc426468206"/>
      <w:bookmarkStart w:id="53" w:name="_Toc432586785"/>
      <w:bookmarkStart w:id="54" w:name="_Toc432586805"/>
      <w:bookmarkStart w:id="55" w:name="_Toc445298920"/>
      <w:bookmarkStart w:id="56" w:name="_Toc445299182"/>
      <w:bookmarkStart w:id="57" w:name="_Toc445825438"/>
      <w:bookmarkStart w:id="58" w:name="_Toc496628121"/>
      <w:bookmarkStart w:id="59" w:name="_Toc413748339"/>
      <w:r w:rsidRPr="00856950">
        <w:rPr>
          <w:rFonts w:ascii="Times New Roman" w:hAnsi="Times New Roman" w:cs="Arial"/>
          <w:b/>
          <w:color w:val="23236E"/>
          <w:sz w:val="24"/>
          <w:lang w:val="en-GB" w:eastAsia="en-US"/>
        </w:rPr>
        <w:t xml:space="preserve">Article </w:t>
      </w:r>
      <w:r w:rsidR="004C3E21">
        <w:rPr>
          <w:rFonts w:ascii="Times New Roman" w:hAnsi="Times New Roman" w:cs="Arial"/>
          <w:b/>
          <w:color w:val="23236E"/>
          <w:sz w:val="24"/>
          <w:lang w:val="en-GB" w:eastAsia="en-US"/>
        </w:rPr>
        <w:t>12</w:t>
      </w:r>
      <w:r w:rsidRPr="00856950">
        <w:rPr>
          <w:rFonts w:ascii="Times New Roman" w:hAnsi="Times New Roman" w:cs="Arial"/>
          <w:b/>
          <w:color w:val="23236E"/>
          <w:sz w:val="24"/>
          <w:lang w:val="en-GB" w:eastAsia="en-US"/>
        </w:rPr>
        <w:br/>
      </w:r>
      <w:bookmarkEnd w:id="49"/>
      <w:bookmarkEnd w:id="50"/>
      <w:bookmarkEnd w:id="51"/>
      <w:bookmarkEnd w:id="52"/>
      <w:bookmarkEnd w:id="53"/>
      <w:bookmarkEnd w:id="54"/>
      <w:r w:rsidRPr="00856950">
        <w:rPr>
          <w:rFonts w:ascii="Times New Roman" w:hAnsi="Times New Roman" w:cs="Arial"/>
          <w:b/>
          <w:color w:val="23236E"/>
          <w:sz w:val="24"/>
          <w:lang w:val="en-GB" w:eastAsia="en-US"/>
        </w:rPr>
        <w:t xml:space="preserve">Publication and Implementation of </w:t>
      </w:r>
      <w:r w:rsidR="00415F0C" w:rsidRPr="00856950">
        <w:rPr>
          <w:rFonts w:ascii="Times New Roman" w:hAnsi="Times New Roman" w:cs="Arial"/>
          <w:b/>
          <w:color w:val="23236E"/>
          <w:sz w:val="24"/>
          <w:lang w:val="en-GB" w:eastAsia="en-US"/>
        </w:rPr>
        <w:t xml:space="preserve">the </w:t>
      </w:r>
      <w:r w:rsidR="0086137F" w:rsidRPr="00856950">
        <w:rPr>
          <w:rFonts w:ascii="Times New Roman" w:hAnsi="Times New Roman" w:cs="Arial"/>
          <w:b/>
          <w:color w:val="23236E"/>
          <w:sz w:val="24"/>
          <w:lang w:val="en-GB" w:eastAsia="en-US"/>
        </w:rPr>
        <w:t xml:space="preserve">D-2 CCC methodology </w:t>
      </w:r>
      <w:r w:rsidRPr="00856950">
        <w:rPr>
          <w:rFonts w:ascii="Times New Roman" w:hAnsi="Times New Roman" w:cs="Arial"/>
          <w:b/>
          <w:color w:val="23236E"/>
          <w:sz w:val="24"/>
          <w:lang w:val="en-GB" w:eastAsia="en-US"/>
        </w:rPr>
        <w:t>Proposal</w:t>
      </w:r>
      <w:bookmarkEnd w:id="55"/>
      <w:bookmarkEnd w:id="56"/>
      <w:bookmarkEnd w:id="57"/>
      <w:bookmarkEnd w:id="58"/>
    </w:p>
    <w:p w14:paraId="7A535BB1" w14:textId="77777777" w:rsidR="00A419F7" w:rsidRPr="00A419F7" w:rsidRDefault="0074645A" w:rsidP="00A419F7">
      <w:pPr>
        <w:pStyle w:val="Paragraphedeliste"/>
        <w:numPr>
          <w:ilvl w:val="0"/>
          <w:numId w:val="35"/>
        </w:numPr>
        <w:spacing w:after="120" w:line="259" w:lineRule="auto"/>
        <w:jc w:val="both"/>
        <w:rPr>
          <w:rFonts w:ascii="Times New Roman" w:hAnsi="Times New Roman" w:cs="Arial"/>
          <w:b/>
          <w:sz w:val="24"/>
          <w:lang w:val="en-GB" w:eastAsia="en-US"/>
        </w:rPr>
      </w:pPr>
      <w:r w:rsidRPr="003140C3">
        <w:rPr>
          <w:rFonts w:ascii="Times New Roman" w:hAnsi="Times New Roman"/>
          <w:lang w:val="en-GB"/>
        </w:rPr>
        <w:t xml:space="preserve">The TSOs </w:t>
      </w:r>
      <w:r w:rsidR="003140C3">
        <w:rPr>
          <w:rFonts w:ascii="Times New Roman" w:hAnsi="Times New Roman"/>
          <w:lang w:val="en-GB"/>
        </w:rPr>
        <w:t xml:space="preserve">of Italy North Region </w:t>
      </w:r>
      <w:r w:rsidRPr="003140C3">
        <w:rPr>
          <w:rFonts w:ascii="Times New Roman" w:hAnsi="Times New Roman"/>
          <w:lang w:val="en-GB"/>
        </w:rPr>
        <w:t xml:space="preserve">shall publish the </w:t>
      </w:r>
      <w:r w:rsidR="003140C3" w:rsidRPr="003140C3">
        <w:rPr>
          <w:rFonts w:ascii="Times New Roman" w:hAnsi="Times New Roman"/>
          <w:szCs w:val="22"/>
          <w:lang w:val="en-GB" w:eastAsia="en-US"/>
        </w:rPr>
        <w:t>D-2 CCC methodology</w:t>
      </w:r>
      <w:r w:rsidRPr="003140C3">
        <w:rPr>
          <w:rFonts w:ascii="Times New Roman" w:hAnsi="Times New Roman"/>
          <w:lang w:val="en-GB"/>
        </w:rPr>
        <w:t xml:space="preserve"> Proposal without undue delay after all national regulatory authorities have approved the proposed </w:t>
      </w:r>
      <w:r w:rsidR="003140C3" w:rsidRPr="003140C3">
        <w:rPr>
          <w:rFonts w:ascii="Times New Roman" w:hAnsi="Times New Roman"/>
          <w:szCs w:val="22"/>
          <w:lang w:val="en-GB" w:eastAsia="en-US"/>
        </w:rPr>
        <w:t>D-2 CCC methodology</w:t>
      </w:r>
      <w:r w:rsidRPr="003140C3">
        <w:rPr>
          <w:rFonts w:ascii="Times New Roman" w:hAnsi="Times New Roman"/>
          <w:lang w:val="en-GB"/>
        </w:rPr>
        <w:t xml:space="preserve"> or a decision has been taken by the Agency for the Cooperation of Energy Regulators in accordance with Article 9 (10), Article 9(11) and 9(12) of the CACM Regulation.</w:t>
      </w:r>
    </w:p>
    <w:p w14:paraId="7A535BB2" w14:textId="77777777" w:rsidR="00A419F7" w:rsidRPr="00A419F7" w:rsidRDefault="00A419F7" w:rsidP="00A419F7">
      <w:pPr>
        <w:pStyle w:val="Paragraphedeliste"/>
        <w:spacing w:after="120" w:line="259" w:lineRule="auto"/>
        <w:jc w:val="both"/>
        <w:rPr>
          <w:rFonts w:ascii="Times New Roman" w:hAnsi="Times New Roman" w:cs="Arial"/>
          <w:b/>
          <w:sz w:val="24"/>
          <w:lang w:val="en-GB" w:eastAsia="en-US"/>
        </w:rPr>
      </w:pPr>
    </w:p>
    <w:p w14:paraId="7A535BB3" w14:textId="77777777" w:rsidR="00A419F7" w:rsidRDefault="00A419F7" w:rsidP="00A93F0C">
      <w:pPr>
        <w:pStyle w:val="Paragraphedeliste"/>
        <w:numPr>
          <w:ilvl w:val="0"/>
          <w:numId w:val="35"/>
        </w:numPr>
        <w:spacing w:after="120" w:line="259" w:lineRule="auto"/>
        <w:jc w:val="both"/>
        <w:rPr>
          <w:rFonts w:ascii="Times New Roman" w:hAnsi="Times New Roman"/>
          <w:lang w:val="en-GB"/>
        </w:rPr>
      </w:pPr>
      <w:bookmarkStart w:id="60" w:name="_Ref501447842"/>
      <w:r w:rsidRPr="00A419F7">
        <w:rPr>
          <w:rFonts w:ascii="Times New Roman" w:hAnsi="Times New Roman"/>
          <w:lang w:val="en-GB"/>
        </w:rPr>
        <w:t xml:space="preserve">The TSOs of Italy North Region have already implemented </w:t>
      </w:r>
      <w:r w:rsidR="00750345">
        <w:rPr>
          <w:rFonts w:ascii="Times New Roman" w:hAnsi="Times New Roman"/>
          <w:lang w:val="en-GB"/>
        </w:rPr>
        <w:t>a</w:t>
      </w:r>
      <w:r w:rsidR="00750345" w:rsidRPr="00A419F7">
        <w:rPr>
          <w:rFonts w:ascii="Times New Roman" w:hAnsi="Times New Roman"/>
          <w:lang w:val="en-GB"/>
        </w:rPr>
        <w:t xml:space="preserve"> </w:t>
      </w:r>
      <w:r w:rsidRPr="00A419F7">
        <w:rPr>
          <w:rFonts w:ascii="Times New Roman" w:hAnsi="Times New Roman"/>
          <w:lang w:val="en-GB"/>
        </w:rPr>
        <w:t>D-2 CCC metho</w:t>
      </w:r>
      <w:r w:rsidR="001F1537">
        <w:rPr>
          <w:rFonts w:ascii="Times New Roman" w:hAnsi="Times New Roman"/>
          <w:lang w:val="en-GB"/>
        </w:rPr>
        <w:t>dology</w:t>
      </w:r>
      <w:r w:rsidRPr="00A419F7">
        <w:rPr>
          <w:rFonts w:ascii="Times New Roman" w:hAnsi="Times New Roman"/>
          <w:lang w:val="en-GB"/>
        </w:rPr>
        <w:t>. Since February 1</w:t>
      </w:r>
      <w:r w:rsidRPr="009977A8">
        <w:rPr>
          <w:rFonts w:ascii="Times New Roman" w:hAnsi="Times New Roman"/>
          <w:lang w:val="en-GB"/>
        </w:rPr>
        <w:t>st</w:t>
      </w:r>
      <w:r w:rsidRPr="00A419F7">
        <w:rPr>
          <w:rFonts w:ascii="Times New Roman" w:hAnsi="Times New Roman"/>
          <w:lang w:val="en-GB"/>
        </w:rPr>
        <w:t xml:space="preserve"> of 2016, individual values for cross-zonal capacity for each day-ahead market time unit have been calculated using the D-2 common capacity calculation methodology.</w:t>
      </w:r>
      <w:bookmarkEnd w:id="60"/>
    </w:p>
    <w:p w14:paraId="7A535BB4" w14:textId="77777777" w:rsidR="00ED66D9" w:rsidRPr="00ED66D9" w:rsidRDefault="00ED66D9" w:rsidP="00ED66D9">
      <w:pPr>
        <w:pStyle w:val="Paragraphedeliste"/>
        <w:rPr>
          <w:rFonts w:ascii="Times New Roman" w:hAnsi="Times New Roman"/>
          <w:lang w:val="en-GB"/>
        </w:rPr>
      </w:pPr>
    </w:p>
    <w:p w14:paraId="7A535BB5" w14:textId="77777777" w:rsidR="00EE0F8F" w:rsidRPr="001141C0" w:rsidRDefault="00ED66D9" w:rsidP="001141C0">
      <w:pPr>
        <w:pStyle w:val="Paragraphedeliste"/>
        <w:numPr>
          <w:ilvl w:val="0"/>
          <w:numId w:val="35"/>
        </w:numPr>
        <w:spacing w:after="120" w:line="259" w:lineRule="auto"/>
        <w:jc w:val="both"/>
        <w:rPr>
          <w:rFonts w:ascii="Times New Roman" w:hAnsi="Times New Roman"/>
          <w:lang w:val="en-GB"/>
        </w:rPr>
      </w:pPr>
      <w:r w:rsidRPr="009977A8">
        <w:rPr>
          <w:rFonts w:ascii="Times New Roman" w:hAnsi="Times New Roman"/>
          <w:lang w:val="en-GB"/>
        </w:rPr>
        <w:t>The TSOs of Italy North Region</w:t>
      </w:r>
      <w:r>
        <w:rPr>
          <w:rFonts w:ascii="Times New Roman" w:hAnsi="Times New Roman"/>
          <w:lang w:val="en-GB"/>
        </w:rPr>
        <w:t xml:space="preserve"> will implement this </w:t>
      </w:r>
      <w:r w:rsidRPr="00A419F7">
        <w:rPr>
          <w:rFonts w:ascii="Times New Roman" w:hAnsi="Times New Roman"/>
          <w:lang w:val="en-GB"/>
        </w:rPr>
        <w:t xml:space="preserve">D-2 CCC methodology </w:t>
      </w:r>
      <w:r>
        <w:rPr>
          <w:rFonts w:ascii="Times New Roman" w:hAnsi="Times New Roman"/>
          <w:lang w:val="en-GB"/>
        </w:rPr>
        <w:t>proposal by complementing the already implemented</w:t>
      </w:r>
      <w:r w:rsidRPr="00ED66D9">
        <w:rPr>
          <w:rFonts w:ascii="Times New Roman" w:hAnsi="Times New Roman"/>
          <w:lang w:val="en-GB"/>
        </w:rPr>
        <w:t xml:space="preserve"> </w:t>
      </w:r>
      <w:r w:rsidRPr="00A419F7">
        <w:rPr>
          <w:rFonts w:ascii="Times New Roman" w:hAnsi="Times New Roman"/>
          <w:lang w:val="en-GB"/>
        </w:rPr>
        <w:t>D-2 CCC methodology</w:t>
      </w:r>
      <w:r w:rsidR="00566BC9">
        <w:rPr>
          <w:rFonts w:ascii="Times New Roman" w:hAnsi="Times New Roman"/>
          <w:lang w:val="en-GB"/>
        </w:rPr>
        <w:t>,</w:t>
      </w:r>
      <w:r>
        <w:rPr>
          <w:rFonts w:ascii="Times New Roman" w:hAnsi="Times New Roman"/>
          <w:lang w:val="en-GB"/>
        </w:rPr>
        <w:t xml:space="preserve"> referred to in Article 12.</w:t>
      </w:r>
      <w:r w:rsidR="003B3855">
        <w:rPr>
          <w:rFonts w:ascii="Times New Roman" w:hAnsi="Times New Roman"/>
          <w:lang w:val="en-GB"/>
        </w:rPr>
        <w:fldChar w:fldCharType="begin"/>
      </w:r>
      <w:r>
        <w:rPr>
          <w:rFonts w:ascii="Times New Roman" w:hAnsi="Times New Roman"/>
          <w:lang w:val="en-GB"/>
        </w:rPr>
        <w:instrText xml:space="preserve"> REF _Ref501447842 \r \h </w:instrText>
      </w:r>
      <w:r w:rsidR="003B3855">
        <w:rPr>
          <w:rFonts w:ascii="Times New Roman" w:hAnsi="Times New Roman"/>
          <w:lang w:val="en-GB"/>
        </w:rPr>
      </w:r>
      <w:r w:rsidR="003B3855">
        <w:rPr>
          <w:rFonts w:ascii="Times New Roman" w:hAnsi="Times New Roman"/>
          <w:lang w:val="en-GB"/>
        </w:rPr>
        <w:fldChar w:fldCharType="separate"/>
      </w:r>
      <w:r>
        <w:rPr>
          <w:rFonts w:ascii="Times New Roman" w:hAnsi="Times New Roman"/>
          <w:lang w:val="en-GB"/>
        </w:rPr>
        <w:t>2</w:t>
      </w:r>
      <w:r w:rsidR="003B3855">
        <w:rPr>
          <w:rFonts w:ascii="Times New Roman" w:hAnsi="Times New Roman"/>
          <w:lang w:val="en-GB"/>
        </w:rPr>
        <w:fldChar w:fldCharType="end"/>
      </w:r>
      <w:r w:rsidR="00566BC9">
        <w:rPr>
          <w:rFonts w:ascii="Times New Roman" w:hAnsi="Times New Roman"/>
          <w:lang w:val="en-GB"/>
        </w:rPr>
        <w:t>, in accordance to the articles of this proposal</w:t>
      </w:r>
      <w:r>
        <w:rPr>
          <w:rFonts w:ascii="Times New Roman" w:hAnsi="Times New Roman"/>
          <w:lang w:val="en-GB"/>
        </w:rPr>
        <w:t xml:space="preserve">. The implementation of </w:t>
      </w:r>
      <w:r w:rsidR="00566BC9">
        <w:rPr>
          <w:rFonts w:ascii="Times New Roman" w:hAnsi="Times New Roman"/>
          <w:lang w:val="en-GB"/>
        </w:rPr>
        <w:t xml:space="preserve">this </w:t>
      </w:r>
      <w:r w:rsidR="00566BC9" w:rsidRPr="00A419F7">
        <w:rPr>
          <w:rFonts w:ascii="Times New Roman" w:hAnsi="Times New Roman"/>
          <w:lang w:val="en-GB"/>
        </w:rPr>
        <w:t xml:space="preserve">D-2 CCC methodology </w:t>
      </w:r>
      <w:r w:rsidR="00566BC9">
        <w:rPr>
          <w:rFonts w:ascii="Times New Roman" w:hAnsi="Times New Roman"/>
          <w:lang w:val="en-GB"/>
        </w:rPr>
        <w:t>proposal will start as soon as the NRAs of the Ita</w:t>
      </w:r>
      <w:r w:rsidR="002626A0">
        <w:rPr>
          <w:rFonts w:ascii="Times New Roman" w:hAnsi="Times New Roman"/>
          <w:lang w:val="en-GB"/>
        </w:rPr>
        <w:t xml:space="preserve">ly North Region will approve it and be completed no </w:t>
      </w:r>
      <w:r w:rsidR="0055300A">
        <w:rPr>
          <w:rFonts w:ascii="Times New Roman" w:hAnsi="Times New Roman"/>
          <w:lang w:val="en-GB"/>
        </w:rPr>
        <w:t>later</w:t>
      </w:r>
      <w:r w:rsidR="002626A0">
        <w:rPr>
          <w:rFonts w:ascii="Times New Roman" w:hAnsi="Times New Roman"/>
          <w:lang w:val="en-GB"/>
        </w:rPr>
        <w:t xml:space="preserve"> than 24 months after the approval of NRAs.</w:t>
      </w:r>
    </w:p>
    <w:p w14:paraId="7A535BB6" w14:textId="77777777" w:rsidR="007B79C1" w:rsidRPr="00A419F7" w:rsidRDefault="007B79C1" w:rsidP="00A419F7">
      <w:pPr>
        <w:pStyle w:val="Paragraphedeliste"/>
        <w:spacing w:after="120" w:line="259" w:lineRule="auto"/>
        <w:jc w:val="both"/>
        <w:rPr>
          <w:rFonts w:ascii="Times New Roman" w:hAnsi="Times New Roman" w:cs="Arial"/>
          <w:b/>
          <w:color w:val="00B050"/>
          <w:sz w:val="24"/>
          <w:lang w:val="en-GB" w:eastAsia="en-US"/>
        </w:rPr>
      </w:pPr>
    </w:p>
    <w:p w14:paraId="7A535BB7" w14:textId="77777777" w:rsidR="0074645A" w:rsidRDefault="007B79C1" w:rsidP="00F0294C">
      <w:pPr>
        <w:pStyle w:val="Paragraphedeliste"/>
        <w:numPr>
          <w:ilvl w:val="0"/>
          <w:numId w:val="35"/>
        </w:numPr>
        <w:spacing w:after="120" w:line="259" w:lineRule="auto"/>
        <w:jc w:val="both"/>
        <w:rPr>
          <w:rFonts w:ascii="Times New Roman" w:hAnsi="Times New Roman"/>
          <w:szCs w:val="22"/>
          <w:lang w:val="en-GB" w:eastAsia="en-US"/>
        </w:rPr>
      </w:pPr>
      <w:r w:rsidRPr="0074392D">
        <w:rPr>
          <w:rFonts w:ascii="Times New Roman" w:hAnsi="Times New Roman"/>
          <w:lang w:val="en-GB"/>
        </w:rPr>
        <w:t xml:space="preserve">The TSOs of Italy North Region currently calculate </w:t>
      </w:r>
      <w:r w:rsidRPr="0074392D">
        <w:rPr>
          <w:rFonts w:ascii="Times New Roman" w:hAnsi="Times New Roman"/>
          <w:szCs w:val="22"/>
          <w:lang w:val="en-GB" w:eastAsia="en-US"/>
        </w:rPr>
        <w:t xml:space="preserve">individual values for cross-zonal capacity based on eight timestamps per day. The </w:t>
      </w:r>
      <w:r w:rsidRPr="0074392D">
        <w:rPr>
          <w:rFonts w:ascii="Times New Roman" w:hAnsi="Times New Roman"/>
          <w:lang w:val="en-GB"/>
        </w:rPr>
        <w:t xml:space="preserve">TSOs of Italy North Region foresee to calculate </w:t>
      </w:r>
      <w:r w:rsidRPr="0074392D">
        <w:rPr>
          <w:rFonts w:ascii="Times New Roman" w:hAnsi="Times New Roman"/>
          <w:szCs w:val="22"/>
          <w:lang w:val="en-GB" w:eastAsia="en-US"/>
        </w:rPr>
        <w:t xml:space="preserve">individual values for cross-zonal capacity based on twelve timestamps per day </w:t>
      </w:r>
      <w:r w:rsidR="002C2607">
        <w:rPr>
          <w:rFonts w:ascii="Times New Roman" w:hAnsi="Times New Roman"/>
          <w:szCs w:val="22"/>
          <w:lang w:val="en-GB" w:eastAsia="en-US"/>
        </w:rPr>
        <w:t>at the latest 24 months after the implementation of the CGMES</w:t>
      </w:r>
      <w:r w:rsidRPr="0074392D">
        <w:rPr>
          <w:rFonts w:ascii="Times New Roman" w:hAnsi="Times New Roman"/>
          <w:lang w:val="en-GB"/>
        </w:rPr>
        <w:t>.</w:t>
      </w:r>
      <w:r w:rsidR="0074392D" w:rsidRPr="0074392D">
        <w:rPr>
          <w:rFonts w:ascii="Times New Roman" w:hAnsi="Times New Roman"/>
          <w:lang w:val="en-GB"/>
        </w:rPr>
        <w:t xml:space="preserve"> </w:t>
      </w:r>
      <w:r w:rsidR="00A70A75">
        <w:rPr>
          <w:rFonts w:ascii="Times New Roman" w:hAnsi="Times New Roman"/>
          <w:lang w:val="en-GB"/>
        </w:rPr>
        <w:t>T</w:t>
      </w:r>
      <w:r w:rsidR="0074392D" w:rsidRPr="0074392D">
        <w:rPr>
          <w:rFonts w:ascii="Times New Roman" w:hAnsi="Times New Roman"/>
          <w:lang w:val="en-GB"/>
        </w:rPr>
        <w:t>he</w:t>
      </w:r>
      <w:r w:rsidR="0074392D" w:rsidRPr="0074392D">
        <w:rPr>
          <w:rFonts w:ascii="Times New Roman" w:hAnsi="Times New Roman"/>
          <w:szCs w:val="22"/>
          <w:lang w:val="en-GB" w:eastAsia="en-US"/>
        </w:rPr>
        <w:t xml:space="preserve"> migration from eight to twelve timestamps calculated per day will be efficiently evaluated </w:t>
      </w:r>
      <w:r w:rsidR="00A70A75">
        <w:rPr>
          <w:rFonts w:ascii="Times New Roman" w:hAnsi="Times New Roman"/>
          <w:szCs w:val="22"/>
          <w:lang w:val="en-GB" w:eastAsia="en-US"/>
        </w:rPr>
        <w:t xml:space="preserve">with regard to the management of IT tools on RSC side. </w:t>
      </w:r>
    </w:p>
    <w:p w14:paraId="7A535BB8" w14:textId="77777777" w:rsidR="00DA46BC" w:rsidRPr="00DA46BC" w:rsidRDefault="00DA46BC" w:rsidP="00DA46BC">
      <w:pPr>
        <w:spacing w:after="120" w:line="259" w:lineRule="auto"/>
        <w:jc w:val="both"/>
        <w:rPr>
          <w:rFonts w:ascii="Times New Roman" w:hAnsi="Times New Roman"/>
          <w:szCs w:val="22"/>
          <w:lang w:val="en-GB" w:eastAsia="en-US"/>
        </w:rPr>
      </w:pPr>
    </w:p>
    <w:p w14:paraId="7A535BB9" w14:textId="77777777" w:rsidR="004F245D" w:rsidRPr="00A32D04" w:rsidRDefault="004F245D" w:rsidP="004F245D">
      <w:pPr>
        <w:spacing w:after="120" w:line="260" w:lineRule="exact"/>
        <w:jc w:val="center"/>
        <w:outlineLvl w:val="1"/>
        <w:rPr>
          <w:rFonts w:ascii="Times New Roman" w:hAnsi="Times New Roman" w:cs="Arial"/>
          <w:b/>
          <w:color w:val="23236E"/>
          <w:sz w:val="24"/>
          <w:lang w:val="en-GB" w:eastAsia="en-US"/>
        </w:rPr>
      </w:pPr>
      <w:bookmarkStart w:id="61" w:name="_Toc432586786"/>
      <w:bookmarkStart w:id="62" w:name="_Toc432586806"/>
      <w:bookmarkStart w:id="63" w:name="_Toc445298921"/>
      <w:bookmarkStart w:id="64" w:name="_Toc445299183"/>
      <w:bookmarkStart w:id="65" w:name="_Toc445825439"/>
      <w:bookmarkStart w:id="66" w:name="_Toc496628122"/>
      <w:r w:rsidRPr="00A32D04">
        <w:rPr>
          <w:rFonts w:ascii="Times New Roman" w:hAnsi="Times New Roman" w:cs="Arial"/>
          <w:b/>
          <w:color w:val="23236E"/>
          <w:sz w:val="24"/>
          <w:lang w:val="en-GB" w:eastAsia="en-US"/>
        </w:rPr>
        <w:t xml:space="preserve">Article </w:t>
      </w:r>
      <w:r w:rsidR="004C3E21">
        <w:rPr>
          <w:rFonts w:ascii="Times New Roman" w:hAnsi="Times New Roman" w:cs="Arial"/>
          <w:b/>
          <w:color w:val="23236E"/>
          <w:sz w:val="24"/>
          <w:lang w:val="en-GB" w:eastAsia="en-US"/>
        </w:rPr>
        <w:t>13</w:t>
      </w:r>
      <w:r w:rsidRPr="00A32D04">
        <w:rPr>
          <w:rFonts w:ascii="Times New Roman" w:hAnsi="Times New Roman" w:cs="Arial"/>
          <w:b/>
          <w:color w:val="23236E"/>
          <w:sz w:val="24"/>
          <w:lang w:val="en-GB" w:eastAsia="en-US"/>
        </w:rPr>
        <w:br/>
        <w:t>Language</w:t>
      </w:r>
      <w:bookmarkEnd w:id="61"/>
      <w:bookmarkEnd w:id="62"/>
      <w:bookmarkEnd w:id="63"/>
      <w:bookmarkEnd w:id="64"/>
      <w:bookmarkEnd w:id="65"/>
      <w:bookmarkEnd w:id="66"/>
    </w:p>
    <w:p w14:paraId="7A535BBA" w14:textId="77777777" w:rsidR="00FD5AE7" w:rsidRDefault="006E6B93" w:rsidP="00C364F0">
      <w:pPr>
        <w:pStyle w:val="Paragraphedeliste"/>
        <w:numPr>
          <w:ilvl w:val="0"/>
          <w:numId w:val="46"/>
        </w:numPr>
        <w:spacing w:after="120" w:line="259" w:lineRule="auto"/>
        <w:jc w:val="both"/>
        <w:rPr>
          <w:rFonts w:ascii="Times New Roman" w:hAnsi="Times New Roman"/>
          <w:lang w:val="en-GB"/>
        </w:rPr>
      </w:pPr>
      <w:r w:rsidRPr="00FD5AE7">
        <w:rPr>
          <w:rFonts w:ascii="Times New Roman" w:hAnsi="Times New Roman"/>
          <w:lang w:val="en-GB"/>
        </w:rPr>
        <w:t xml:space="preserve">The reference language for this </w:t>
      </w:r>
      <w:r w:rsidR="007272DB" w:rsidRPr="00FD5AE7">
        <w:rPr>
          <w:rFonts w:ascii="Times New Roman" w:hAnsi="Times New Roman"/>
          <w:lang w:val="en-GB"/>
        </w:rPr>
        <w:t>co</w:t>
      </w:r>
      <w:r w:rsidR="009F12AD" w:rsidRPr="00FD5AE7">
        <w:rPr>
          <w:rFonts w:ascii="Times New Roman" w:hAnsi="Times New Roman"/>
          <w:lang w:val="en-GB"/>
        </w:rPr>
        <w:t>mmon</w:t>
      </w:r>
      <w:r w:rsidR="007272DB" w:rsidRPr="00FD5AE7">
        <w:rPr>
          <w:rFonts w:ascii="Times New Roman" w:hAnsi="Times New Roman"/>
          <w:lang w:val="en-GB"/>
        </w:rPr>
        <w:t xml:space="preserve"> capacity calculation</w:t>
      </w:r>
      <w:r w:rsidRPr="00FD5AE7">
        <w:rPr>
          <w:rFonts w:ascii="Times New Roman" w:hAnsi="Times New Roman"/>
          <w:lang w:val="en-GB"/>
        </w:rPr>
        <w:t xml:space="preserve"> Proposal shall be English. </w:t>
      </w:r>
    </w:p>
    <w:p w14:paraId="7A535BBB" w14:textId="77777777" w:rsidR="00FD5AE7" w:rsidRDefault="00FD5AE7" w:rsidP="00FD5AE7">
      <w:pPr>
        <w:pStyle w:val="Paragraphedeliste"/>
        <w:spacing w:after="120" w:line="259" w:lineRule="auto"/>
        <w:jc w:val="both"/>
        <w:rPr>
          <w:rFonts w:ascii="Times New Roman" w:hAnsi="Times New Roman"/>
          <w:lang w:val="en-GB"/>
        </w:rPr>
      </w:pPr>
    </w:p>
    <w:p w14:paraId="7A535BBC" w14:textId="77777777" w:rsidR="004F245D" w:rsidRPr="00FD5AE7" w:rsidRDefault="006E6B93" w:rsidP="00C364F0">
      <w:pPr>
        <w:pStyle w:val="Paragraphedeliste"/>
        <w:numPr>
          <w:ilvl w:val="0"/>
          <w:numId w:val="46"/>
        </w:numPr>
        <w:spacing w:after="120" w:line="259" w:lineRule="auto"/>
        <w:jc w:val="both"/>
        <w:rPr>
          <w:rFonts w:ascii="Times New Roman" w:hAnsi="Times New Roman"/>
          <w:lang w:val="en-GB"/>
        </w:rPr>
      </w:pPr>
      <w:r w:rsidRPr="00FD5AE7">
        <w:rPr>
          <w:rFonts w:ascii="Times New Roman" w:hAnsi="Times New Roman"/>
          <w:szCs w:val="22"/>
          <w:lang w:val="en-GB" w:eastAsia="en-US"/>
        </w:rPr>
        <w:t xml:space="preserve">For the avoidance of doubt, where TSOs need to translate this </w:t>
      </w:r>
      <w:r w:rsidR="004210B7" w:rsidRPr="00FD5AE7">
        <w:rPr>
          <w:rFonts w:ascii="Times New Roman" w:hAnsi="Times New Roman"/>
          <w:szCs w:val="22"/>
          <w:lang w:val="en-GB" w:eastAsia="en-US"/>
        </w:rPr>
        <w:t xml:space="preserve">D-2 CCC methodology Proposal </w:t>
      </w:r>
      <w:r w:rsidRPr="00FD5AE7">
        <w:rPr>
          <w:rFonts w:ascii="Times New Roman" w:hAnsi="Times New Roman"/>
          <w:szCs w:val="22"/>
          <w:lang w:val="en-GB" w:eastAsia="en-US"/>
        </w:rPr>
        <w:t xml:space="preserve">into their national language(s), in the event of inconsistencies between the English version published by TSOs in accordance with Article 9(14) of the CACM Regulation and any version in another language, the relevant TSOs shall be obliged to dispel any inconsistencies by providing a revised translation of this </w:t>
      </w:r>
      <w:r w:rsidR="004210B7" w:rsidRPr="00FD5AE7">
        <w:rPr>
          <w:rFonts w:ascii="Times New Roman" w:hAnsi="Times New Roman"/>
          <w:szCs w:val="22"/>
          <w:lang w:val="en-GB" w:eastAsia="en-US"/>
        </w:rPr>
        <w:t>D-2 CCC methodology Proposal</w:t>
      </w:r>
      <w:r w:rsidRPr="00FD5AE7">
        <w:rPr>
          <w:rFonts w:ascii="Times New Roman" w:hAnsi="Times New Roman"/>
          <w:szCs w:val="22"/>
          <w:lang w:val="en-GB" w:eastAsia="en-US"/>
        </w:rPr>
        <w:t xml:space="preserve"> to their relevant national regulatory authorities.</w:t>
      </w:r>
      <w:bookmarkEnd w:id="0"/>
      <w:bookmarkEnd w:id="59"/>
    </w:p>
    <w:sectPr w:rsidR="004F245D" w:rsidRPr="00FD5AE7" w:rsidSect="001A55A2">
      <w:headerReference w:type="default" r:id="rId12"/>
      <w:footerReference w:type="default" r:id="rId13"/>
      <w:headerReference w:type="first" r:id="rId14"/>
      <w:footerReference w:type="first" r:id="rId15"/>
      <w:pgSz w:w="11906" w:h="16838"/>
      <w:pgMar w:top="1928" w:right="1021" w:bottom="1701" w:left="1361"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9BBDA" w14:textId="77777777" w:rsidR="00E25AF8" w:rsidRDefault="00E25AF8" w:rsidP="00B04144">
      <w:r>
        <w:separator/>
      </w:r>
    </w:p>
  </w:endnote>
  <w:endnote w:type="continuationSeparator" w:id="0">
    <w:p w14:paraId="22E89FD0" w14:textId="77777777" w:rsidR="00E25AF8" w:rsidRDefault="00E25AF8" w:rsidP="00B04144">
      <w:r>
        <w:continuationSeparator/>
      </w:r>
    </w:p>
  </w:endnote>
  <w:endnote w:type="continuationNotice" w:id="1">
    <w:p w14:paraId="468A2F80" w14:textId="77777777" w:rsidR="00E25AF8" w:rsidRDefault="00E25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80659A" w:rsidRPr="00926984" w14:paraId="7A535BCE" w14:textId="77777777" w:rsidTr="003D0965">
      <w:trPr>
        <w:trHeight w:hRule="exact" w:val="284"/>
      </w:trPr>
      <w:tc>
        <w:tcPr>
          <w:tcW w:w="9923" w:type="dxa"/>
          <w:vAlign w:val="center"/>
        </w:tcPr>
        <w:p w14:paraId="7A535BCD" w14:textId="77777777" w:rsidR="0080659A" w:rsidRPr="003D0965" w:rsidRDefault="0080659A" w:rsidP="00CD009F">
          <w:pPr>
            <w:pStyle w:val="Pieddepage"/>
            <w:rPr>
              <w:rFonts w:asciiTheme="majorHAnsi" w:hAnsiTheme="majorHAnsi" w:cstheme="majorHAnsi"/>
              <w:sz w:val="14"/>
              <w:szCs w:val="14"/>
            </w:rPr>
          </w:pPr>
        </w:p>
      </w:tc>
    </w:tr>
  </w:tbl>
  <w:tbl>
    <w:tblPr>
      <w:tblStyle w:val="Grilledutableau"/>
      <w:tblpPr w:leftFromText="142" w:rightFromText="142" w:vertAnchor="page" w:horzAnchor="page" w:tblpX="10661"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80659A" w14:paraId="7A535BD0" w14:textId="77777777" w:rsidTr="003D0965">
      <w:trPr>
        <w:trHeight w:hRule="exact" w:val="284"/>
      </w:trPr>
      <w:tc>
        <w:tcPr>
          <w:tcW w:w="624" w:type="dxa"/>
        </w:tcPr>
        <w:p w14:paraId="7A535BCF" w14:textId="5E24F006" w:rsidR="0080659A" w:rsidRDefault="0080659A" w:rsidP="00F80655">
          <w:pPr>
            <w:pStyle w:val="Pieddepage"/>
            <w:jc w:val="right"/>
          </w:pPr>
          <w:r>
            <w:fldChar w:fldCharType="begin"/>
          </w:r>
          <w:r>
            <w:instrText xml:space="preserve"> PAGE   \* MERGEFORMAT </w:instrText>
          </w:r>
          <w:r>
            <w:fldChar w:fldCharType="separate"/>
          </w:r>
          <w:r w:rsidR="00D53FA3">
            <w:rPr>
              <w:noProof/>
            </w:rPr>
            <w:t>13</w:t>
          </w:r>
          <w:r>
            <w:rPr>
              <w:noProof/>
            </w:rPr>
            <w:fldChar w:fldCharType="end"/>
          </w:r>
        </w:p>
      </w:tc>
    </w:tr>
  </w:tbl>
  <w:p w14:paraId="7A535BD1" w14:textId="77777777" w:rsidR="0080659A" w:rsidRPr="003D0965" w:rsidRDefault="0080659A" w:rsidP="003D096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2" w:rightFromText="142" w:vertAnchor="page" w:horzAnchor="margin" w:tblpY="1613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80659A" w14:paraId="7A535BDC" w14:textId="77777777" w:rsidTr="0093453E">
      <w:trPr>
        <w:trHeight w:hRule="exact" w:val="284"/>
      </w:trPr>
      <w:tc>
        <w:tcPr>
          <w:tcW w:w="9923" w:type="dxa"/>
          <w:vAlign w:val="center"/>
        </w:tcPr>
        <w:p w14:paraId="7A535BDB" w14:textId="77777777" w:rsidR="0080659A" w:rsidRPr="001A55A2" w:rsidRDefault="0080659A" w:rsidP="0093453E">
          <w:pPr>
            <w:pStyle w:val="Pieddepage"/>
            <w:rPr>
              <w:rFonts w:asciiTheme="majorHAnsi" w:hAnsiTheme="majorHAnsi" w:cstheme="majorHAnsi"/>
              <w:sz w:val="14"/>
              <w:szCs w:val="14"/>
            </w:rPr>
          </w:pPr>
          <w:r>
            <w:rPr>
              <w:noProof/>
              <w:lang w:val="fr-FR" w:eastAsia="fr-FR"/>
            </w:rPr>
            <w:drawing>
              <wp:anchor distT="0" distB="0" distL="114300" distR="114300" simplePos="0" relativeHeight="251658241" behindDoc="0" locked="0" layoutInCell="1" allowOverlap="1" wp14:anchorId="7A535BE6" wp14:editId="7A535BE7">
                <wp:simplePos x="0" y="0"/>
                <wp:positionH relativeFrom="page">
                  <wp:posOffset>1391920</wp:posOffset>
                </wp:positionH>
                <wp:positionV relativeFrom="page">
                  <wp:posOffset>74295</wp:posOffset>
                </wp:positionV>
                <wp:extent cx="762000" cy="180975"/>
                <wp:effectExtent l="0" t="0" r="0" b="9525"/>
                <wp:wrapNone/>
                <wp:docPr id="30" name="Image 30" descr="logo 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E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anchor>
            </w:drawing>
          </w:r>
          <w:r>
            <w:rPr>
              <w:noProof/>
              <w:lang w:val="fr-FR" w:eastAsia="fr-FR"/>
            </w:rPr>
            <w:drawing>
              <wp:anchor distT="0" distB="0" distL="114300" distR="114300" simplePos="0" relativeHeight="251658242" behindDoc="0" locked="0" layoutInCell="1" allowOverlap="1" wp14:anchorId="7A535BE8" wp14:editId="7A535BE9">
                <wp:simplePos x="0" y="0"/>
                <wp:positionH relativeFrom="page">
                  <wp:posOffset>2978785</wp:posOffset>
                </wp:positionH>
                <wp:positionV relativeFrom="page">
                  <wp:posOffset>-24765</wp:posOffset>
                </wp:positionV>
                <wp:extent cx="1152525" cy="361950"/>
                <wp:effectExtent l="0" t="0" r="9525" b="0"/>
                <wp:wrapNone/>
                <wp:docPr id="31" name="Image 31" descr="logo 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R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361950"/>
                        </a:xfrm>
                        <a:prstGeom prst="rect">
                          <a:avLst/>
                        </a:prstGeom>
                        <a:noFill/>
                        <a:ln>
                          <a:noFill/>
                        </a:ln>
                      </pic:spPr>
                    </pic:pic>
                  </a:graphicData>
                </a:graphic>
              </wp:anchor>
            </w:drawing>
          </w:r>
          <w:r>
            <w:rPr>
              <w:noProof/>
              <w:lang w:val="fr-FR" w:eastAsia="fr-FR"/>
            </w:rPr>
            <w:drawing>
              <wp:anchor distT="0" distB="0" distL="114300" distR="114300" simplePos="0" relativeHeight="251658243" behindDoc="0" locked="0" layoutInCell="1" allowOverlap="1" wp14:anchorId="7A535BEA" wp14:editId="7A535BEB">
                <wp:simplePos x="0" y="0"/>
                <wp:positionH relativeFrom="page">
                  <wp:posOffset>4838700</wp:posOffset>
                </wp:positionH>
                <wp:positionV relativeFrom="page">
                  <wp:posOffset>-28575</wp:posOffset>
                </wp:positionV>
                <wp:extent cx="1097280" cy="365760"/>
                <wp:effectExtent l="0" t="0" r="7620" b="0"/>
                <wp:wrapNone/>
                <wp:docPr id="35" name="Image 35" descr="logo 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Ter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365760"/>
                        </a:xfrm>
                        <a:prstGeom prst="rect">
                          <a:avLst/>
                        </a:prstGeom>
                        <a:noFill/>
                        <a:ln>
                          <a:noFill/>
                        </a:ln>
                      </pic:spPr>
                    </pic:pic>
                  </a:graphicData>
                </a:graphic>
              </wp:anchor>
            </w:drawing>
          </w:r>
        </w:p>
      </w:tc>
    </w:tr>
  </w:tbl>
  <w:p w14:paraId="7A535BDD" w14:textId="77777777" w:rsidR="0080659A" w:rsidRDefault="0080659A" w:rsidP="0093453E">
    <w:pPr>
      <w:pStyle w:val="Pieddepage"/>
      <w:ind w:firstLine="708"/>
    </w:pPr>
    <w:r>
      <w:rPr>
        <w:noProof/>
        <w:lang w:val="fr-FR" w:eastAsia="fr-FR"/>
      </w:rPr>
      <w:drawing>
        <wp:anchor distT="0" distB="0" distL="114300" distR="114300" simplePos="0" relativeHeight="251658240" behindDoc="0" locked="0" layoutInCell="1" allowOverlap="1" wp14:anchorId="7A535BEC" wp14:editId="7A535BED">
          <wp:simplePos x="0" y="0"/>
          <wp:positionH relativeFrom="page">
            <wp:posOffset>854710</wp:posOffset>
          </wp:positionH>
          <wp:positionV relativeFrom="page">
            <wp:posOffset>10166985</wp:posOffset>
          </wp:positionV>
          <wp:extent cx="657225" cy="390525"/>
          <wp:effectExtent l="0" t="0" r="9525" b="9525"/>
          <wp:wrapNone/>
          <wp:docPr id="29" name="Image 29" descr="logo A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A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E734A" w14:textId="77777777" w:rsidR="00E25AF8" w:rsidRDefault="00E25AF8" w:rsidP="00B04144">
      <w:r>
        <w:separator/>
      </w:r>
    </w:p>
  </w:footnote>
  <w:footnote w:type="continuationSeparator" w:id="0">
    <w:p w14:paraId="0F61305C" w14:textId="77777777" w:rsidR="00E25AF8" w:rsidRDefault="00E25AF8" w:rsidP="00B04144">
      <w:r>
        <w:continuationSeparator/>
      </w:r>
    </w:p>
  </w:footnote>
  <w:footnote w:type="continuationNotice" w:id="1">
    <w:p w14:paraId="042BF9CB" w14:textId="77777777" w:rsidR="00E25AF8" w:rsidRDefault="00E25A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276" w:type="dxa"/>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9276"/>
    </w:tblGrid>
    <w:tr w:rsidR="0080659A" w:rsidRPr="009B6082" w14:paraId="7A535BC8" w14:textId="77777777" w:rsidTr="00B55253">
      <w:trPr>
        <w:trHeight w:hRule="exact" w:val="427"/>
      </w:trPr>
      <w:sdt>
        <w:sdtPr>
          <w:rPr>
            <w:sz w:val="16"/>
            <w:szCs w:val="16"/>
            <w:lang w:val="en-US"/>
          </w:rPr>
          <w:alias w:val="Titel"/>
          <w:tag w:val="Titel"/>
          <w:id w:val="3483916"/>
          <w:dataBinding w:prefixMappings="xmlns:ns0='http://purl.org/dc/elements/1.1/' xmlns:ns1='http://schemas.openxmlformats.org/package/2006/metadata/core-properties' " w:xpath="/ns1:coreProperties[1]/ns0:title[1]" w:storeItemID="{6C3C8BC8-F283-45AE-878A-BAB7291924A1}"/>
          <w:text w:multiLine="1"/>
        </w:sdtPr>
        <w:sdtEndPr/>
        <w:sdtContent>
          <w:tc>
            <w:tcPr>
              <w:tcW w:w="9276" w:type="dxa"/>
            </w:tcPr>
            <w:p w14:paraId="7A535BC7" w14:textId="77777777" w:rsidR="0080659A" w:rsidRPr="00B55253" w:rsidRDefault="0080659A" w:rsidP="00190285">
              <w:pPr>
                <w:jc w:val="center"/>
                <w:rPr>
                  <w:sz w:val="16"/>
                  <w:szCs w:val="16"/>
                  <w:lang w:val="en-GB"/>
                </w:rPr>
              </w:pPr>
              <w:r w:rsidRPr="009F12AD">
                <w:rPr>
                  <w:sz w:val="16"/>
                  <w:szCs w:val="16"/>
                  <w:lang w:val="en-US"/>
                </w:rPr>
                <w:t>Italy North TSOs proposal for D-2 common capacity calculation in accordance with Article 21 of Commission Regulation (EU) 2015/1222 of 24 July 2015 establishing a guideline on capacity allocation and congestion management</w:t>
              </w:r>
            </w:p>
          </w:tc>
        </w:sdtContent>
      </w:sdt>
    </w:tr>
  </w:tbl>
  <w:p w14:paraId="7A535BC9" w14:textId="77777777" w:rsidR="0080659A" w:rsidRPr="00407285" w:rsidRDefault="0080659A" w:rsidP="003D0965">
    <w:pPr>
      <w:pStyle w:val="Pieddepage"/>
      <w:rPr>
        <w:lang w:val="en-GB"/>
      </w:rPr>
    </w:pPr>
    <w:r>
      <w:rPr>
        <w:noProof/>
        <w:lang w:val="fr-FR" w:eastAsia="fr-FR"/>
      </w:rPr>
      <w:drawing>
        <wp:anchor distT="0" distB="0" distL="114300" distR="114300" simplePos="0" relativeHeight="251658244" behindDoc="0" locked="0" layoutInCell="1" allowOverlap="1" wp14:anchorId="7A535BDE" wp14:editId="7A535BDF">
          <wp:simplePos x="0" y="0"/>
          <wp:positionH relativeFrom="page">
            <wp:posOffset>3838575</wp:posOffset>
          </wp:positionH>
          <wp:positionV relativeFrom="topMargin">
            <wp:posOffset>817880</wp:posOffset>
          </wp:positionV>
          <wp:extent cx="1152525" cy="361950"/>
          <wp:effectExtent l="0" t="0" r="9525" b="0"/>
          <wp:wrapNone/>
          <wp:docPr id="25" name="Image 25" descr="logo 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R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61950"/>
                  </a:xfrm>
                  <a:prstGeom prst="rect">
                    <a:avLst/>
                  </a:prstGeom>
                  <a:noFill/>
                  <a:ln>
                    <a:noFill/>
                  </a:ln>
                </pic:spPr>
              </pic:pic>
            </a:graphicData>
          </a:graphic>
        </wp:anchor>
      </w:drawing>
    </w:r>
    <w:r>
      <w:rPr>
        <w:noProof/>
        <w:lang w:val="fr-FR" w:eastAsia="fr-FR"/>
      </w:rPr>
      <w:drawing>
        <wp:anchor distT="0" distB="0" distL="114300" distR="114300" simplePos="0" relativeHeight="251658246" behindDoc="1" locked="0" layoutInCell="1" allowOverlap="1" wp14:anchorId="7A535BE0" wp14:editId="7A535BE1">
          <wp:simplePos x="0" y="0"/>
          <wp:positionH relativeFrom="page">
            <wp:posOffset>2257425</wp:posOffset>
          </wp:positionH>
          <wp:positionV relativeFrom="page">
            <wp:posOffset>914400</wp:posOffset>
          </wp:positionV>
          <wp:extent cx="762000" cy="180975"/>
          <wp:effectExtent l="0" t="0" r="0" b="9525"/>
          <wp:wrapNone/>
          <wp:docPr id="24" name="Image 24" descr="logo 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EL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anchor>
      </w:drawing>
    </w:r>
    <w:r>
      <w:rPr>
        <w:noProof/>
        <w:lang w:val="fr-FR" w:eastAsia="fr-FR"/>
      </w:rPr>
      <w:drawing>
        <wp:anchor distT="0" distB="0" distL="114300" distR="114300" simplePos="0" relativeHeight="251658245" behindDoc="0" locked="0" layoutInCell="1" allowOverlap="1" wp14:anchorId="7A535BE2" wp14:editId="7A535BE3">
          <wp:simplePos x="0" y="0"/>
          <wp:positionH relativeFrom="page">
            <wp:posOffset>5705475</wp:posOffset>
          </wp:positionH>
          <wp:positionV relativeFrom="page">
            <wp:posOffset>790575</wp:posOffset>
          </wp:positionV>
          <wp:extent cx="1097280" cy="365760"/>
          <wp:effectExtent l="0" t="0" r="7620" b="0"/>
          <wp:wrapNone/>
          <wp:docPr id="27" name="Image 27" descr="logo 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Ter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365760"/>
                  </a:xfrm>
                  <a:prstGeom prst="rect">
                    <a:avLst/>
                  </a:prstGeom>
                  <a:noFill/>
                  <a:ln>
                    <a:noFill/>
                  </a:ln>
                </pic:spPr>
              </pic:pic>
            </a:graphicData>
          </a:graphic>
        </wp:anchor>
      </w:drawing>
    </w:r>
    <w:r>
      <w:rPr>
        <w:noProof/>
        <w:lang w:val="fr-FR" w:eastAsia="fr-FR"/>
      </w:rPr>
      <w:drawing>
        <wp:anchor distT="0" distB="0" distL="114300" distR="114300" simplePos="0" relativeHeight="251658247" behindDoc="0" locked="0" layoutInCell="1" allowOverlap="1" wp14:anchorId="7A535BE4" wp14:editId="7A535BE5">
          <wp:simplePos x="0" y="0"/>
          <wp:positionH relativeFrom="page">
            <wp:posOffset>866775</wp:posOffset>
          </wp:positionH>
          <wp:positionV relativeFrom="page">
            <wp:posOffset>723900</wp:posOffset>
          </wp:positionV>
          <wp:extent cx="657225" cy="390525"/>
          <wp:effectExtent l="0" t="0" r="9525" b="9525"/>
          <wp:wrapNone/>
          <wp:docPr id="23" name="Image 23" descr="logo A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A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anchor>
      </w:drawing>
    </w:r>
    <w:r w:rsidRPr="00407285">
      <w:rPr>
        <w:lang w:val="en-GB"/>
      </w:rPr>
      <w:t xml:space="preserve">                                </w:t>
    </w:r>
  </w:p>
  <w:p w14:paraId="7A535BCA" w14:textId="77777777" w:rsidR="0080659A" w:rsidRPr="00407285" w:rsidRDefault="0080659A" w:rsidP="003D0965">
    <w:pPr>
      <w:pStyle w:val="Pieddepage"/>
      <w:rPr>
        <w:lang w:val="en-GB"/>
      </w:rPr>
    </w:pPr>
  </w:p>
  <w:p w14:paraId="7A535BCB" w14:textId="77777777" w:rsidR="0080659A" w:rsidRPr="00407285" w:rsidRDefault="0080659A" w:rsidP="003D0965">
    <w:pPr>
      <w:pStyle w:val="Pieddepage"/>
      <w:rPr>
        <w:lang w:val="en-GB"/>
      </w:rPr>
    </w:pPr>
  </w:p>
  <w:p w14:paraId="7A535BCC" w14:textId="77777777" w:rsidR="0080659A" w:rsidRPr="00407285" w:rsidRDefault="0080659A" w:rsidP="003D0965">
    <w:pPr>
      <w:pStyle w:val="Pieddepag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4"/>
    </w:tblGrid>
    <w:tr w:rsidR="0080659A" w14:paraId="7A535BD3" w14:textId="77777777" w:rsidTr="00DC0ABD">
      <w:tc>
        <w:tcPr>
          <w:tcW w:w="9524" w:type="dxa"/>
          <w:tcMar>
            <w:top w:w="198" w:type="dxa"/>
          </w:tcMar>
        </w:tcPr>
        <w:p w14:paraId="7A535BD2" w14:textId="77777777" w:rsidR="0080659A" w:rsidRDefault="0080659A" w:rsidP="00696EBB">
          <w:pPr>
            <w:pStyle w:val="headlineheader"/>
            <w:rPr>
              <w:lang w:val="en-US"/>
            </w:rPr>
          </w:pPr>
        </w:p>
      </w:tc>
    </w:tr>
    <w:tr w:rsidR="0080659A" w14:paraId="7A535BD5" w14:textId="77777777" w:rsidTr="00DC0ABD">
      <w:tc>
        <w:tcPr>
          <w:tcW w:w="9524" w:type="dxa"/>
        </w:tcPr>
        <w:p w14:paraId="7A535BD4" w14:textId="77777777" w:rsidR="0080659A" w:rsidRPr="00AF06B7" w:rsidRDefault="0080659A" w:rsidP="00DC0ABD">
          <w:pPr>
            <w:pStyle w:val="textheader"/>
          </w:pPr>
        </w:p>
      </w:tc>
    </w:tr>
    <w:tr w:rsidR="0080659A" w14:paraId="7A535BD7" w14:textId="77777777" w:rsidTr="00DC0ABD">
      <w:tc>
        <w:tcPr>
          <w:tcW w:w="9524" w:type="dxa"/>
        </w:tcPr>
        <w:p w14:paraId="7A535BD6" w14:textId="77777777" w:rsidR="0080659A" w:rsidRPr="007A686E" w:rsidRDefault="0080659A" w:rsidP="00DC0ABD">
          <w:pPr>
            <w:pStyle w:val="textheader"/>
          </w:pPr>
        </w:p>
      </w:tc>
    </w:tr>
    <w:tr w:rsidR="0080659A" w:rsidRPr="00903B95" w14:paraId="7A535BD9" w14:textId="77777777" w:rsidTr="00CC697D">
      <w:trPr>
        <w:trHeight w:val="1646"/>
      </w:trPr>
      <w:tc>
        <w:tcPr>
          <w:tcW w:w="9524" w:type="dxa"/>
          <w:tcMar>
            <w:bottom w:w="142" w:type="dxa"/>
          </w:tcMar>
        </w:tcPr>
        <w:p w14:paraId="7A535BD8" w14:textId="77777777" w:rsidR="0080659A" w:rsidRPr="00256312" w:rsidRDefault="0080659A" w:rsidP="00DC0ABD">
          <w:pPr>
            <w:pStyle w:val="time"/>
            <w:framePr w:hSpace="0" w:vSpace="0" w:wrap="auto" w:vAnchor="margin" w:hAnchor="text" w:xAlign="left" w:yAlign="inline"/>
          </w:pPr>
        </w:p>
      </w:tc>
    </w:tr>
  </w:tbl>
  <w:p w14:paraId="7A535BDA" w14:textId="77777777" w:rsidR="0080659A" w:rsidRDefault="008065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886747"/>
    <w:multiLevelType w:val="hybridMultilevel"/>
    <w:tmpl w:val="307E95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117C90"/>
    <w:multiLevelType w:val="hybridMultilevel"/>
    <w:tmpl w:val="95843F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A312A"/>
    <w:multiLevelType w:val="hybridMultilevel"/>
    <w:tmpl w:val="BEA0A5E4"/>
    <w:lvl w:ilvl="0" w:tplc="AE30EBC2">
      <w:start w:val="2"/>
      <w:numFmt w:val="decimal"/>
      <w:lvlText w:val="%1."/>
      <w:lvlJc w:val="left"/>
      <w:pPr>
        <w:ind w:left="720" w:hanging="360"/>
      </w:pPr>
      <w:rPr>
        <w:rFonts w:hint="default"/>
        <w:b w:val="0"/>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1EA241A"/>
    <w:multiLevelType w:val="hybridMultilevel"/>
    <w:tmpl w:val="41F25910"/>
    <w:lvl w:ilvl="0" w:tplc="15F4B64C">
      <w:numFmt w:val="bullet"/>
      <w:lvlText w:val="-"/>
      <w:lvlJc w:val="left"/>
      <w:pPr>
        <w:ind w:left="1068" w:hanging="360"/>
      </w:pPr>
      <w:rPr>
        <w:rFonts w:ascii="Times New Roman" w:eastAsia="Times New Roman" w:hAnsi="Times New Roman" w:cs="Times New Roman" w:hint="default"/>
        <w:b w:val="0"/>
        <w:color w:val="auto"/>
        <w:sz w:val="22"/>
        <w:szCs w:val="22"/>
      </w:rPr>
    </w:lvl>
    <w:lvl w:ilvl="1" w:tplc="041D0019" w:tentative="1">
      <w:start w:val="1"/>
      <w:numFmt w:val="lowerLetter"/>
      <w:lvlText w:val="%2."/>
      <w:lvlJc w:val="left"/>
      <w:pPr>
        <w:ind w:left="1788" w:hanging="360"/>
      </w:pPr>
    </w:lvl>
    <w:lvl w:ilvl="2" w:tplc="041D001B" w:tentative="1">
      <w:start w:val="1"/>
      <w:numFmt w:val="lowerRoman"/>
      <w:lvlText w:val="%3."/>
      <w:lvlJc w:val="right"/>
      <w:pPr>
        <w:ind w:left="2508" w:hanging="180"/>
      </w:pPr>
    </w:lvl>
    <w:lvl w:ilvl="3" w:tplc="041D000F" w:tentative="1">
      <w:start w:val="1"/>
      <w:numFmt w:val="decimal"/>
      <w:lvlText w:val="%4."/>
      <w:lvlJc w:val="left"/>
      <w:pPr>
        <w:ind w:left="3228" w:hanging="360"/>
      </w:pPr>
    </w:lvl>
    <w:lvl w:ilvl="4" w:tplc="041D0019" w:tentative="1">
      <w:start w:val="1"/>
      <w:numFmt w:val="lowerLetter"/>
      <w:lvlText w:val="%5."/>
      <w:lvlJc w:val="left"/>
      <w:pPr>
        <w:ind w:left="3948" w:hanging="360"/>
      </w:pPr>
    </w:lvl>
    <w:lvl w:ilvl="5" w:tplc="041D001B" w:tentative="1">
      <w:start w:val="1"/>
      <w:numFmt w:val="lowerRoman"/>
      <w:lvlText w:val="%6."/>
      <w:lvlJc w:val="right"/>
      <w:pPr>
        <w:ind w:left="4668" w:hanging="180"/>
      </w:pPr>
    </w:lvl>
    <w:lvl w:ilvl="6" w:tplc="041D000F" w:tentative="1">
      <w:start w:val="1"/>
      <w:numFmt w:val="decimal"/>
      <w:lvlText w:val="%7."/>
      <w:lvlJc w:val="left"/>
      <w:pPr>
        <w:ind w:left="5388" w:hanging="360"/>
      </w:pPr>
    </w:lvl>
    <w:lvl w:ilvl="7" w:tplc="041D0019" w:tentative="1">
      <w:start w:val="1"/>
      <w:numFmt w:val="lowerLetter"/>
      <w:lvlText w:val="%8."/>
      <w:lvlJc w:val="left"/>
      <w:pPr>
        <w:ind w:left="6108" w:hanging="360"/>
      </w:pPr>
    </w:lvl>
    <w:lvl w:ilvl="8" w:tplc="041D001B" w:tentative="1">
      <w:start w:val="1"/>
      <w:numFmt w:val="lowerRoman"/>
      <w:lvlText w:val="%9."/>
      <w:lvlJc w:val="right"/>
      <w:pPr>
        <w:ind w:left="6828" w:hanging="180"/>
      </w:pPr>
    </w:lvl>
  </w:abstractNum>
  <w:abstractNum w:abstractNumId="4" w15:restartNumberingAfterBreak="0">
    <w:nsid w:val="089E34EB"/>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BDE6E73"/>
    <w:multiLevelType w:val="hybridMultilevel"/>
    <w:tmpl w:val="40DCAA82"/>
    <w:lvl w:ilvl="0" w:tplc="CB2296C8">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2A6098"/>
    <w:multiLevelType w:val="hybridMultilevel"/>
    <w:tmpl w:val="E3F4B396"/>
    <w:lvl w:ilvl="0" w:tplc="79EE455A">
      <w:start w:val="1"/>
      <w:numFmt w:val="decimal"/>
      <w:lvlText w:val="(%1)"/>
      <w:lvlJc w:val="left"/>
      <w:pPr>
        <w:ind w:left="720" w:hanging="360"/>
      </w:pPr>
      <w:rPr>
        <w:rFonts w:hint="default"/>
        <w:b w:val="0"/>
      </w:rPr>
    </w:lvl>
    <w:lvl w:ilvl="1" w:tplc="0106ACE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B7DAF"/>
    <w:multiLevelType w:val="hybridMultilevel"/>
    <w:tmpl w:val="F830018A"/>
    <w:lvl w:ilvl="0" w:tplc="9DF40CD2">
      <w:start w:val="2"/>
      <w:numFmt w:val="decimal"/>
      <w:lvlText w:val="%1."/>
      <w:lvlJc w:val="left"/>
      <w:pPr>
        <w:ind w:left="720" w:hanging="360"/>
      </w:pPr>
      <w:rPr>
        <w:rFonts w:hint="default"/>
        <w:b w:val="0"/>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475F8A"/>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4E954F7"/>
    <w:multiLevelType w:val="hybridMultilevel"/>
    <w:tmpl w:val="AFF27470"/>
    <w:lvl w:ilvl="0" w:tplc="15F4B64C">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1AC074F4"/>
    <w:multiLevelType w:val="hybridMultilevel"/>
    <w:tmpl w:val="FAE6137E"/>
    <w:lvl w:ilvl="0" w:tplc="15F4B6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1102EB"/>
    <w:multiLevelType w:val="hybridMultilevel"/>
    <w:tmpl w:val="50B6A646"/>
    <w:lvl w:ilvl="0" w:tplc="5A9699E4">
      <w:start w:val="1"/>
      <w:numFmt w:val="decimal"/>
      <w:lvlText w:val="%1."/>
      <w:lvlJc w:val="left"/>
      <w:pPr>
        <w:ind w:left="720" w:hanging="360"/>
      </w:pPr>
      <w:rPr>
        <w:rFonts w:hint="default"/>
        <w:b w:val="0"/>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A62E94"/>
    <w:multiLevelType w:val="hybridMultilevel"/>
    <w:tmpl w:val="3630363C"/>
    <w:lvl w:ilvl="0" w:tplc="15F4B64C">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1DE6D4C"/>
    <w:multiLevelType w:val="hybridMultilevel"/>
    <w:tmpl w:val="6D62BDD0"/>
    <w:lvl w:ilvl="0" w:tplc="D1DA4CD8">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3570B63"/>
    <w:multiLevelType w:val="hybridMultilevel"/>
    <w:tmpl w:val="EE7C9F3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235F370F"/>
    <w:multiLevelType w:val="hybridMultilevel"/>
    <w:tmpl w:val="C3949CA6"/>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17" w15:restartNumberingAfterBreak="0">
    <w:nsid w:val="27436AC8"/>
    <w:multiLevelType w:val="hybridMultilevel"/>
    <w:tmpl w:val="8EC6B5A8"/>
    <w:lvl w:ilvl="0" w:tplc="9DF40CD2">
      <w:start w:val="2"/>
      <w:numFmt w:val="decimal"/>
      <w:lvlText w:val="%1."/>
      <w:lvlJc w:val="left"/>
      <w:pPr>
        <w:ind w:left="1080" w:hanging="360"/>
      </w:pPr>
      <w:rPr>
        <w:rFonts w:hint="default"/>
        <w:b w:val="0"/>
        <w:color w:val="auto"/>
        <w:sz w:val="22"/>
        <w:szCs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2B6F6A57"/>
    <w:multiLevelType w:val="hybridMultilevel"/>
    <w:tmpl w:val="3AAE839C"/>
    <w:lvl w:ilvl="0" w:tplc="CB481F1E">
      <w:start w:val="1"/>
      <w:numFmt w:val="decimal"/>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5C3EFE"/>
    <w:multiLevelType w:val="hybridMultilevel"/>
    <w:tmpl w:val="0BF035F0"/>
    <w:lvl w:ilvl="0" w:tplc="9274D74A">
      <w:start w:val="1"/>
      <w:numFmt w:val="decimal"/>
      <w:lvlText w:val="%1."/>
      <w:lvlJc w:val="left"/>
      <w:pPr>
        <w:ind w:left="720" w:hanging="360"/>
      </w:pPr>
      <w:rPr>
        <w:rFonts w:hint="default"/>
        <w:b w:val="0"/>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F1A44E4"/>
    <w:multiLevelType w:val="hybridMultilevel"/>
    <w:tmpl w:val="FAF2B3B4"/>
    <w:lvl w:ilvl="0" w:tplc="35EC3044">
      <w:start w:val="2"/>
      <w:numFmt w:val="decimal"/>
      <w:lvlText w:val="%1."/>
      <w:lvlJc w:val="left"/>
      <w:pPr>
        <w:ind w:left="1080" w:hanging="360"/>
      </w:pPr>
      <w:rPr>
        <w:rFonts w:cs="Times New Roman"/>
        <w:b w:val="0"/>
        <w:color w:val="auto"/>
        <w:sz w:val="22"/>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1" w15:restartNumberingAfterBreak="0">
    <w:nsid w:val="30E21AB4"/>
    <w:multiLevelType w:val="hybridMultilevel"/>
    <w:tmpl w:val="D0E44260"/>
    <w:lvl w:ilvl="0" w:tplc="367A35E4">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13D27FD"/>
    <w:multiLevelType w:val="hybridMultilevel"/>
    <w:tmpl w:val="EB361FCA"/>
    <w:lvl w:ilvl="0" w:tplc="040C000F">
      <w:start w:val="1"/>
      <w:numFmt w:val="decimal"/>
      <w:lvlText w:val="%1."/>
      <w:lvlJc w:val="left"/>
      <w:pPr>
        <w:ind w:left="548" w:hanging="428"/>
      </w:pPr>
      <w:rPr>
        <w:rFonts w:hint="default"/>
        <w:w w:val="100"/>
        <w:sz w:val="22"/>
        <w:szCs w:val="22"/>
      </w:rPr>
    </w:lvl>
    <w:lvl w:ilvl="1" w:tplc="0450BE5C">
      <w:numFmt w:val="bullet"/>
      <w:lvlText w:val="•"/>
      <w:lvlJc w:val="left"/>
      <w:pPr>
        <w:ind w:left="1502" w:hanging="428"/>
      </w:pPr>
      <w:rPr>
        <w:rFonts w:hint="default"/>
      </w:rPr>
    </w:lvl>
    <w:lvl w:ilvl="2" w:tplc="46162DE0">
      <w:numFmt w:val="bullet"/>
      <w:lvlText w:val="•"/>
      <w:lvlJc w:val="left"/>
      <w:pPr>
        <w:ind w:left="2464" w:hanging="428"/>
      </w:pPr>
      <w:rPr>
        <w:rFonts w:hint="default"/>
      </w:rPr>
    </w:lvl>
    <w:lvl w:ilvl="3" w:tplc="6866ACB8">
      <w:numFmt w:val="bullet"/>
      <w:lvlText w:val="•"/>
      <w:lvlJc w:val="left"/>
      <w:pPr>
        <w:ind w:left="3426" w:hanging="428"/>
      </w:pPr>
      <w:rPr>
        <w:rFonts w:hint="default"/>
      </w:rPr>
    </w:lvl>
    <w:lvl w:ilvl="4" w:tplc="8D128576">
      <w:numFmt w:val="bullet"/>
      <w:lvlText w:val="•"/>
      <w:lvlJc w:val="left"/>
      <w:pPr>
        <w:ind w:left="4388" w:hanging="428"/>
      </w:pPr>
      <w:rPr>
        <w:rFonts w:hint="default"/>
      </w:rPr>
    </w:lvl>
    <w:lvl w:ilvl="5" w:tplc="7772DAB8">
      <w:numFmt w:val="bullet"/>
      <w:lvlText w:val="•"/>
      <w:lvlJc w:val="left"/>
      <w:pPr>
        <w:ind w:left="5350" w:hanging="428"/>
      </w:pPr>
      <w:rPr>
        <w:rFonts w:hint="default"/>
      </w:rPr>
    </w:lvl>
    <w:lvl w:ilvl="6" w:tplc="8342D8E2">
      <w:numFmt w:val="bullet"/>
      <w:lvlText w:val="•"/>
      <w:lvlJc w:val="left"/>
      <w:pPr>
        <w:ind w:left="6312" w:hanging="428"/>
      </w:pPr>
      <w:rPr>
        <w:rFonts w:hint="default"/>
      </w:rPr>
    </w:lvl>
    <w:lvl w:ilvl="7" w:tplc="D33E9FF4">
      <w:numFmt w:val="bullet"/>
      <w:lvlText w:val="•"/>
      <w:lvlJc w:val="left"/>
      <w:pPr>
        <w:ind w:left="7274" w:hanging="428"/>
      </w:pPr>
      <w:rPr>
        <w:rFonts w:hint="default"/>
      </w:rPr>
    </w:lvl>
    <w:lvl w:ilvl="8" w:tplc="01206A08">
      <w:numFmt w:val="bullet"/>
      <w:lvlText w:val="•"/>
      <w:lvlJc w:val="left"/>
      <w:pPr>
        <w:ind w:left="8236" w:hanging="428"/>
      </w:pPr>
      <w:rPr>
        <w:rFonts w:hint="default"/>
      </w:rPr>
    </w:lvl>
  </w:abstractNum>
  <w:abstractNum w:abstractNumId="23" w15:restartNumberingAfterBreak="0">
    <w:nsid w:val="331D2C7D"/>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3312E7F"/>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51A6947"/>
    <w:multiLevelType w:val="hybridMultilevel"/>
    <w:tmpl w:val="0526F1BA"/>
    <w:lvl w:ilvl="0" w:tplc="041D000F">
      <w:start w:val="1"/>
      <w:numFmt w:val="decimal"/>
      <w:lvlText w:val="%1."/>
      <w:lvlJc w:val="left"/>
      <w:pPr>
        <w:ind w:left="720" w:hanging="360"/>
      </w:pPr>
      <w:rPr>
        <w:rFonts w:hint="default"/>
        <w:b w:val="0"/>
        <w:color w:val="auto"/>
        <w:sz w:val="22"/>
        <w:szCs w:val="22"/>
      </w:rPr>
    </w:lvl>
    <w:lvl w:ilvl="1" w:tplc="15F4B64C">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73E0FB2"/>
    <w:multiLevelType w:val="hybridMultilevel"/>
    <w:tmpl w:val="F280D226"/>
    <w:lvl w:ilvl="0" w:tplc="F084C08A">
      <w:start w:val="1"/>
      <w:numFmt w:val="decimal"/>
      <w:pStyle w:val="Body"/>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3A3E23D5"/>
    <w:multiLevelType w:val="hybridMultilevel"/>
    <w:tmpl w:val="8062C19A"/>
    <w:lvl w:ilvl="0" w:tplc="E3582B38">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B5905E4"/>
    <w:multiLevelType w:val="multilevel"/>
    <w:tmpl w:val="169CC5E8"/>
    <w:numStyleLink w:val="XXXtextbullets"/>
  </w:abstractNum>
  <w:abstractNum w:abstractNumId="29" w15:restartNumberingAfterBreak="0">
    <w:nsid w:val="44E54334"/>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9D54352"/>
    <w:multiLevelType w:val="hybridMultilevel"/>
    <w:tmpl w:val="7EAAE8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56043038"/>
    <w:multiLevelType w:val="hybridMultilevel"/>
    <w:tmpl w:val="535ED19A"/>
    <w:lvl w:ilvl="0" w:tplc="04090017">
      <w:start w:val="1"/>
      <w:numFmt w:val="lowerLetter"/>
      <w:lvlText w:val="%1)"/>
      <w:lvlJc w:val="left"/>
      <w:pPr>
        <w:ind w:left="1428" w:hanging="360"/>
      </w:pPr>
    </w:lvl>
    <w:lvl w:ilvl="1" w:tplc="6C0A2FA8">
      <w:start w:val="1"/>
      <w:numFmt w:val="lowerLetter"/>
      <w:lvlText w:val="%2)"/>
      <w:lvlJc w:val="left"/>
      <w:pPr>
        <w:ind w:left="2148" w:hanging="360"/>
      </w:pPr>
    </w:lvl>
    <w:lvl w:ilvl="2" w:tplc="040B001B">
      <w:start w:val="1"/>
      <w:numFmt w:val="lowerRoman"/>
      <w:lvlText w:val="%3."/>
      <w:lvlJc w:val="right"/>
      <w:pPr>
        <w:ind w:left="2868" w:hanging="180"/>
      </w:pPr>
    </w:lvl>
    <w:lvl w:ilvl="3" w:tplc="040B000F">
      <w:start w:val="1"/>
      <w:numFmt w:val="decimal"/>
      <w:lvlText w:val="%4."/>
      <w:lvlJc w:val="left"/>
      <w:pPr>
        <w:ind w:left="3588" w:hanging="360"/>
      </w:pPr>
    </w:lvl>
    <w:lvl w:ilvl="4" w:tplc="040B0019">
      <w:start w:val="1"/>
      <w:numFmt w:val="lowerLetter"/>
      <w:lvlText w:val="%5."/>
      <w:lvlJc w:val="left"/>
      <w:pPr>
        <w:ind w:left="4308" w:hanging="360"/>
      </w:pPr>
    </w:lvl>
    <w:lvl w:ilvl="5" w:tplc="040B001B">
      <w:start w:val="1"/>
      <w:numFmt w:val="lowerRoman"/>
      <w:lvlText w:val="%6."/>
      <w:lvlJc w:val="right"/>
      <w:pPr>
        <w:ind w:left="5028" w:hanging="180"/>
      </w:pPr>
    </w:lvl>
    <w:lvl w:ilvl="6" w:tplc="040B000F">
      <w:start w:val="1"/>
      <w:numFmt w:val="decimal"/>
      <w:lvlText w:val="%7."/>
      <w:lvlJc w:val="left"/>
      <w:pPr>
        <w:ind w:left="5748" w:hanging="360"/>
      </w:pPr>
    </w:lvl>
    <w:lvl w:ilvl="7" w:tplc="040B0019">
      <w:start w:val="1"/>
      <w:numFmt w:val="lowerLetter"/>
      <w:lvlText w:val="%8."/>
      <w:lvlJc w:val="left"/>
      <w:pPr>
        <w:ind w:left="6468" w:hanging="360"/>
      </w:pPr>
    </w:lvl>
    <w:lvl w:ilvl="8" w:tplc="040B001B">
      <w:start w:val="1"/>
      <w:numFmt w:val="lowerRoman"/>
      <w:lvlText w:val="%9."/>
      <w:lvlJc w:val="right"/>
      <w:pPr>
        <w:ind w:left="7188" w:hanging="180"/>
      </w:pPr>
    </w:lvl>
  </w:abstractNum>
  <w:abstractNum w:abstractNumId="33" w15:restartNumberingAfterBreak="0">
    <w:nsid w:val="579526EE"/>
    <w:multiLevelType w:val="multilevel"/>
    <w:tmpl w:val="0E80C546"/>
    <w:numStyleLink w:val="XXXNummerierung"/>
  </w:abstractNum>
  <w:abstractNum w:abstractNumId="34" w15:restartNumberingAfterBreak="0">
    <w:nsid w:val="593C1338"/>
    <w:multiLevelType w:val="hybridMultilevel"/>
    <w:tmpl w:val="23C464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93D43CD"/>
    <w:multiLevelType w:val="hybridMultilevel"/>
    <w:tmpl w:val="9FBEDC1C"/>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5B6863CB"/>
    <w:multiLevelType w:val="hybridMultilevel"/>
    <w:tmpl w:val="49B64B74"/>
    <w:lvl w:ilvl="0" w:tplc="226AB5B0">
      <w:start w:val="1"/>
      <w:numFmt w:val="decimal"/>
      <w:lvlText w:val="%1."/>
      <w:lvlJc w:val="left"/>
      <w:pPr>
        <w:ind w:left="1282" w:hanging="428"/>
      </w:pPr>
      <w:rPr>
        <w:rFonts w:ascii="Times New Roman" w:eastAsia="Times New Roman" w:hAnsi="Times New Roman" w:cs="Times New Roman" w:hint="default"/>
        <w:w w:val="10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D206F59"/>
    <w:multiLevelType w:val="hybridMultilevel"/>
    <w:tmpl w:val="018A44DE"/>
    <w:lvl w:ilvl="0" w:tplc="073ABEAE">
      <w:start w:val="1"/>
      <w:numFmt w:val="decimal"/>
      <w:lvlText w:val="%1."/>
      <w:lvlJc w:val="left"/>
      <w:pPr>
        <w:ind w:left="720" w:hanging="360"/>
      </w:pPr>
      <w:rPr>
        <w:rFonts w:hint="default"/>
        <w:b w:val="0"/>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D4A3354"/>
    <w:multiLevelType w:val="multilevel"/>
    <w:tmpl w:val="AF40A21E"/>
    <w:styleLink w:val="XXXList"/>
    <w:lvl w:ilvl="0">
      <w:start w:val="1"/>
      <w:numFmt w:val="decimal"/>
      <w:pStyle w:val="headline1"/>
      <w:lvlText w:val="%1."/>
      <w:lvlJc w:val="left"/>
      <w:pPr>
        <w:ind w:left="357" w:hanging="357"/>
      </w:pPr>
      <w:rPr>
        <w:rFonts w:asciiTheme="majorHAnsi" w:hAnsiTheme="majorHAnsi" w:hint="default"/>
        <w:b/>
        <w:i w:val="0"/>
        <w:color w:val="23236E" w:themeColor="text2"/>
        <w:sz w:val="28"/>
        <w:u w:color="23236E"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asciiTheme="majorHAnsi" w:hAnsiTheme="majorHAnsi" w:hint="default"/>
        <w:b/>
        <w:i w:val="0"/>
        <w:color w:val="23236E" w:themeColor="text2"/>
        <w:sz w:val="28"/>
        <w:u w:color="23236E" w:themeColor="text2"/>
      </w:rPr>
    </w:lvl>
  </w:abstractNum>
  <w:abstractNum w:abstractNumId="39" w15:restartNumberingAfterBreak="0">
    <w:nsid w:val="5E6C0D64"/>
    <w:multiLevelType w:val="hybridMultilevel"/>
    <w:tmpl w:val="0ABC2B9E"/>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6004532F"/>
    <w:multiLevelType w:val="hybridMultilevel"/>
    <w:tmpl w:val="ED52F2E4"/>
    <w:lvl w:ilvl="0" w:tplc="350C7DD4">
      <w:start w:val="1"/>
      <w:numFmt w:val="decimal"/>
      <w:lvlText w:val="%1."/>
      <w:lvlJc w:val="left"/>
      <w:pPr>
        <w:ind w:left="720" w:hanging="360"/>
      </w:pPr>
      <w:rPr>
        <w:rFonts w:hint="default"/>
        <w:b w:val="0"/>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4F257A5"/>
    <w:multiLevelType w:val="hybridMultilevel"/>
    <w:tmpl w:val="55B6858E"/>
    <w:lvl w:ilvl="0" w:tplc="9B52330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C827382"/>
    <w:multiLevelType w:val="hybridMultilevel"/>
    <w:tmpl w:val="ECF4FCF4"/>
    <w:lvl w:ilvl="0" w:tplc="15F4B64C">
      <w:numFmt w:val="bullet"/>
      <w:lvlText w:val="-"/>
      <w:lvlJc w:val="left"/>
      <w:pPr>
        <w:ind w:left="1068" w:hanging="360"/>
      </w:pPr>
      <w:rPr>
        <w:rFonts w:ascii="Times New Roman" w:eastAsia="Times New Roman" w:hAnsi="Times New Roman" w:cs="Times New Roman" w:hint="default"/>
        <w:b w:val="0"/>
        <w:color w:val="auto"/>
        <w:sz w:val="22"/>
        <w:szCs w:val="22"/>
      </w:rPr>
    </w:lvl>
    <w:lvl w:ilvl="1" w:tplc="041D0019" w:tentative="1">
      <w:start w:val="1"/>
      <w:numFmt w:val="lowerLetter"/>
      <w:lvlText w:val="%2."/>
      <w:lvlJc w:val="left"/>
      <w:pPr>
        <w:ind w:left="1788" w:hanging="360"/>
      </w:pPr>
    </w:lvl>
    <w:lvl w:ilvl="2" w:tplc="041D001B" w:tentative="1">
      <w:start w:val="1"/>
      <w:numFmt w:val="lowerRoman"/>
      <w:lvlText w:val="%3."/>
      <w:lvlJc w:val="right"/>
      <w:pPr>
        <w:ind w:left="2508" w:hanging="180"/>
      </w:pPr>
    </w:lvl>
    <w:lvl w:ilvl="3" w:tplc="041D000F" w:tentative="1">
      <w:start w:val="1"/>
      <w:numFmt w:val="decimal"/>
      <w:lvlText w:val="%4."/>
      <w:lvlJc w:val="left"/>
      <w:pPr>
        <w:ind w:left="3228" w:hanging="360"/>
      </w:pPr>
    </w:lvl>
    <w:lvl w:ilvl="4" w:tplc="041D0019" w:tentative="1">
      <w:start w:val="1"/>
      <w:numFmt w:val="lowerLetter"/>
      <w:lvlText w:val="%5."/>
      <w:lvlJc w:val="left"/>
      <w:pPr>
        <w:ind w:left="3948" w:hanging="360"/>
      </w:pPr>
    </w:lvl>
    <w:lvl w:ilvl="5" w:tplc="041D001B" w:tentative="1">
      <w:start w:val="1"/>
      <w:numFmt w:val="lowerRoman"/>
      <w:lvlText w:val="%6."/>
      <w:lvlJc w:val="right"/>
      <w:pPr>
        <w:ind w:left="4668" w:hanging="180"/>
      </w:pPr>
    </w:lvl>
    <w:lvl w:ilvl="6" w:tplc="041D000F" w:tentative="1">
      <w:start w:val="1"/>
      <w:numFmt w:val="decimal"/>
      <w:lvlText w:val="%7."/>
      <w:lvlJc w:val="left"/>
      <w:pPr>
        <w:ind w:left="5388" w:hanging="360"/>
      </w:pPr>
    </w:lvl>
    <w:lvl w:ilvl="7" w:tplc="041D0019" w:tentative="1">
      <w:start w:val="1"/>
      <w:numFmt w:val="lowerLetter"/>
      <w:lvlText w:val="%8."/>
      <w:lvlJc w:val="left"/>
      <w:pPr>
        <w:ind w:left="6108" w:hanging="360"/>
      </w:pPr>
    </w:lvl>
    <w:lvl w:ilvl="8" w:tplc="041D001B" w:tentative="1">
      <w:start w:val="1"/>
      <w:numFmt w:val="lowerRoman"/>
      <w:lvlText w:val="%9."/>
      <w:lvlJc w:val="right"/>
      <w:pPr>
        <w:ind w:left="6828" w:hanging="180"/>
      </w:pPr>
    </w:lvl>
  </w:abstractNum>
  <w:abstractNum w:abstractNumId="44" w15:restartNumberingAfterBreak="0">
    <w:nsid w:val="6D733398"/>
    <w:multiLevelType w:val="hybridMultilevel"/>
    <w:tmpl w:val="38C2B384"/>
    <w:lvl w:ilvl="0" w:tplc="15F4B64C">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5" w15:restartNumberingAfterBreak="0">
    <w:nsid w:val="6E3B2A81"/>
    <w:multiLevelType w:val="hybridMultilevel"/>
    <w:tmpl w:val="899832D6"/>
    <w:lvl w:ilvl="0" w:tplc="04100001">
      <w:start w:val="1"/>
      <w:numFmt w:val="bullet"/>
      <w:lvlText w:val=""/>
      <w:lvlJc w:val="left"/>
      <w:pPr>
        <w:ind w:left="1068" w:hanging="360"/>
      </w:pPr>
      <w:rPr>
        <w:rFonts w:ascii="Symbol" w:hAnsi="Symbol" w:hint="default"/>
        <w:b w:val="0"/>
        <w:color w:val="auto"/>
        <w:sz w:val="22"/>
        <w:szCs w:val="22"/>
      </w:rPr>
    </w:lvl>
    <w:lvl w:ilvl="1" w:tplc="041D0019" w:tentative="1">
      <w:start w:val="1"/>
      <w:numFmt w:val="lowerLetter"/>
      <w:lvlText w:val="%2."/>
      <w:lvlJc w:val="left"/>
      <w:pPr>
        <w:ind w:left="1788" w:hanging="360"/>
      </w:pPr>
    </w:lvl>
    <w:lvl w:ilvl="2" w:tplc="041D001B" w:tentative="1">
      <w:start w:val="1"/>
      <w:numFmt w:val="lowerRoman"/>
      <w:lvlText w:val="%3."/>
      <w:lvlJc w:val="right"/>
      <w:pPr>
        <w:ind w:left="2508" w:hanging="180"/>
      </w:pPr>
    </w:lvl>
    <w:lvl w:ilvl="3" w:tplc="041D000F" w:tentative="1">
      <w:start w:val="1"/>
      <w:numFmt w:val="decimal"/>
      <w:lvlText w:val="%4."/>
      <w:lvlJc w:val="left"/>
      <w:pPr>
        <w:ind w:left="3228" w:hanging="360"/>
      </w:pPr>
    </w:lvl>
    <w:lvl w:ilvl="4" w:tplc="041D0019" w:tentative="1">
      <w:start w:val="1"/>
      <w:numFmt w:val="lowerLetter"/>
      <w:lvlText w:val="%5."/>
      <w:lvlJc w:val="left"/>
      <w:pPr>
        <w:ind w:left="3948" w:hanging="360"/>
      </w:pPr>
    </w:lvl>
    <w:lvl w:ilvl="5" w:tplc="041D001B" w:tentative="1">
      <w:start w:val="1"/>
      <w:numFmt w:val="lowerRoman"/>
      <w:lvlText w:val="%6."/>
      <w:lvlJc w:val="right"/>
      <w:pPr>
        <w:ind w:left="4668" w:hanging="180"/>
      </w:pPr>
    </w:lvl>
    <w:lvl w:ilvl="6" w:tplc="041D000F" w:tentative="1">
      <w:start w:val="1"/>
      <w:numFmt w:val="decimal"/>
      <w:lvlText w:val="%7."/>
      <w:lvlJc w:val="left"/>
      <w:pPr>
        <w:ind w:left="5388" w:hanging="360"/>
      </w:pPr>
    </w:lvl>
    <w:lvl w:ilvl="7" w:tplc="041D0019" w:tentative="1">
      <w:start w:val="1"/>
      <w:numFmt w:val="lowerLetter"/>
      <w:lvlText w:val="%8."/>
      <w:lvlJc w:val="left"/>
      <w:pPr>
        <w:ind w:left="6108" w:hanging="360"/>
      </w:pPr>
    </w:lvl>
    <w:lvl w:ilvl="8" w:tplc="041D001B" w:tentative="1">
      <w:start w:val="1"/>
      <w:numFmt w:val="lowerRoman"/>
      <w:lvlText w:val="%9."/>
      <w:lvlJc w:val="right"/>
      <w:pPr>
        <w:ind w:left="6828" w:hanging="180"/>
      </w:pPr>
    </w:lvl>
  </w:abstractNum>
  <w:abstractNum w:abstractNumId="46" w15:restartNumberingAfterBreak="0">
    <w:nsid w:val="73F83419"/>
    <w:multiLevelType w:val="hybridMultilevel"/>
    <w:tmpl w:val="9698D13C"/>
    <w:lvl w:ilvl="0" w:tplc="C52260D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74C91C4F"/>
    <w:multiLevelType w:val="multilevel"/>
    <w:tmpl w:val="F9A00892"/>
    <w:numStyleLink w:val="XXXBulletList"/>
  </w:abstractNum>
  <w:abstractNum w:abstractNumId="48" w15:restartNumberingAfterBreak="0">
    <w:nsid w:val="7603346B"/>
    <w:multiLevelType w:val="hybridMultilevel"/>
    <w:tmpl w:val="0BF035F0"/>
    <w:lvl w:ilvl="0" w:tplc="9274D74A">
      <w:start w:val="1"/>
      <w:numFmt w:val="decimal"/>
      <w:lvlText w:val="%1."/>
      <w:lvlJc w:val="left"/>
      <w:pPr>
        <w:ind w:left="720" w:hanging="360"/>
      </w:pPr>
      <w:rPr>
        <w:rFonts w:hint="default"/>
        <w:b w:val="0"/>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6852A01"/>
    <w:multiLevelType w:val="hybridMultilevel"/>
    <w:tmpl w:val="34C245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79340A4F"/>
    <w:multiLevelType w:val="hybridMultilevel"/>
    <w:tmpl w:val="6F9AC8EC"/>
    <w:lvl w:ilvl="0" w:tplc="9C527B70">
      <w:start w:val="1"/>
      <w:numFmt w:val="decimal"/>
      <w:lvlText w:val="%1."/>
      <w:lvlJc w:val="left"/>
      <w:pPr>
        <w:ind w:left="720" w:hanging="360"/>
      </w:pPr>
      <w:rPr>
        <w:rFonts w:hint="default"/>
        <w:b w:val="0"/>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9BB4EB0"/>
    <w:multiLevelType w:val="hybridMultilevel"/>
    <w:tmpl w:val="17661766"/>
    <w:lvl w:ilvl="0" w:tplc="C0864EA8">
      <w:start w:val="1"/>
      <w:numFmt w:val="decimal"/>
      <w:lvlText w:val="%1."/>
      <w:lvlJc w:val="left"/>
      <w:pPr>
        <w:ind w:left="720" w:hanging="360"/>
      </w:pPr>
      <w:rPr>
        <w:rFonts w:hint="default"/>
        <w:b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F177AE9"/>
    <w:multiLevelType w:val="hybridMultilevel"/>
    <w:tmpl w:val="CDC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192AE3"/>
    <w:multiLevelType w:val="hybridMultilevel"/>
    <w:tmpl w:val="115A111C"/>
    <w:lvl w:ilvl="0" w:tplc="3EFA8C90">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7F303572"/>
    <w:multiLevelType w:val="hybridMultilevel"/>
    <w:tmpl w:val="0F8E41EC"/>
    <w:lvl w:ilvl="0" w:tplc="7C9AA172">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2"/>
  </w:num>
  <w:num w:numId="2">
    <w:abstractNumId w:val="38"/>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47"/>
  </w:num>
  <w:num w:numId="6">
    <w:abstractNumId w:val="31"/>
  </w:num>
  <w:num w:numId="7">
    <w:abstractNumId w:val="33"/>
  </w:num>
  <w:num w:numId="8">
    <w:abstractNumId w:val="16"/>
  </w:num>
  <w:num w:numId="9">
    <w:abstractNumId w:val="28"/>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2"/>
  </w:num>
  <w:num w:numId="13">
    <w:abstractNumId w:val="18"/>
  </w:num>
  <w:num w:numId="14">
    <w:abstractNumId w:val="52"/>
  </w:num>
  <w:num w:numId="15">
    <w:abstractNumId w:val="25"/>
  </w:num>
  <w:num w:numId="16">
    <w:abstractNumId w:val="14"/>
  </w:num>
  <w:num w:numId="17">
    <w:abstractNumId w:val="34"/>
  </w:num>
  <w:num w:numId="18">
    <w:abstractNumId w:val="53"/>
  </w:num>
  <w:num w:numId="19">
    <w:abstractNumId w:val="27"/>
  </w:num>
  <w:num w:numId="20">
    <w:abstractNumId w:val="5"/>
  </w:num>
  <w:num w:numId="21">
    <w:abstractNumId w:val="24"/>
  </w:num>
  <w:num w:numId="22">
    <w:abstractNumId w:val="3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8"/>
  </w:num>
  <w:num w:numId="27">
    <w:abstractNumId w:val="23"/>
  </w:num>
  <w:num w:numId="28">
    <w:abstractNumId w:val="43"/>
  </w:num>
  <w:num w:numId="29">
    <w:abstractNumId w:val="12"/>
  </w:num>
  <w:num w:numId="30">
    <w:abstractNumId w:val="21"/>
  </w:num>
  <w:num w:numId="31">
    <w:abstractNumId w:val="10"/>
  </w:num>
  <w:num w:numId="32">
    <w:abstractNumId w:val="29"/>
  </w:num>
  <w:num w:numId="33">
    <w:abstractNumId w:val="4"/>
  </w:num>
  <w:num w:numId="34">
    <w:abstractNumId w:val="1"/>
  </w:num>
  <w:num w:numId="35">
    <w:abstractNumId w:val="50"/>
  </w:num>
  <w:num w:numId="36">
    <w:abstractNumId w:val="37"/>
  </w:num>
  <w:num w:numId="37">
    <w:abstractNumId w:val="7"/>
  </w:num>
  <w:num w:numId="38">
    <w:abstractNumId w:val="0"/>
  </w:num>
  <w:num w:numId="39">
    <w:abstractNumId w:val="46"/>
  </w:num>
  <w:num w:numId="40">
    <w:abstractNumId w:val="48"/>
  </w:num>
  <w:num w:numId="41">
    <w:abstractNumId w:val="2"/>
  </w:num>
  <w:num w:numId="42">
    <w:abstractNumId w:val="15"/>
  </w:num>
  <w:num w:numId="43">
    <w:abstractNumId w:val="54"/>
  </w:num>
  <w:num w:numId="44">
    <w:abstractNumId w:val="13"/>
  </w:num>
  <w:num w:numId="45">
    <w:abstractNumId w:val="11"/>
  </w:num>
  <w:num w:numId="46">
    <w:abstractNumId w:val="41"/>
  </w:num>
  <w:num w:numId="47">
    <w:abstractNumId w:val="17"/>
  </w:num>
  <w:num w:numId="48">
    <w:abstractNumId w:val="51"/>
  </w:num>
  <w:num w:numId="4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36"/>
  </w:num>
  <w:num w:numId="52">
    <w:abstractNumId w:val="45"/>
  </w:num>
  <w:num w:numId="53">
    <w:abstractNumId w:val="3"/>
  </w:num>
  <w:num w:numId="54">
    <w:abstractNumId w:val="19"/>
  </w:num>
  <w:num w:numId="55">
    <w:abstractNumId w:val="9"/>
  </w:num>
  <w:num w:numId="56">
    <w:abstractNumId w:val="44"/>
  </w:num>
  <w:num w:numId="57">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5D"/>
    <w:rsid w:val="00001273"/>
    <w:rsid w:val="000029D6"/>
    <w:rsid w:val="00010472"/>
    <w:rsid w:val="00010F13"/>
    <w:rsid w:val="000118B0"/>
    <w:rsid w:val="00012E7C"/>
    <w:rsid w:val="000165B0"/>
    <w:rsid w:val="00016665"/>
    <w:rsid w:val="00022770"/>
    <w:rsid w:val="00026123"/>
    <w:rsid w:val="00027EAF"/>
    <w:rsid w:val="0003017F"/>
    <w:rsid w:val="00032310"/>
    <w:rsid w:val="00034EDA"/>
    <w:rsid w:val="00036EC1"/>
    <w:rsid w:val="00037CFF"/>
    <w:rsid w:val="00042DBE"/>
    <w:rsid w:val="00046D0D"/>
    <w:rsid w:val="000557BC"/>
    <w:rsid w:val="0005619B"/>
    <w:rsid w:val="00056AFA"/>
    <w:rsid w:val="00063112"/>
    <w:rsid w:val="00064033"/>
    <w:rsid w:val="0006467A"/>
    <w:rsid w:val="000660FF"/>
    <w:rsid w:val="00071A4E"/>
    <w:rsid w:val="00071D00"/>
    <w:rsid w:val="000936E6"/>
    <w:rsid w:val="0009537B"/>
    <w:rsid w:val="00095D5A"/>
    <w:rsid w:val="000961F8"/>
    <w:rsid w:val="000A3606"/>
    <w:rsid w:val="000A510D"/>
    <w:rsid w:val="000B134E"/>
    <w:rsid w:val="000B2DCF"/>
    <w:rsid w:val="000C3FA6"/>
    <w:rsid w:val="000D2BB4"/>
    <w:rsid w:val="000D4C8F"/>
    <w:rsid w:val="000D6FE5"/>
    <w:rsid w:val="000E15A9"/>
    <w:rsid w:val="000E1BB6"/>
    <w:rsid w:val="000E32FA"/>
    <w:rsid w:val="000E419F"/>
    <w:rsid w:val="000F132F"/>
    <w:rsid w:val="000F22E6"/>
    <w:rsid w:val="000F4870"/>
    <w:rsid w:val="000F693C"/>
    <w:rsid w:val="00104FBC"/>
    <w:rsid w:val="001108B4"/>
    <w:rsid w:val="0011126B"/>
    <w:rsid w:val="001141C0"/>
    <w:rsid w:val="00126589"/>
    <w:rsid w:val="0013109C"/>
    <w:rsid w:val="001310C2"/>
    <w:rsid w:val="001350FD"/>
    <w:rsid w:val="0013740E"/>
    <w:rsid w:val="00143A4D"/>
    <w:rsid w:val="00152CAE"/>
    <w:rsid w:val="001546E4"/>
    <w:rsid w:val="00162B68"/>
    <w:rsid w:val="0017167C"/>
    <w:rsid w:val="001762F5"/>
    <w:rsid w:val="0018540A"/>
    <w:rsid w:val="001872B3"/>
    <w:rsid w:val="00190285"/>
    <w:rsid w:val="0019374F"/>
    <w:rsid w:val="001978E2"/>
    <w:rsid w:val="001A0E7D"/>
    <w:rsid w:val="001A55A2"/>
    <w:rsid w:val="001A612D"/>
    <w:rsid w:val="001A682D"/>
    <w:rsid w:val="001C25F5"/>
    <w:rsid w:val="001D11BD"/>
    <w:rsid w:val="001D1E52"/>
    <w:rsid w:val="001D703C"/>
    <w:rsid w:val="001E5EE6"/>
    <w:rsid w:val="001E63D9"/>
    <w:rsid w:val="001F09FA"/>
    <w:rsid w:val="001F1537"/>
    <w:rsid w:val="001F1B97"/>
    <w:rsid w:val="001F2786"/>
    <w:rsid w:val="00201086"/>
    <w:rsid w:val="0020711D"/>
    <w:rsid w:val="00214EA3"/>
    <w:rsid w:val="00214F9E"/>
    <w:rsid w:val="002213AE"/>
    <w:rsid w:val="00222AD7"/>
    <w:rsid w:val="00225680"/>
    <w:rsid w:val="002259B4"/>
    <w:rsid w:val="00234DAB"/>
    <w:rsid w:val="0024169C"/>
    <w:rsid w:val="00247308"/>
    <w:rsid w:val="00247A04"/>
    <w:rsid w:val="002531B7"/>
    <w:rsid w:val="0025329D"/>
    <w:rsid w:val="0026188F"/>
    <w:rsid w:val="002626A0"/>
    <w:rsid w:val="0027035F"/>
    <w:rsid w:val="00270A52"/>
    <w:rsid w:val="002717C3"/>
    <w:rsid w:val="002719EF"/>
    <w:rsid w:val="002732BA"/>
    <w:rsid w:val="00285B00"/>
    <w:rsid w:val="002A198C"/>
    <w:rsid w:val="002A52BE"/>
    <w:rsid w:val="002A68E8"/>
    <w:rsid w:val="002A720B"/>
    <w:rsid w:val="002B1A84"/>
    <w:rsid w:val="002B2730"/>
    <w:rsid w:val="002C2607"/>
    <w:rsid w:val="002C6FDA"/>
    <w:rsid w:val="002D322B"/>
    <w:rsid w:val="002D47C5"/>
    <w:rsid w:val="002D59B5"/>
    <w:rsid w:val="002E155F"/>
    <w:rsid w:val="002E470A"/>
    <w:rsid w:val="002E665D"/>
    <w:rsid w:val="002E7233"/>
    <w:rsid w:val="002F5EFD"/>
    <w:rsid w:val="003000B2"/>
    <w:rsid w:val="0030058E"/>
    <w:rsid w:val="00306804"/>
    <w:rsid w:val="003140C3"/>
    <w:rsid w:val="0032095A"/>
    <w:rsid w:val="003234E9"/>
    <w:rsid w:val="00325CBF"/>
    <w:rsid w:val="00330F5D"/>
    <w:rsid w:val="003314D0"/>
    <w:rsid w:val="00333208"/>
    <w:rsid w:val="003353C3"/>
    <w:rsid w:val="0034116E"/>
    <w:rsid w:val="00346EC0"/>
    <w:rsid w:val="00350231"/>
    <w:rsid w:val="00351344"/>
    <w:rsid w:val="0035703A"/>
    <w:rsid w:val="003578D2"/>
    <w:rsid w:val="00364002"/>
    <w:rsid w:val="00367938"/>
    <w:rsid w:val="0037544B"/>
    <w:rsid w:val="00375CDC"/>
    <w:rsid w:val="003774CC"/>
    <w:rsid w:val="00380D23"/>
    <w:rsid w:val="00380FC5"/>
    <w:rsid w:val="00381C2B"/>
    <w:rsid w:val="0038282C"/>
    <w:rsid w:val="0038669D"/>
    <w:rsid w:val="0039299E"/>
    <w:rsid w:val="00392E34"/>
    <w:rsid w:val="00394D30"/>
    <w:rsid w:val="003A0481"/>
    <w:rsid w:val="003A6E90"/>
    <w:rsid w:val="003B012B"/>
    <w:rsid w:val="003B3855"/>
    <w:rsid w:val="003B754C"/>
    <w:rsid w:val="003C488E"/>
    <w:rsid w:val="003C7969"/>
    <w:rsid w:val="003D0965"/>
    <w:rsid w:val="003D0E89"/>
    <w:rsid w:val="003D1881"/>
    <w:rsid w:val="003D3598"/>
    <w:rsid w:val="003D5000"/>
    <w:rsid w:val="003E19C5"/>
    <w:rsid w:val="003E7350"/>
    <w:rsid w:val="003F189B"/>
    <w:rsid w:val="003F2341"/>
    <w:rsid w:val="003F5D06"/>
    <w:rsid w:val="004002C0"/>
    <w:rsid w:val="00402474"/>
    <w:rsid w:val="00407285"/>
    <w:rsid w:val="00410A3C"/>
    <w:rsid w:val="00415F0C"/>
    <w:rsid w:val="004210B7"/>
    <w:rsid w:val="00426AB7"/>
    <w:rsid w:val="004304F0"/>
    <w:rsid w:val="00435E3F"/>
    <w:rsid w:val="00437E8B"/>
    <w:rsid w:val="00444AE6"/>
    <w:rsid w:val="00444FA3"/>
    <w:rsid w:val="0044516A"/>
    <w:rsid w:val="004508C4"/>
    <w:rsid w:val="004522D5"/>
    <w:rsid w:val="004561F5"/>
    <w:rsid w:val="00457137"/>
    <w:rsid w:val="00472E27"/>
    <w:rsid w:val="00474E1F"/>
    <w:rsid w:val="00483D36"/>
    <w:rsid w:val="004855CF"/>
    <w:rsid w:val="00485CA7"/>
    <w:rsid w:val="0049049A"/>
    <w:rsid w:val="004920F4"/>
    <w:rsid w:val="00496614"/>
    <w:rsid w:val="004966A6"/>
    <w:rsid w:val="00497485"/>
    <w:rsid w:val="004A1263"/>
    <w:rsid w:val="004A17EB"/>
    <w:rsid w:val="004A2F45"/>
    <w:rsid w:val="004A356B"/>
    <w:rsid w:val="004A531B"/>
    <w:rsid w:val="004B3F17"/>
    <w:rsid w:val="004B6993"/>
    <w:rsid w:val="004B6C6C"/>
    <w:rsid w:val="004B6DDF"/>
    <w:rsid w:val="004B7536"/>
    <w:rsid w:val="004C3029"/>
    <w:rsid w:val="004C3288"/>
    <w:rsid w:val="004C38BA"/>
    <w:rsid w:val="004C3E21"/>
    <w:rsid w:val="004C7A06"/>
    <w:rsid w:val="004D7DF8"/>
    <w:rsid w:val="004E22F1"/>
    <w:rsid w:val="004E684B"/>
    <w:rsid w:val="004F0618"/>
    <w:rsid w:val="004F1FE6"/>
    <w:rsid w:val="004F245D"/>
    <w:rsid w:val="004F2FF9"/>
    <w:rsid w:val="004F6B5E"/>
    <w:rsid w:val="0050017E"/>
    <w:rsid w:val="005021A3"/>
    <w:rsid w:val="0050266A"/>
    <w:rsid w:val="00504A30"/>
    <w:rsid w:val="005056B3"/>
    <w:rsid w:val="0050668C"/>
    <w:rsid w:val="005070D0"/>
    <w:rsid w:val="00515F34"/>
    <w:rsid w:val="00520255"/>
    <w:rsid w:val="005217DC"/>
    <w:rsid w:val="005256E5"/>
    <w:rsid w:val="00527499"/>
    <w:rsid w:val="00527C2D"/>
    <w:rsid w:val="005314EE"/>
    <w:rsid w:val="0053526B"/>
    <w:rsid w:val="00541AEB"/>
    <w:rsid w:val="00547043"/>
    <w:rsid w:val="0055039A"/>
    <w:rsid w:val="0055159B"/>
    <w:rsid w:val="00552C72"/>
    <w:rsid w:val="0055300A"/>
    <w:rsid w:val="005538B2"/>
    <w:rsid w:val="00554A0A"/>
    <w:rsid w:val="0055509E"/>
    <w:rsid w:val="00566BC9"/>
    <w:rsid w:val="005704B8"/>
    <w:rsid w:val="00571274"/>
    <w:rsid w:val="00580641"/>
    <w:rsid w:val="005815EC"/>
    <w:rsid w:val="00581881"/>
    <w:rsid w:val="00581A9F"/>
    <w:rsid w:val="0058241D"/>
    <w:rsid w:val="0058521C"/>
    <w:rsid w:val="005860DD"/>
    <w:rsid w:val="00586260"/>
    <w:rsid w:val="00590A19"/>
    <w:rsid w:val="00590DEB"/>
    <w:rsid w:val="00590F97"/>
    <w:rsid w:val="005942B0"/>
    <w:rsid w:val="00594418"/>
    <w:rsid w:val="00596149"/>
    <w:rsid w:val="0059729D"/>
    <w:rsid w:val="00597AE4"/>
    <w:rsid w:val="005A5DC8"/>
    <w:rsid w:val="005B4268"/>
    <w:rsid w:val="005C0746"/>
    <w:rsid w:val="005C0A5E"/>
    <w:rsid w:val="005D2A31"/>
    <w:rsid w:val="005D3A45"/>
    <w:rsid w:val="005D54BB"/>
    <w:rsid w:val="005E0BAA"/>
    <w:rsid w:val="005E41F0"/>
    <w:rsid w:val="005F1DD9"/>
    <w:rsid w:val="005F406C"/>
    <w:rsid w:val="005F4EBD"/>
    <w:rsid w:val="00600DCF"/>
    <w:rsid w:val="006157B9"/>
    <w:rsid w:val="00615C75"/>
    <w:rsid w:val="00620334"/>
    <w:rsid w:val="006228B0"/>
    <w:rsid w:val="00626760"/>
    <w:rsid w:val="00633728"/>
    <w:rsid w:val="006338DF"/>
    <w:rsid w:val="00637BAD"/>
    <w:rsid w:val="00640B61"/>
    <w:rsid w:val="006430AA"/>
    <w:rsid w:val="006445D3"/>
    <w:rsid w:val="00650CB6"/>
    <w:rsid w:val="00651D68"/>
    <w:rsid w:val="00655E30"/>
    <w:rsid w:val="0065647A"/>
    <w:rsid w:val="00657B95"/>
    <w:rsid w:val="00660BA0"/>
    <w:rsid w:val="0066779B"/>
    <w:rsid w:val="00674515"/>
    <w:rsid w:val="006864B3"/>
    <w:rsid w:val="00692410"/>
    <w:rsid w:val="006938B6"/>
    <w:rsid w:val="00696EBB"/>
    <w:rsid w:val="00697BA3"/>
    <w:rsid w:val="006A2004"/>
    <w:rsid w:val="006A6B81"/>
    <w:rsid w:val="006B1C0E"/>
    <w:rsid w:val="006B330A"/>
    <w:rsid w:val="006B33B3"/>
    <w:rsid w:val="006B4E41"/>
    <w:rsid w:val="006B7F65"/>
    <w:rsid w:val="006C0D2C"/>
    <w:rsid w:val="006C1D52"/>
    <w:rsid w:val="006C4089"/>
    <w:rsid w:val="006C4B0B"/>
    <w:rsid w:val="006C65CF"/>
    <w:rsid w:val="006D2297"/>
    <w:rsid w:val="006E4999"/>
    <w:rsid w:val="006E6B93"/>
    <w:rsid w:val="006E7EA7"/>
    <w:rsid w:val="006F197C"/>
    <w:rsid w:val="006F2B40"/>
    <w:rsid w:val="006F2B74"/>
    <w:rsid w:val="006F31C8"/>
    <w:rsid w:val="006F57DD"/>
    <w:rsid w:val="006F7A8A"/>
    <w:rsid w:val="00700104"/>
    <w:rsid w:val="0070178A"/>
    <w:rsid w:val="00703175"/>
    <w:rsid w:val="00704DCB"/>
    <w:rsid w:val="00705F9A"/>
    <w:rsid w:val="0071024D"/>
    <w:rsid w:val="00713043"/>
    <w:rsid w:val="0072584E"/>
    <w:rsid w:val="007272DB"/>
    <w:rsid w:val="00730421"/>
    <w:rsid w:val="00730492"/>
    <w:rsid w:val="007336E1"/>
    <w:rsid w:val="00734789"/>
    <w:rsid w:val="00735675"/>
    <w:rsid w:val="00737B66"/>
    <w:rsid w:val="007400E0"/>
    <w:rsid w:val="0074392D"/>
    <w:rsid w:val="0074527D"/>
    <w:rsid w:val="0074542B"/>
    <w:rsid w:val="0074555C"/>
    <w:rsid w:val="00745E9F"/>
    <w:rsid w:val="0074645A"/>
    <w:rsid w:val="00750345"/>
    <w:rsid w:val="00750618"/>
    <w:rsid w:val="00750BA7"/>
    <w:rsid w:val="007520D1"/>
    <w:rsid w:val="00754EF9"/>
    <w:rsid w:val="007565B7"/>
    <w:rsid w:val="00763496"/>
    <w:rsid w:val="00766353"/>
    <w:rsid w:val="00766BF1"/>
    <w:rsid w:val="00770FF4"/>
    <w:rsid w:val="00790E09"/>
    <w:rsid w:val="0079101F"/>
    <w:rsid w:val="007A63D6"/>
    <w:rsid w:val="007A686E"/>
    <w:rsid w:val="007A73C7"/>
    <w:rsid w:val="007B4E52"/>
    <w:rsid w:val="007B5A4B"/>
    <w:rsid w:val="007B79C1"/>
    <w:rsid w:val="007C7528"/>
    <w:rsid w:val="007D42EE"/>
    <w:rsid w:val="007D4520"/>
    <w:rsid w:val="007D4737"/>
    <w:rsid w:val="007D590C"/>
    <w:rsid w:val="007D6BC4"/>
    <w:rsid w:val="007E0617"/>
    <w:rsid w:val="007E6984"/>
    <w:rsid w:val="007E7F9C"/>
    <w:rsid w:val="007F237C"/>
    <w:rsid w:val="007F397A"/>
    <w:rsid w:val="007F3F2A"/>
    <w:rsid w:val="007F4B6A"/>
    <w:rsid w:val="007F4F0D"/>
    <w:rsid w:val="00800A15"/>
    <w:rsid w:val="0080659A"/>
    <w:rsid w:val="008078DC"/>
    <w:rsid w:val="0081222D"/>
    <w:rsid w:val="008125D0"/>
    <w:rsid w:val="00813C12"/>
    <w:rsid w:val="00816B08"/>
    <w:rsid w:val="0082575A"/>
    <w:rsid w:val="00831182"/>
    <w:rsid w:val="00836719"/>
    <w:rsid w:val="00844BBE"/>
    <w:rsid w:val="008455AD"/>
    <w:rsid w:val="00846B05"/>
    <w:rsid w:val="00851C55"/>
    <w:rsid w:val="00856950"/>
    <w:rsid w:val="00857A97"/>
    <w:rsid w:val="00857B8D"/>
    <w:rsid w:val="0086137F"/>
    <w:rsid w:val="00866B02"/>
    <w:rsid w:val="00871E06"/>
    <w:rsid w:val="008741FA"/>
    <w:rsid w:val="00882CA9"/>
    <w:rsid w:val="008851DC"/>
    <w:rsid w:val="008A0DA6"/>
    <w:rsid w:val="008A1282"/>
    <w:rsid w:val="008A6DB0"/>
    <w:rsid w:val="008B28C1"/>
    <w:rsid w:val="008B52F8"/>
    <w:rsid w:val="008B6E25"/>
    <w:rsid w:val="008C038C"/>
    <w:rsid w:val="008C2EDB"/>
    <w:rsid w:val="008D71B7"/>
    <w:rsid w:val="00900CDA"/>
    <w:rsid w:val="009022AB"/>
    <w:rsid w:val="00902CB1"/>
    <w:rsid w:val="00903B95"/>
    <w:rsid w:val="00904800"/>
    <w:rsid w:val="009115C7"/>
    <w:rsid w:val="00914582"/>
    <w:rsid w:val="009163F9"/>
    <w:rsid w:val="00922A3D"/>
    <w:rsid w:val="00926984"/>
    <w:rsid w:val="0093453E"/>
    <w:rsid w:val="00936357"/>
    <w:rsid w:val="00942259"/>
    <w:rsid w:val="00947A29"/>
    <w:rsid w:val="00963A47"/>
    <w:rsid w:val="00972587"/>
    <w:rsid w:val="00976EC0"/>
    <w:rsid w:val="00977D09"/>
    <w:rsid w:val="00984A7D"/>
    <w:rsid w:val="00986CDE"/>
    <w:rsid w:val="00993777"/>
    <w:rsid w:val="0099378F"/>
    <w:rsid w:val="00993D6E"/>
    <w:rsid w:val="0099443F"/>
    <w:rsid w:val="009977A8"/>
    <w:rsid w:val="009A479F"/>
    <w:rsid w:val="009B5D94"/>
    <w:rsid w:val="009B6082"/>
    <w:rsid w:val="009C024E"/>
    <w:rsid w:val="009C1505"/>
    <w:rsid w:val="009C21BD"/>
    <w:rsid w:val="009C5432"/>
    <w:rsid w:val="009E5653"/>
    <w:rsid w:val="009F0AEA"/>
    <w:rsid w:val="009F12AD"/>
    <w:rsid w:val="009F2591"/>
    <w:rsid w:val="009F580D"/>
    <w:rsid w:val="00A05681"/>
    <w:rsid w:val="00A060D1"/>
    <w:rsid w:val="00A07EB1"/>
    <w:rsid w:val="00A11F7D"/>
    <w:rsid w:val="00A149A0"/>
    <w:rsid w:val="00A30822"/>
    <w:rsid w:val="00A30E71"/>
    <w:rsid w:val="00A41069"/>
    <w:rsid w:val="00A419F7"/>
    <w:rsid w:val="00A451B9"/>
    <w:rsid w:val="00A503AB"/>
    <w:rsid w:val="00A54E7F"/>
    <w:rsid w:val="00A56FF7"/>
    <w:rsid w:val="00A63327"/>
    <w:rsid w:val="00A63BCD"/>
    <w:rsid w:val="00A66C1C"/>
    <w:rsid w:val="00A66D30"/>
    <w:rsid w:val="00A70A75"/>
    <w:rsid w:val="00A77B11"/>
    <w:rsid w:val="00A80EAE"/>
    <w:rsid w:val="00A813DF"/>
    <w:rsid w:val="00A823A2"/>
    <w:rsid w:val="00A835FF"/>
    <w:rsid w:val="00A8422F"/>
    <w:rsid w:val="00A915FD"/>
    <w:rsid w:val="00A9197B"/>
    <w:rsid w:val="00A93F0C"/>
    <w:rsid w:val="00A9759C"/>
    <w:rsid w:val="00AA2AA3"/>
    <w:rsid w:val="00AA76AF"/>
    <w:rsid w:val="00AB270F"/>
    <w:rsid w:val="00AB60A3"/>
    <w:rsid w:val="00AC0D3E"/>
    <w:rsid w:val="00AC1CE7"/>
    <w:rsid w:val="00AC6915"/>
    <w:rsid w:val="00AE3E31"/>
    <w:rsid w:val="00AE422C"/>
    <w:rsid w:val="00AE4623"/>
    <w:rsid w:val="00AF06B7"/>
    <w:rsid w:val="00AF5C4B"/>
    <w:rsid w:val="00B00611"/>
    <w:rsid w:val="00B03D41"/>
    <w:rsid w:val="00B04144"/>
    <w:rsid w:val="00B045A3"/>
    <w:rsid w:val="00B04C7D"/>
    <w:rsid w:val="00B06272"/>
    <w:rsid w:val="00B062E1"/>
    <w:rsid w:val="00B131B4"/>
    <w:rsid w:val="00B131CC"/>
    <w:rsid w:val="00B200A2"/>
    <w:rsid w:val="00B208D9"/>
    <w:rsid w:val="00B20A1B"/>
    <w:rsid w:val="00B21EE8"/>
    <w:rsid w:val="00B30D59"/>
    <w:rsid w:val="00B36339"/>
    <w:rsid w:val="00B37E97"/>
    <w:rsid w:val="00B409EB"/>
    <w:rsid w:val="00B40FB7"/>
    <w:rsid w:val="00B4191B"/>
    <w:rsid w:val="00B440AC"/>
    <w:rsid w:val="00B47260"/>
    <w:rsid w:val="00B51EF7"/>
    <w:rsid w:val="00B55253"/>
    <w:rsid w:val="00B60B10"/>
    <w:rsid w:val="00B650D8"/>
    <w:rsid w:val="00B658DB"/>
    <w:rsid w:val="00B70156"/>
    <w:rsid w:val="00B70433"/>
    <w:rsid w:val="00B769CD"/>
    <w:rsid w:val="00B80FC2"/>
    <w:rsid w:val="00B832D4"/>
    <w:rsid w:val="00B8728D"/>
    <w:rsid w:val="00B9070F"/>
    <w:rsid w:val="00B931D6"/>
    <w:rsid w:val="00BA412E"/>
    <w:rsid w:val="00BB22B6"/>
    <w:rsid w:val="00BB7C32"/>
    <w:rsid w:val="00BC1679"/>
    <w:rsid w:val="00BC54B3"/>
    <w:rsid w:val="00BD0D6A"/>
    <w:rsid w:val="00BD1D49"/>
    <w:rsid w:val="00BD3113"/>
    <w:rsid w:val="00BE4835"/>
    <w:rsid w:val="00BE4BFD"/>
    <w:rsid w:val="00BE77DF"/>
    <w:rsid w:val="00BF1FCB"/>
    <w:rsid w:val="00BF3D89"/>
    <w:rsid w:val="00BF7224"/>
    <w:rsid w:val="00C10F82"/>
    <w:rsid w:val="00C114DC"/>
    <w:rsid w:val="00C16934"/>
    <w:rsid w:val="00C16D92"/>
    <w:rsid w:val="00C1770F"/>
    <w:rsid w:val="00C321BA"/>
    <w:rsid w:val="00C33667"/>
    <w:rsid w:val="00C364F0"/>
    <w:rsid w:val="00C41D7E"/>
    <w:rsid w:val="00C50436"/>
    <w:rsid w:val="00C51FB7"/>
    <w:rsid w:val="00C523AB"/>
    <w:rsid w:val="00C53101"/>
    <w:rsid w:val="00C53D54"/>
    <w:rsid w:val="00C612AF"/>
    <w:rsid w:val="00C6436F"/>
    <w:rsid w:val="00C66AA3"/>
    <w:rsid w:val="00C71DA8"/>
    <w:rsid w:val="00C841CF"/>
    <w:rsid w:val="00C967CE"/>
    <w:rsid w:val="00C9710C"/>
    <w:rsid w:val="00CA3CBF"/>
    <w:rsid w:val="00CA4391"/>
    <w:rsid w:val="00CB2DA7"/>
    <w:rsid w:val="00CB2FE0"/>
    <w:rsid w:val="00CC5D63"/>
    <w:rsid w:val="00CC6946"/>
    <w:rsid w:val="00CC697D"/>
    <w:rsid w:val="00CD009F"/>
    <w:rsid w:val="00CD0483"/>
    <w:rsid w:val="00CD33A9"/>
    <w:rsid w:val="00CD3928"/>
    <w:rsid w:val="00CD6DCE"/>
    <w:rsid w:val="00CD6DF2"/>
    <w:rsid w:val="00CE1516"/>
    <w:rsid w:val="00CE3C63"/>
    <w:rsid w:val="00CF4C17"/>
    <w:rsid w:val="00D00540"/>
    <w:rsid w:val="00D034AD"/>
    <w:rsid w:val="00D036BA"/>
    <w:rsid w:val="00D0435B"/>
    <w:rsid w:val="00D05609"/>
    <w:rsid w:val="00D112C9"/>
    <w:rsid w:val="00D15E90"/>
    <w:rsid w:val="00D162A5"/>
    <w:rsid w:val="00D16522"/>
    <w:rsid w:val="00D20758"/>
    <w:rsid w:val="00D22E39"/>
    <w:rsid w:val="00D24C64"/>
    <w:rsid w:val="00D26B9B"/>
    <w:rsid w:val="00D3219A"/>
    <w:rsid w:val="00D36E7C"/>
    <w:rsid w:val="00D41A4A"/>
    <w:rsid w:val="00D446B6"/>
    <w:rsid w:val="00D45388"/>
    <w:rsid w:val="00D45B5B"/>
    <w:rsid w:val="00D466E8"/>
    <w:rsid w:val="00D467E0"/>
    <w:rsid w:val="00D51189"/>
    <w:rsid w:val="00D529C5"/>
    <w:rsid w:val="00D53CBA"/>
    <w:rsid w:val="00D53FA3"/>
    <w:rsid w:val="00D6539B"/>
    <w:rsid w:val="00D83ACF"/>
    <w:rsid w:val="00D87B14"/>
    <w:rsid w:val="00D9486F"/>
    <w:rsid w:val="00D9488B"/>
    <w:rsid w:val="00D953AA"/>
    <w:rsid w:val="00D9789A"/>
    <w:rsid w:val="00DA1509"/>
    <w:rsid w:val="00DA1A74"/>
    <w:rsid w:val="00DA2646"/>
    <w:rsid w:val="00DA46BC"/>
    <w:rsid w:val="00DA6B73"/>
    <w:rsid w:val="00DB0160"/>
    <w:rsid w:val="00DB3137"/>
    <w:rsid w:val="00DB63F1"/>
    <w:rsid w:val="00DC0ABD"/>
    <w:rsid w:val="00DC38CC"/>
    <w:rsid w:val="00DD366F"/>
    <w:rsid w:val="00DD6394"/>
    <w:rsid w:val="00DD77BD"/>
    <w:rsid w:val="00DE2E0A"/>
    <w:rsid w:val="00DE6E9C"/>
    <w:rsid w:val="00DF610E"/>
    <w:rsid w:val="00E03483"/>
    <w:rsid w:val="00E04A51"/>
    <w:rsid w:val="00E155F0"/>
    <w:rsid w:val="00E20F56"/>
    <w:rsid w:val="00E217A3"/>
    <w:rsid w:val="00E21FEB"/>
    <w:rsid w:val="00E226B9"/>
    <w:rsid w:val="00E25AF8"/>
    <w:rsid w:val="00E25DEE"/>
    <w:rsid w:val="00E264A7"/>
    <w:rsid w:val="00E3141E"/>
    <w:rsid w:val="00E36154"/>
    <w:rsid w:val="00E413DD"/>
    <w:rsid w:val="00E43F1E"/>
    <w:rsid w:val="00E45797"/>
    <w:rsid w:val="00E567BB"/>
    <w:rsid w:val="00E6115B"/>
    <w:rsid w:val="00E67950"/>
    <w:rsid w:val="00E7066C"/>
    <w:rsid w:val="00E71811"/>
    <w:rsid w:val="00E7480B"/>
    <w:rsid w:val="00E778D7"/>
    <w:rsid w:val="00E81B64"/>
    <w:rsid w:val="00E820BA"/>
    <w:rsid w:val="00E8551A"/>
    <w:rsid w:val="00E917CB"/>
    <w:rsid w:val="00E919F5"/>
    <w:rsid w:val="00E91D64"/>
    <w:rsid w:val="00E9443C"/>
    <w:rsid w:val="00E97967"/>
    <w:rsid w:val="00EA1D93"/>
    <w:rsid w:val="00EA5447"/>
    <w:rsid w:val="00EA546A"/>
    <w:rsid w:val="00EA6954"/>
    <w:rsid w:val="00EB74B1"/>
    <w:rsid w:val="00EC3C8F"/>
    <w:rsid w:val="00EC709C"/>
    <w:rsid w:val="00EC7DA2"/>
    <w:rsid w:val="00ED009C"/>
    <w:rsid w:val="00ED18F3"/>
    <w:rsid w:val="00ED66D9"/>
    <w:rsid w:val="00EE0F8F"/>
    <w:rsid w:val="00EE2054"/>
    <w:rsid w:val="00EE59D2"/>
    <w:rsid w:val="00EE627E"/>
    <w:rsid w:val="00EF42B5"/>
    <w:rsid w:val="00EF4737"/>
    <w:rsid w:val="00F00CC8"/>
    <w:rsid w:val="00F01598"/>
    <w:rsid w:val="00F01D2D"/>
    <w:rsid w:val="00F0294C"/>
    <w:rsid w:val="00F056E0"/>
    <w:rsid w:val="00F070B0"/>
    <w:rsid w:val="00F21E19"/>
    <w:rsid w:val="00F3065E"/>
    <w:rsid w:val="00F40711"/>
    <w:rsid w:val="00F41AEA"/>
    <w:rsid w:val="00F42E87"/>
    <w:rsid w:val="00F43082"/>
    <w:rsid w:val="00F430DB"/>
    <w:rsid w:val="00F46084"/>
    <w:rsid w:val="00F528F0"/>
    <w:rsid w:val="00F53083"/>
    <w:rsid w:val="00F624E0"/>
    <w:rsid w:val="00F77A49"/>
    <w:rsid w:val="00F80655"/>
    <w:rsid w:val="00F81CC0"/>
    <w:rsid w:val="00F92B66"/>
    <w:rsid w:val="00F931BD"/>
    <w:rsid w:val="00FA1CA7"/>
    <w:rsid w:val="00FA20E0"/>
    <w:rsid w:val="00FA40A4"/>
    <w:rsid w:val="00FB08CB"/>
    <w:rsid w:val="00FB15EB"/>
    <w:rsid w:val="00FB6D2B"/>
    <w:rsid w:val="00FB7497"/>
    <w:rsid w:val="00FC7E90"/>
    <w:rsid w:val="00FD0644"/>
    <w:rsid w:val="00FD1A58"/>
    <w:rsid w:val="00FD1AC7"/>
    <w:rsid w:val="00FD2474"/>
    <w:rsid w:val="00FD2B98"/>
    <w:rsid w:val="00FD388B"/>
    <w:rsid w:val="00FD5AE7"/>
    <w:rsid w:val="00FD6129"/>
    <w:rsid w:val="00FD61EB"/>
    <w:rsid w:val="00FD63F1"/>
    <w:rsid w:val="00FF1997"/>
    <w:rsid w:val="00FF4569"/>
    <w:rsid w:val="00FF5885"/>
    <w:rsid w:val="00FF7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none [3215]">
      <v:stroke color="none [3215]" weight="1pt"/>
    </o:shapedefaults>
    <o:shapelayout v:ext="edit">
      <o:idmap v:ext="edit" data="1"/>
    </o:shapelayout>
  </w:shapeDefaults>
  <w:decimalSymbol w:val=","/>
  <w:listSeparator w:val=";"/>
  <w14:docId w14:val="7A535AB5"/>
  <w15:docId w15:val="{4F18091A-B9A1-4E4B-B51B-61EC9664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5D"/>
    <w:rPr>
      <w:rFonts w:ascii="Arial" w:eastAsia="Times New Roman" w:hAnsi="Arial" w:cs="Times New Roman"/>
      <w:szCs w:val="24"/>
      <w:lang w:eastAsia="de-DE"/>
    </w:rPr>
  </w:style>
  <w:style w:type="paragraph" w:styleId="Titre1">
    <w:name w:val="heading 1"/>
    <w:basedOn w:val="Normal"/>
    <w:next w:val="Normal"/>
    <w:link w:val="Titre1Car"/>
    <w:uiPriority w:val="9"/>
    <w:semiHidden/>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F46084"/>
    <w:pPr>
      <w:spacing w:after="120"/>
    </w:pPr>
  </w:style>
  <w:style w:type="paragraph" w:styleId="En-tte">
    <w:name w:val="header"/>
    <w:basedOn w:val="Normal"/>
    <w:link w:val="En-tteCar"/>
    <w:uiPriority w:val="99"/>
    <w:unhideWhenUsed/>
    <w:rsid w:val="00B04144"/>
    <w:pPr>
      <w:tabs>
        <w:tab w:val="center" w:pos="4536"/>
        <w:tab w:val="right" w:pos="9072"/>
      </w:tabs>
    </w:pPr>
  </w:style>
  <w:style w:type="character" w:customStyle="1" w:styleId="En-tteCar">
    <w:name w:val="En-tête Car"/>
    <w:basedOn w:val="Policepardfaut"/>
    <w:link w:val="En-tte"/>
    <w:uiPriority w:val="99"/>
    <w:rsid w:val="00B04144"/>
  </w:style>
  <w:style w:type="paragraph" w:styleId="Pieddepage">
    <w:name w:val="footer"/>
    <w:basedOn w:val="Normal"/>
    <w:link w:val="PieddepageCar"/>
    <w:uiPriority w:val="99"/>
    <w:semiHidden/>
    <w:rsid w:val="00B04144"/>
    <w:pPr>
      <w:tabs>
        <w:tab w:val="center" w:pos="4536"/>
        <w:tab w:val="right" w:pos="9072"/>
      </w:tabs>
    </w:pPr>
  </w:style>
  <w:style w:type="character" w:customStyle="1" w:styleId="PieddepageCar">
    <w:name w:val="Pied de page Car"/>
    <w:basedOn w:val="Policepardfaut"/>
    <w:link w:val="Pieddepage"/>
    <w:uiPriority w:val="99"/>
    <w:semiHidden/>
    <w:rsid w:val="00CD009F"/>
    <w:rPr>
      <w:lang w:val="en-GB"/>
    </w:rPr>
  </w:style>
  <w:style w:type="paragraph" w:styleId="Textedebulles">
    <w:name w:val="Balloon Text"/>
    <w:basedOn w:val="Normal"/>
    <w:link w:val="TextedebullesCar"/>
    <w:uiPriority w:val="99"/>
    <w:semiHidden/>
    <w:unhideWhenUsed/>
    <w:rsid w:val="00B04144"/>
    <w:rPr>
      <w:rFonts w:ascii="Tahoma" w:hAnsi="Tahoma" w:cs="Tahoma"/>
      <w:sz w:val="16"/>
      <w:szCs w:val="16"/>
    </w:rPr>
  </w:style>
  <w:style w:type="character" w:customStyle="1" w:styleId="TextedebullesCar">
    <w:name w:val="Texte de bulles Car"/>
    <w:basedOn w:val="Policepardfaut"/>
    <w:link w:val="Textedebulles"/>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Textedelespacerserv">
    <w:name w:val="Placeholder Text"/>
    <w:basedOn w:val="Policepardfaut"/>
    <w:uiPriority w:val="99"/>
    <w:semiHidden/>
    <w:rsid w:val="00903B95"/>
    <w:rPr>
      <w:color w:val="808080"/>
    </w:rPr>
  </w:style>
  <w:style w:type="paragraph" w:customStyle="1" w:styleId="headline1">
    <w:name w:val="headline 1"/>
    <w:basedOn w:val="textregular"/>
    <w:uiPriority w:val="2"/>
    <w:qFormat/>
    <w:rsid w:val="000F693C"/>
    <w:pPr>
      <w:numPr>
        <w:numId w:val="2"/>
      </w:numPr>
      <w:spacing w:before="400" w:line="340" w:lineRule="exact"/>
      <w:ind w:left="284" w:hanging="284"/>
      <w:outlineLvl w:val="0"/>
    </w:pPr>
    <w:rPr>
      <w:rFonts w:asciiTheme="majorHAnsi" w:hAnsiTheme="majorHAnsi" w:cstheme="majorHAnsi"/>
      <w:b/>
      <w:color w:val="23236E" w:themeColor="text2"/>
      <w:sz w:val="28"/>
      <w:szCs w:val="28"/>
    </w:rPr>
  </w:style>
  <w:style w:type="numbering" w:customStyle="1" w:styleId="XXXList">
    <w:name w:val="XXX_List"/>
    <w:basedOn w:val="Aucuneliste"/>
    <w:uiPriority w:val="99"/>
    <w:rsid w:val="00D9486F"/>
    <w:pPr>
      <w:numPr>
        <w:numId w:val="2"/>
      </w:numPr>
    </w:pPr>
  </w:style>
  <w:style w:type="character" w:customStyle="1" w:styleId="Titre1Car">
    <w:name w:val="Titre 1 Car"/>
    <w:basedOn w:val="Policepardfaut"/>
    <w:link w:val="Titre1"/>
    <w:uiPriority w:val="9"/>
    <w:semiHidden/>
    <w:rsid w:val="004B6993"/>
    <w:rPr>
      <w:rFonts w:asciiTheme="majorHAnsi" w:eastAsiaTheme="majorEastAsia" w:hAnsiTheme="majorHAnsi" w:cstheme="majorBidi"/>
      <w:b/>
      <w:bCs/>
      <w:color w:val="424477" w:themeColor="accent1" w:themeShade="BF"/>
      <w:sz w:val="28"/>
      <w:szCs w:val="28"/>
    </w:rPr>
  </w:style>
  <w:style w:type="paragraph" w:styleId="TM1">
    <w:name w:val="toc 1"/>
    <w:basedOn w:val="Normal"/>
    <w:next w:val="Normal"/>
    <w:autoRedefine/>
    <w:uiPriority w:val="39"/>
    <w:unhideWhenUsed/>
    <w:rsid w:val="0099378F"/>
    <w:pPr>
      <w:spacing w:after="100"/>
    </w:pPr>
    <w:rPr>
      <w:rFonts w:asciiTheme="majorHAnsi" w:hAnsiTheme="majorHAnsi"/>
    </w:rPr>
  </w:style>
  <w:style w:type="paragraph" w:styleId="En-ttedetabledesmatires">
    <w:name w:val="TOC Heading"/>
    <w:basedOn w:val="Titre1"/>
    <w:next w:val="Normal"/>
    <w:uiPriority w:val="39"/>
    <w:semiHidden/>
    <w:unhideWhenUsed/>
    <w:qFormat/>
    <w:rsid w:val="004B6993"/>
    <w:pPr>
      <w:spacing w:line="276" w:lineRule="auto"/>
      <w:outlineLvl w:val="9"/>
    </w:pPr>
  </w:style>
  <w:style w:type="character" w:styleId="Lienhypertexte">
    <w:name w:val="Hyperlink"/>
    <w:basedOn w:val="Policepardfau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rPr>
  </w:style>
  <w:style w:type="numbering" w:customStyle="1" w:styleId="XXXBulletList">
    <w:name w:val="XXX_Bullet List"/>
    <w:basedOn w:val="Aucuneliste"/>
    <w:uiPriority w:val="99"/>
    <w:rsid w:val="00590A19"/>
    <w:pPr>
      <w:numPr>
        <w:numId w:val="4"/>
      </w:numPr>
    </w:pPr>
  </w:style>
  <w:style w:type="paragraph" w:customStyle="1" w:styleId="decisionbullet1">
    <w:name w:val="decision bullet 1"/>
    <w:basedOn w:val="textregular"/>
    <w:uiPriority w:val="4"/>
    <w:qFormat/>
    <w:rsid w:val="00CD009F"/>
    <w:pPr>
      <w:numPr>
        <w:numId w:val="4"/>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4"/>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Aucuneliste"/>
    <w:uiPriority w:val="99"/>
    <w:rsid w:val="00E7480B"/>
    <w:pPr>
      <w:numPr>
        <w:numId w:val="6"/>
      </w:numPr>
    </w:pPr>
  </w:style>
  <w:style w:type="paragraph" w:customStyle="1" w:styleId="textenumeration">
    <w:name w:val="text enumeration"/>
    <w:basedOn w:val="textregular"/>
    <w:uiPriority w:val="4"/>
    <w:qFormat/>
    <w:rsid w:val="00E7480B"/>
    <w:pPr>
      <w:numPr>
        <w:numId w:val="6"/>
      </w:numPr>
      <w:contextualSpacing/>
    </w:pPr>
  </w:style>
  <w:style w:type="paragraph" w:customStyle="1" w:styleId="headline2">
    <w:name w:val="headline 2"/>
    <w:basedOn w:val="textregular"/>
    <w:uiPriority w:val="2"/>
    <w:qFormat/>
    <w:rsid w:val="000F693C"/>
    <w:pPr>
      <w:spacing w:line="260" w:lineRule="exact"/>
      <w:outlineLvl w:val="1"/>
    </w:pPr>
    <w:rPr>
      <w:rFonts w:asciiTheme="majorHAnsi" w:hAnsiTheme="majorHAnsi" w:cstheme="majorHAnsi"/>
      <w:b/>
      <w:color w:val="23236E" w:themeColor="text2"/>
      <w:sz w:val="24"/>
    </w:rPr>
  </w:style>
  <w:style w:type="numbering" w:customStyle="1" w:styleId="XXXtextbullets">
    <w:name w:val="XXX_text bullets"/>
    <w:basedOn w:val="Aucuneliste"/>
    <w:uiPriority w:val="99"/>
    <w:rsid w:val="000961F8"/>
    <w:pPr>
      <w:numPr>
        <w:numId w:val="8"/>
      </w:numPr>
    </w:pPr>
  </w:style>
  <w:style w:type="paragraph" w:customStyle="1" w:styleId="textbullets">
    <w:name w:val="text bullets"/>
    <w:basedOn w:val="textregular"/>
    <w:uiPriority w:val="5"/>
    <w:qFormat/>
    <w:rsid w:val="000961F8"/>
    <w:pPr>
      <w:numPr>
        <w:numId w:val="8"/>
      </w:numPr>
      <w:contextualSpacing/>
    </w:pPr>
  </w:style>
  <w:style w:type="table" w:customStyle="1" w:styleId="EntsoeeinfacheTabelle">
    <w:name w:val="Entsoe | einfache Tabelle"/>
    <w:basedOn w:val="Tableau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M3">
    <w:name w:val="toc 3"/>
    <w:basedOn w:val="Normal"/>
    <w:next w:val="Normal"/>
    <w:autoRedefine/>
    <w:uiPriority w:val="39"/>
    <w:unhideWhenUsed/>
    <w:rsid w:val="000F693C"/>
    <w:pPr>
      <w:spacing w:after="100"/>
      <w:ind w:left="440"/>
    </w:pPr>
  </w:style>
  <w:style w:type="paragraph" w:styleId="TM2">
    <w:name w:val="toc 2"/>
    <w:basedOn w:val="Normal"/>
    <w:next w:val="Normal"/>
    <w:autoRedefine/>
    <w:uiPriority w:val="39"/>
    <w:unhideWhenUsed/>
    <w:rsid w:val="000F693C"/>
    <w:pPr>
      <w:spacing w:after="100"/>
      <w:ind w:left="220"/>
    </w:pPr>
  </w:style>
  <w:style w:type="paragraph" w:styleId="Paragraphedeliste">
    <w:name w:val="List Paragraph"/>
    <w:aliases w:val="F List Paragraph"/>
    <w:basedOn w:val="Normal"/>
    <w:link w:val="ParagraphedelisteCar"/>
    <w:uiPriority w:val="1"/>
    <w:qFormat/>
    <w:rsid w:val="004F245D"/>
    <w:pPr>
      <w:ind w:left="720"/>
      <w:contextualSpacing/>
    </w:pPr>
  </w:style>
  <w:style w:type="character" w:customStyle="1" w:styleId="textregularZchn">
    <w:name w:val="text regular Zchn"/>
    <w:basedOn w:val="Policepardfaut"/>
    <w:link w:val="textregular"/>
    <w:rsid w:val="004F245D"/>
    <w:rPr>
      <w:lang w:val="en-GB"/>
    </w:rPr>
  </w:style>
  <w:style w:type="table" w:customStyle="1" w:styleId="TableGrid1">
    <w:name w:val="Table Grid1"/>
    <w:basedOn w:val="TableauNormal"/>
    <w:next w:val="Grilledutableau"/>
    <w:uiPriority w:val="59"/>
    <w:rsid w:val="004F245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6115B"/>
    <w:rPr>
      <w:sz w:val="16"/>
      <w:szCs w:val="16"/>
    </w:rPr>
  </w:style>
  <w:style w:type="paragraph" w:styleId="Commentaire">
    <w:name w:val="annotation text"/>
    <w:basedOn w:val="Normal"/>
    <w:link w:val="CommentaireCar"/>
    <w:uiPriority w:val="99"/>
    <w:unhideWhenUsed/>
    <w:rsid w:val="00E6115B"/>
    <w:rPr>
      <w:sz w:val="20"/>
      <w:szCs w:val="20"/>
    </w:rPr>
  </w:style>
  <w:style w:type="character" w:customStyle="1" w:styleId="CommentaireCar">
    <w:name w:val="Commentaire Car"/>
    <w:basedOn w:val="Policepardfaut"/>
    <w:link w:val="Commentaire"/>
    <w:uiPriority w:val="99"/>
    <w:rsid w:val="00E6115B"/>
    <w:rPr>
      <w:rFonts w:ascii="Arial" w:eastAsia="Times New Roman" w:hAnsi="Arial"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E6115B"/>
    <w:rPr>
      <w:b/>
      <w:bCs/>
    </w:rPr>
  </w:style>
  <w:style w:type="character" w:customStyle="1" w:styleId="ObjetducommentaireCar">
    <w:name w:val="Objet du commentaire Car"/>
    <w:basedOn w:val="CommentaireCar"/>
    <w:link w:val="Objetducommentaire"/>
    <w:uiPriority w:val="99"/>
    <w:semiHidden/>
    <w:rsid w:val="00E6115B"/>
    <w:rPr>
      <w:rFonts w:ascii="Arial" w:eastAsia="Times New Roman" w:hAnsi="Arial" w:cs="Times New Roman"/>
      <w:b/>
      <w:bCs/>
      <w:sz w:val="20"/>
      <w:szCs w:val="20"/>
      <w:lang w:eastAsia="de-DE"/>
    </w:rPr>
  </w:style>
  <w:style w:type="paragraph" w:styleId="Rvision">
    <w:name w:val="Revision"/>
    <w:hidden/>
    <w:uiPriority w:val="99"/>
    <w:semiHidden/>
    <w:rsid w:val="00F00CC8"/>
    <w:rPr>
      <w:rFonts w:ascii="Arial" w:eastAsia="Times New Roman" w:hAnsi="Arial" w:cs="Times New Roman"/>
      <w:szCs w:val="24"/>
      <w:lang w:eastAsia="de-DE"/>
    </w:rPr>
  </w:style>
  <w:style w:type="paragraph" w:customStyle="1" w:styleId="Normal1">
    <w:name w:val="Normal1"/>
    <w:basedOn w:val="Normal"/>
    <w:rsid w:val="00EA6954"/>
    <w:pPr>
      <w:spacing w:before="120"/>
      <w:jc w:val="both"/>
    </w:pPr>
    <w:rPr>
      <w:rFonts w:ascii="Times New Roman" w:hAnsi="Times New Roman"/>
      <w:sz w:val="24"/>
      <w:lang w:val="fr-FR" w:eastAsia="fr-FR"/>
    </w:rPr>
  </w:style>
  <w:style w:type="character" w:customStyle="1" w:styleId="ParagraphedelisteCar">
    <w:name w:val="Paragraphe de liste Car"/>
    <w:aliases w:val="F List Paragraph Car"/>
    <w:basedOn w:val="Policepardfaut"/>
    <w:link w:val="Paragraphedeliste"/>
    <w:uiPriority w:val="34"/>
    <w:locked/>
    <w:rsid w:val="008C2EDB"/>
    <w:rPr>
      <w:rFonts w:ascii="Arial" w:eastAsia="Times New Roman" w:hAnsi="Arial" w:cs="Times New Roman"/>
      <w:szCs w:val="24"/>
      <w:lang w:eastAsia="de-DE"/>
    </w:rPr>
  </w:style>
  <w:style w:type="character" w:customStyle="1" w:styleId="BodyChar">
    <w:name w:val="Body Char"/>
    <w:basedOn w:val="ParagraphedelisteCar"/>
    <w:link w:val="Body"/>
    <w:locked/>
    <w:rsid w:val="008C2EDB"/>
    <w:rPr>
      <w:rFonts w:ascii="Arial" w:eastAsia="Times New Roman" w:hAnsi="Arial" w:cs="Times New Roman"/>
      <w:szCs w:val="24"/>
      <w:lang w:eastAsia="de-DE"/>
    </w:rPr>
  </w:style>
  <w:style w:type="paragraph" w:customStyle="1" w:styleId="Body">
    <w:name w:val="Body"/>
    <w:basedOn w:val="Paragraphedeliste"/>
    <w:link w:val="BodyChar"/>
    <w:qFormat/>
    <w:rsid w:val="008C2EDB"/>
    <w:pPr>
      <w:numPr>
        <w:numId w:val="23"/>
      </w:numPr>
      <w:spacing w:before="120" w:after="120"/>
      <w:contextualSpacing w:val="0"/>
      <w:jc w:val="both"/>
    </w:pPr>
  </w:style>
  <w:style w:type="paragraph" w:customStyle="1" w:styleId="Default">
    <w:name w:val="Default"/>
    <w:rsid w:val="00435E3F"/>
    <w:pPr>
      <w:autoSpaceDE w:val="0"/>
      <w:autoSpaceDN w:val="0"/>
      <w:adjustRightInd w:val="0"/>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44187">
      <w:bodyDiv w:val="1"/>
      <w:marLeft w:val="0"/>
      <w:marRight w:val="0"/>
      <w:marTop w:val="0"/>
      <w:marBottom w:val="0"/>
      <w:divBdr>
        <w:top w:val="none" w:sz="0" w:space="0" w:color="auto"/>
        <w:left w:val="none" w:sz="0" w:space="0" w:color="auto"/>
        <w:bottom w:val="none" w:sz="0" w:space="0" w:color="auto"/>
        <w:right w:val="none" w:sz="0" w:space="0" w:color="auto"/>
      </w:divBdr>
    </w:div>
    <w:div w:id="396438297">
      <w:bodyDiv w:val="1"/>
      <w:marLeft w:val="0"/>
      <w:marRight w:val="0"/>
      <w:marTop w:val="0"/>
      <w:marBottom w:val="0"/>
      <w:divBdr>
        <w:top w:val="none" w:sz="0" w:space="0" w:color="auto"/>
        <w:left w:val="none" w:sz="0" w:space="0" w:color="auto"/>
        <w:bottom w:val="none" w:sz="0" w:space="0" w:color="auto"/>
        <w:right w:val="none" w:sz="0" w:space="0" w:color="auto"/>
      </w:divBdr>
    </w:div>
    <w:div w:id="433402312">
      <w:bodyDiv w:val="1"/>
      <w:marLeft w:val="0"/>
      <w:marRight w:val="0"/>
      <w:marTop w:val="0"/>
      <w:marBottom w:val="0"/>
      <w:divBdr>
        <w:top w:val="none" w:sz="0" w:space="0" w:color="auto"/>
        <w:left w:val="none" w:sz="0" w:space="0" w:color="auto"/>
        <w:bottom w:val="none" w:sz="0" w:space="0" w:color="auto"/>
        <w:right w:val="none" w:sz="0" w:space="0" w:color="auto"/>
      </w:divBdr>
    </w:div>
    <w:div w:id="457646360">
      <w:bodyDiv w:val="1"/>
      <w:marLeft w:val="0"/>
      <w:marRight w:val="0"/>
      <w:marTop w:val="0"/>
      <w:marBottom w:val="0"/>
      <w:divBdr>
        <w:top w:val="none" w:sz="0" w:space="0" w:color="auto"/>
        <w:left w:val="none" w:sz="0" w:space="0" w:color="auto"/>
        <w:bottom w:val="none" w:sz="0" w:space="0" w:color="auto"/>
        <w:right w:val="none" w:sz="0" w:space="0" w:color="auto"/>
      </w:divBdr>
    </w:div>
    <w:div w:id="813176559">
      <w:bodyDiv w:val="1"/>
      <w:marLeft w:val="390"/>
      <w:marRight w:val="390"/>
      <w:marTop w:val="0"/>
      <w:marBottom w:val="0"/>
      <w:divBdr>
        <w:top w:val="none" w:sz="0" w:space="0" w:color="auto"/>
        <w:left w:val="none" w:sz="0" w:space="0" w:color="auto"/>
        <w:bottom w:val="none" w:sz="0" w:space="0" w:color="auto"/>
        <w:right w:val="none" w:sz="0" w:space="0" w:color="auto"/>
      </w:divBdr>
    </w:div>
    <w:div w:id="1022786245">
      <w:bodyDiv w:val="1"/>
      <w:marLeft w:val="390"/>
      <w:marRight w:val="390"/>
      <w:marTop w:val="0"/>
      <w:marBottom w:val="0"/>
      <w:divBdr>
        <w:top w:val="none" w:sz="0" w:space="0" w:color="auto"/>
        <w:left w:val="none" w:sz="0" w:space="0" w:color="auto"/>
        <w:bottom w:val="none" w:sz="0" w:space="0" w:color="auto"/>
        <w:right w:val="none" w:sz="0" w:space="0" w:color="auto"/>
      </w:divBdr>
    </w:div>
    <w:div w:id="1785417451">
      <w:bodyDiv w:val="1"/>
      <w:marLeft w:val="0"/>
      <w:marRight w:val="0"/>
      <w:marTop w:val="0"/>
      <w:marBottom w:val="0"/>
      <w:divBdr>
        <w:top w:val="none" w:sz="0" w:space="0" w:color="auto"/>
        <w:left w:val="none" w:sz="0" w:space="0" w:color="auto"/>
        <w:bottom w:val="none" w:sz="0" w:space="0" w:color="auto"/>
        <w:right w:val="none" w:sz="0" w:space="0" w:color="auto"/>
      </w:divBdr>
    </w:div>
    <w:div w:id="1982806131">
      <w:bodyDiv w:val="1"/>
      <w:marLeft w:val="0"/>
      <w:marRight w:val="0"/>
      <w:marTop w:val="0"/>
      <w:marBottom w:val="0"/>
      <w:divBdr>
        <w:top w:val="none" w:sz="0" w:space="0" w:color="auto"/>
        <w:left w:val="none" w:sz="0" w:space="0" w:color="auto"/>
        <w:bottom w:val="none" w:sz="0" w:space="0" w:color="auto"/>
        <w:right w:val="none" w:sz="0" w:space="0" w:color="auto"/>
      </w:divBdr>
    </w:div>
    <w:div w:id="21309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aobrien2\AppData\Roaming\Microsoft\Templates\ENTSOE\140121_ENTSO-E_Template_Report_no%20LSPp.dotx" TargetMode="External"/></Relationship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8d517b-1bce-4eac-b032-1e8ed9aee539"/>
    <TaxKeywordTaxHTField xmlns="468d517b-1bce-4eac-b032-1e8ed9aee539">
      <Terms xmlns="http://schemas.microsoft.com/office/infopath/2007/PartnerControls"/>
    </TaxKeywordTaxHTField>
    <Business_x0020_Record xmlns="468d517b-1bce-4eac-b032-1e8ed9aee539">6</Business_x0020_Record>
    <Approval_x0020_Level xmlns="468d517b-1bce-4eac-b032-1e8ed9aee539" xsi:nil="true"/>
    <Work_x0020_Area xmlns="468d517b-1bce-4eac-b032-1e8ed9aee539">49</Work_x0020_Area>
    <Document_x0020_Classification xmlns="468d517b-1bce-4eac-b032-1e8ed9aee539">5</Document_x0020_Classification>
    <Document_x0020_Type xmlns="468d517b-1bce-4eac-b032-1e8ed9aee539">122</Document_x0020_Type>
    <Preview1 xmlns="468d517b-1bce-4eac-b032-1e8ed9aee539" xsi:nil="true"/>
    <Meeting xmlns="468d517b-1bce-4eac-b032-1e8ed9aee539">161207</Meeting>
    <Preview xmlns="C02FCBD1-20C0-47EE-A8AF-DF5B05C5F0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sMeeting" ma:contentTypeID="0x010100D7EF83F9CCA39D4D8381E0CF61709DB30087380FE887425749B6EAA07ACB8E9A49" ma:contentTypeVersion="14" ma:contentTypeDescription="" ma:contentTypeScope="" ma:versionID="fd68f705b9847a2b8f3c7f0488f561f6">
  <xsd:schema xmlns:xsd="http://www.w3.org/2001/XMLSchema" xmlns:xs="http://www.w3.org/2001/XMLSchema" xmlns:p="http://schemas.microsoft.com/office/2006/metadata/properties" xmlns:ns1="468d517b-1bce-4eac-b032-1e8ed9aee539" xmlns:ns3="C02FCBD1-20C0-47EE-A8AF-DF5B05C5F088" targetNamespace="http://schemas.microsoft.com/office/2006/metadata/properties" ma:root="true" ma:fieldsID="fd36eb278ab584f77fc89c3868850d36" ns1:_="" ns3:_="">
    <xsd:import namespace="468d517b-1bce-4eac-b032-1e8ed9aee539"/>
    <xsd:import namespace="C02FCBD1-20C0-47EE-A8AF-DF5B05C5F088"/>
    <xsd:element name="properties">
      <xsd:complexType>
        <xsd:sequence>
          <xsd:element name="documentManagement">
            <xsd:complexType>
              <xsd:all>
                <xsd:element ref="ns1:Preview1" minOccurs="0"/>
                <xsd:element ref="ns1:Document_x0020_Type" minOccurs="0"/>
                <xsd:element ref="ns1:Work_x0020_Area"/>
                <xsd:element ref="ns1:Document_x0020_Classification"/>
                <xsd:element ref="ns1:Business_x0020_Record"/>
                <xsd:element ref="ns1:Meeting" minOccurs="0"/>
                <xsd:element ref="ns1:Approval_x0020_Level" minOccurs="0"/>
                <xsd:element ref="ns1:TaxKeywordTaxHTField" minOccurs="0"/>
                <xsd:element ref="ns1:TaxCatchAll" minOccurs="0"/>
                <xsd:element ref="ns1:TaxCatchAllLabel" minOccurs="0"/>
                <xsd:element ref="ns3: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Preview1" ma:index="0" nillable="true" ma:displayName="Preview" ma:internalName="Preview1" ma:readOnly="false">
      <xsd:simpleType>
        <xsd:restriction base="dms:Unknown"/>
      </xsd:simpleType>
    </xsd:element>
    <xsd:element name="Document_x0020_Type" ma:index="2" nillable="true" ma:displayName="Document Type" ma:list="{5da3ea55-dd34-4ecc-ae33-4f843abe06cd}" ma:internalName="Document_x0020_Type" ma:showField="Title" ma:web="468d517b-1bce-4eac-b032-1e8ed9aee539">
      <xsd:simpleType>
        <xsd:restriction base="dms:Lookup"/>
      </xsd:simpleType>
    </xsd:element>
    <xsd:element name="Work_x0020_Area" ma:index="3" ma:displayName="Work Area" ma:list="{b3044a2e-1f78-4242-b383-6b52b2a6b16d}" ma:internalName="Work_x0020_Area" ma:readOnly="false" ma:showField="Title" ma:web="468d517b-1bce-4eac-b032-1e8ed9aee539">
      <xsd:simpleType>
        <xsd:restriction base="dms:Lookup"/>
      </xsd:simpleType>
    </xsd:element>
    <xsd:element name="Document_x0020_Classification" ma:index="5" ma:displayName="Document Classification" ma:list="{86717497-008a-4498-b45b-23b9b6d58a37}" ma:internalName="Document_x0020_Classification" ma:readOnly="false" ma:showField="Title" ma:web="468d517b-1bce-4eac-b032-1e8ed9aee539">
      <xsd:simpleType>
        <xsd:restriction base="dms:Lookup"/>
      </xsd:simpleType>
    </xsd:element>
    <xsd:element name="Business_x0020_Record" ma:index="6" ma:displayName="Business Record" ma:list="{1da6bc77-eb8b-4374-95da-a53ff3102d35}" ma:internalName="Business_x0020_Record" ma:readOnly="false" ma:showField="Title" ma:web="468d517b-1bce-4eac-b032-1e8ed9aee539">
      <xsd:simpleType>
        <xsd:restriction base="dms:Lookup"/>
      </xsd:simpleType>
    </xsd:element>
    <xsd:element name="Meeting" ma:index="7" nillable="true" ma:displayName="Meeting" ma:internalName="Meeting">
      <xsd:simpleType>
        <xsd:restriction base="dms:Text">
          <xsd:maxLength value="255"/>
        </xsd:restriction>
      </xsd:simpleType>
    </xsd:element>
    <xsd:element name="Approval_x0020_Level" ma:index="8" nillable="true" ma:displayName="Approval Level" ma:list="{ff966062-7577-44b3-a4cd-adfa46957c67}" ma:internalName="Approval_x0020_Level" ma:showField="Title" ma:web="468d517b-1bce-4eac-b032-1e8ed9aee539">
      <xsd:simpleType>
        <xsd:restriction base="dms:Lookup"/>
      </xsd:simpleType>
    </xsd:element>
    <xsd:element name="TaxKeywordTaxHTField" ma:index="15" nillable="true" ma:taxonomy="true" ma:internalName="TaxKeywordTaxHTField" ma:taxonomyFieldName="TaxKeyword" ma:displayName="Document Tags" ma:fieldId="{23f27201-bee3-471e-b2e7-b64fd8b7ca38}" ma:taxonomyMulti="true" ma:sspId="fcdef86c-4677-4709-934c-6d62ad25b5e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2FCBD1-20C0-47EE-A8AF-DF5B05C5F088" elementFormDefault="qualified">
    <xsd:import namespace="http://schemas.microsoft.com/office/2006/documentManagement/types"/>
    <xsd:import namespace="http://schemas.microsoft.com/office/infopath/2007/PartnerControls"/>
    <xsd:element name="Preview" ma:index="19" nillable="true" ma:displayName="Preview" ma:description="The Ontolica Preview column displays a preview of the first page of the document. Click the icon to open a preview of the full document." ma:internalName="Preview">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cd3b652-8a69-4fed-aca4-c18feaf75a6a" ContentTypeId="0x010100D7EF83F9CCA39D4D8381E0CF61709DB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B4992-059D-40CD-94FC-82C054F39F6F}">
  <ds:schemaRefs>
    <ds:schemaRef ds:uri="http://schemas.microsoft.com/office/2006/metadata/properties"/>
    <ds:schemaRef ds:uri="http://schemas.microsoft.com/office/infopath/2007/PartnerControls"/>
    <ds:schemaRef ds:uri="468d517b-1bce-4eac-b032-1e8ed9aee539"/>
    <ds:schemaRef ds:uri="C02FCBD1-20C0-47EE-A8AF-DF5B05C5F088"/>
  </ds:schemaRefs>
</ds:datastoreItem>
</file>

<file path=customXml/itemProps2.xml><?xml version="1.0" encoding="utf-8"?>
<ds:datastoreItem xmlns:ds="http://schemas.openxmlformats.org/officeDocument/2006/customXml" ds:itemID="{117709B9-DB1E-411A-96B5-51774ED9C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517b-1bce-4eac-b032-1e8ed9aee539"/>
    <ds:schemaRef ds:uri="C02FCBD1-20C0-47EE-A8AF-DF5B05C5F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C59C9-AAD5-40BB-94EF-76D11A3A644A}">
  <ds:schemaRefs>
    <ds:schemaRef ds:uri="Microsoft.SharePoint.Taxonomy.ContentTypeSync"/>
  </ds:schemaRefs>
</ds:datastoreItem>
</file>

<file path=customXml/itemProps4.xml><?xml version="1.0" encoding="utf-8"?>
<ds:datastoreItem xmlns:ds="http://schemas.openxmlformats.org/officeDocument/2006/customXml" ds:itemID="{84B40DF9-BC74-4345-A7C2-764A958DEE49}">
  <ds:schemaRefs>
    <ds:schemaRef ds:uri="http://schemas.microsoft.com/sharepoint/v3/contenttype/forms"/>
  </ds:schemaRefs>
</ds:datastoreItem>
</file>

<file path=customXml/itemProps5.xml><?xml version="1.0" encoding="utf-8"?>
<ds:datastoreItem xmlns:ds="http://schemas.openxmlformats.org/officeDocument/2006/customXml" ds:itemID="{35EA9609-D492-45BC-B1FC-61D059BE140D}">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87451</vt:lpwstr>
  </property>
  <property fmtid="{D5CDD505-2E9C-101B-9397-08002B2CF9AE}" pid="4" name="OptimizationTime">
    <vt:lpwstr>20180219_1455</vt:lpwstr>
  </property>
</Properties>
</file>

<file path=docProps/app.xml><?xml version="1.0" encoding="utf-8"?>
<Properties xmlns="http://schemas.openxmlformats.org/officeDocument/2006/extended-properties" xmlns:vt="http://schemas.openxmlformats.org/officeDocument/2006/docPropsVTypes">
  <Template>140121_ENTSO-E_Template_Report_no LSPp</Template>
  <TotalTime>4</TotalTime>
  <Pages>13</Pages>
  <Words>4513</Words>
  <Characters>24822</Characters>
  <Application>Microsoft Office Word</Application>
  <DocSecurity>0</DocSecurity>
  <Lines>206</Lines>
  <Paragraphs>58</Paragraphs>
  <ScaleCrop>false</ScaleCrop>
  <HeadingPairs>
    <vt:vector size="12" baseType="variant">
      <vt:variant>
        <vt:lpstr>Titre</vt:lpstr>
      </vt:variant>
      <vt:variant>
        <vt:i4>1</vt:i4>
      </vt:variant>
      <vt:variant>
        <vt:lpstr>Title</vt:lpstr>
      </vt:variant>
      <vt:variant>
        <vt:i4>1</vt:i4>
      </vt:variant>
      <vt:variant>
        <vt:lpstr>Titolo</vt:lpstr>
      </vt:variant>
      <vt:variant>
        <vt:i4>1</vt:i4>
      </vt:variant>
      <vt:variant>
        <vt:lpstr>Titel</vt:lpstr>
      </vt:variant>
      <vt:variant>
        <vt:i4>1</vt:i4>
      </vt:variant>
      <vt:variant>
        <vt:lpstr>Tytuł</vt:lpstr>
      </vt:variant>
      <vt:variant>
        <vt:i4>1</vt:i4>
      </vt:variant>
      <vt:variant>
        <vt:lpstr>Rubrik</vt:lpstr>
      </vt:variant>
      <vt:variant>
        <vt:i4>1</vt:i4>
      </vt:variant>
    </vt:vector>
  </HeadingPairs>
  <TitlesOfParts>
    <vt:vector size="6" baseType="lpstr">
      <vt:lpstr>Italy North TSOs proposal for D-2 common capacity calculation in accordance with Article 21 of Commission Regulation (EU) 2015/1222 of 24 July 2015 establishing a guideline on capacity allocation and congestion management</vt:lpstr>
      <vt:lpstr>Italy North TSOs proposal for D-2 common capacity calculation in accordance with Article 21 of Commission Regulation (EU) 2015/1222 of 24 July 2015 establishing a guideline on capacity allocation and congestion management</vt:lpstr>
      <vt:lpstr>Italy North TSOs proposal for D-2 common capacity calculation in accordance with Article 21 of Commission Regulation (EU) 2015/1222 of 24 July 2015 establishing a guideline on capacity allocation and congestion management</vt:lpstr>
      <vt:lpstr>Italy North TSOs proposal for D-2 common capacity calculation in accordance with Article 21 of Commission Regulation (EU) 2015/1222 of 24 July 2015 establishing a guideline on capacity allocation and congestion management</vt:lpstr>
      <vt:lpstr>All TSOs’ proposal for intraday cross-zonal gate opening and gate closure times in accordance with Article 59 of Commission Regulation (EU) 2015/1222 of 24 July 2015 establishing a guideline on capacity allocation and congestion management</vt:lpstr>
      <vt:lpstr>All TSOs’ proposal for intraday cross-zonal gate opening and gate closure times in accordance with Article 59 of Commission Regulation (EU) 2015/1222 of 24 July 2015 establishing a guideline on capacity allocation and congestion management</vt:lpstr>
    </vt:vector>
  </TitlesOfParts>
  <Company>Svenska Kraftnät</Company>
  <LinksUpToDate>false</LinksUpToDate>
  <CharactersWithSpaces>29277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 North TSOs proposal for D-2 common capacity calculation in accordance with Article 21 of Commission Regulation (EU) 2015/1222 of 24 July 2015 establishing a guideline on capacity allocation and congestion management</dc:title>
  <dc:creator>NIB TSOs</dc:creator>
  <cp:lastModifiedBy>AYFFRE Sebastien</cp:lastModifiedBy>
  <cp:revision>5</cp:revision>
  <cp:lastPrinted>2013-10-11T16:15:00Z</cp:lastPrinted>
  <dcterms:created xsi:type="dcterms:W3CDTF">2018-02-19T08:50:00Z</dcterms:created>
  <dcterms:modified xsi:type="dcterms:W3CDTF">2018-02-19T08:53:00Z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0x010100D7EF83F9CCA39D4D8381E0CF61709DB30087380FE887425749B6EAA07ACB8E9A49</vt:lpwstr>
  </property>
  <property fmtid="{D5CDD505-2E9C-101B-9397-08002B2CF9AE}" pid="4" name="Addo_DocID">
    <vt:lpwstr>3d8ffc25-a44e-4e44-9eec-ba4f15b732a8</vt:lpwstr>
  </property>
</Properties>
</file>