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BB4CF" w14:textId="77777777" w:rsidR="00C03819" w:rsidRDefault="0033477D">
      <w:pPr>
        <w:spacing w:before="73"/>
        <w:ind w:left="3432"/>
        <w:rPr>
          <w:b/>
          <w:sz w:val="20"/>
        </w:rPr>
      </w:pPr>
      <w:r>
        <w:rPr>
          <w:b/>
          <w:noProof/>
          <w:color w:val="9ABCFC"/>
          <w:sz w:val="20"/>
          <w:lang w:val="de-DE" w:eastAsia="de-DE"/>
        </w:rPr>
        <w:drawing>
          <wp:anchor distT="0" distB="0" distL="114300" distR="114300" simplePos="0" relativeHeight="536" behindDoc="0" locked="0" layoutInCell="1" allowOverlap="1" wp14:anchorId="087F3DA4" wp14:editId="146C6917">
            <wp:simplePos x="0" y="0"/>
            <wp:positionH relativeFrom="column">
              <wp:posOffset>130175</wp:posOffset>
            </wp:positionH>
            <wp:positionV relativeFrom="paragraph">
              <wp:posOffset>352425</wp:posOffset>
            </wp:positionV>
            <wp:extent cx="5675630" cy="640080"/>
            <wp:effectExtent l="0" t="0" r="1270" b="762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5630" cy="640080"/>
                    </a:xfrm>
                    <a:prstGeom prst="rect">
                      <a:avLst/>
                    </a:prstGeom>
                    <a:noFill/>
                  </pic:spPr>
                </pic:pic>
              </a:graphicData>
            </a:graphic>
          </wp:anchor>
        </w:drawing>
      </w:r>
      <w:r w:rsidR="00826C90">
        <w:rPr>
          <w:b/>
          <w:color w:val="9ABCFC"/>
          <w:sz w:val="20"/>
        </w:rPr>
        <w:t>CCR Core TSOs’ Cooperation</w:t>
      </w:r>
    </w:p>
    <w:p w14:paraId="04743CC0" w14:textId="77777777" w:rsidR="00C03819" w:rsidRDefault="00C03819">
      <w:pPr>
        <w:pStyle w:val="BodyText"/>
        <w:rPr>
          <w:b/>
          <w:sz w:val="22"/>
        </w:rPr>
      </w:pPr>
    </w:p>
    <w:p w14:paraId="7A4B332A" w14:textId="77777777" w:rsidR="00C03819" w:rsidRDefault="00C03819">
      <w:pPr>
        <w:pStyle w:val="BodyText"/>
        <w:rPr>
          <w:b/>
          <w:sz w:val="22"/>
        </w:rPr>
      </w:pPr>
    </w:p>
    <w:p w14:paraId="31F6D2E9" w14:textId="77777777" w:rsidR="00C03819" w:rsidRDefault="00C03819">
      <w:pPr>
        <w:pStyle w:val="BodyText"/>
        <w:rPr>
          <w:b/>
          <w:sz w:val="22"/>
        </w:rPr>
      </w:pPr>
    </w:p>
    <w:p w14:paraId="650609D6" w14:textId="77777777" w:rsidR="00C03819" w:rsidRDefault="00C03819">
      <w:pPr>
        <w:pStyle w:val="BodyText"/>
        <w:rPr>
          <w:b/>
          <w:sz w:val="22"/>
        </w:rPr>
      </w:pPr>
    </w:p>
    <w:p w14:paraId="33B444BD" w14:textId="77777777" w:rsidR="00C03819" w:rsidRDefault="00C03819">
      <w:pPr>
        <w:pStyle w:val="BodyText"/>
        <w:rPr>
          <w:b/>
          <w:sz w:val="22"/>
        </w:rPr>
      </w:pPr>
    </w:p>
    <w:p w14:paraId="25BDD304" w14:textId="77777777" w:rsidR="00C03819" w:rsidRDefault="00C03819">
      <w:pPr>
        <w:pStyle w:val="BodyText"/>
        <w:rPr>
          <w:b/>
          <w:sz w:val="22"/>
        </w:rPr>
      </w:pPr>
    </w:p>
    <w:p w14:paraId="7E54F772" w14:textId="77777777" w:rsidR="00C03819" w:rsidRDefault="00C03819">
      <w:pPr>
        <w:pStyle w:val="BodyText"/>
        <w:rPr>
          <w:b/>
          <w:sz w:val="22"/>
        </w:rPr>
      </w:pPr>
    </w:p>
    <w:p w14:paraId="1CA5DD0F" w14:textId="77777777" w:rsidR="00C03819" w:rsidRDefault="00C03819">
      <w:pPr>
        <w:pStyle w:val="BodyText"/>
        <w:rPr>
          <w:b/>
          <w:sz w:val="22"/>
        </w:rPr>
      </w:pPr>
    </w:p>
    <w:p w14:paraId="221E39AE" w14:textId="77777777" w:rsidR="00C03819" w:rsidRDefault="00C03819">
      <w:pPr>
        <w:pStyle w:val="BodyText"/>
        <w:rPr>
          <w:b/>
          <w:sz w:val="22"/>
        </w:rPr>
      </w:pPr>
    </w:p>
    <w:p w14:paraId="7C9788A5" w14:textId="77777777" w:rsidR="00C03819" w:rsidRDefault="00C03819">
      <w:pPr>
        <w:pStyle w:val="BodyText"/>
        <w:rPr>
          <w:b/>
          <w:sz w:val="22"/>
        </w:rPr>
      </w:pPr>
    </w:p>
    <w:p w14:paraId="5C622A3C" w14:textId="77777777" w:rsidR="00C03819" w:rsidRDefault="00C03819">
      <w:pPr>
        <w:pStyle w:val="BodyText"/>
        <w:rPr>
          <w:b/>
          <w:sz w:val="22"/>
        </w:rPr>
      </w:pPr>
    </w:p>
    <w:p w14:paraId="3CFB2939" w14:textId="77777777" w:rsidR="0042256F" w:rsidRPr="0042256F" w:rsidRDefault="0042256F" w:rsidP="0042256F">
      <w:pPr>
        <w:spacing w:line="312" w:lineRule="auto"/>
        <w:ind w:left="242" w:right="229" w:hanging="7"/>
        <w:jc w:val="center"/>
        <w:rPr>
          <w:color w:val="3178FD"/>
          <w:sz w:val="44"/>
        </w:rPr>
      </w:pPr>
      <w:r>
        <w:rPr>
          <w:color w:val="3178FD"/>
          <w:sz w:val="44"/>
        </w:rPr>
        <w:t>1</w:t>
      </w:r>
      <w:r w:rsidRPr="0042256F">
        <w:rPr>
          <w:color w:val="3178FD"/>
          <w:sz w:val="44"/>
          <w:vertAlign w:val="superscript"/>
        </w:rPr>
        <w:t>st</w:t>
      </w:r>
      <w:r>
        <w:rPr>
          <w:color w:val="3178FD"/>
          <w:sz w:val="44"/>
        </w:rPr>
        <w:t xml:space="preserve"> amendment of the Core CCR fallback procedures </w:t>
      </w:r>
      <w:r w:rsidRPr="0042256F">
        <w:rPr>
          <w:color w:val="3178FD"/>
          <w:sz w:val="44"/>
        </w:rPr>
        <w:t>in accordance with Article 44 of the Commission Regulation (EU) 2015/1222 of 24 July 2015 establishing a guideline</w:t>
      </w:r>
    </w:p>
    <w:p w14:paraId="0A6938FE" w14:textId="77777777" w:rsidR="00C03819" w:rsidRDefault="0042256F" w:rsidP="0042256F">
      <w:pPr>
        <w:spacing w:line="312" w:lineRule="auto"/>
        <w:ind w:left="242" w:right="229" w:hanging="7"/>
        <w:jc w:val="center"/>
        <w:rPr>
          <w:sz w:val="44"/>
        </w:rPr>
      </w:pPr>
      <w:r w:rsidRPr="0042256F">
        <w:rPr>
          <w:color w:val="3178FD"/>
          <w:sz w:val="44"/>
        </w:rPr>
        <w:t>on capacity allocation and congestion management</w:t>
      </w:r>
    </w:p>
    <w:p w14:paraId="01BC0E1E" w14:textId="77777777" w:rsidR="00C03819" w:rsidRDefault="00C03819">
      <w:pPr>
        <w:pStyle w:val="BodyText"/>
      </w:pPr>
    </w:p>
    <w:p w14:paraId="26763DF6" w14:textId="77777777" w:rsidR="00C03819" w:rsidRDefault="00C03819">
      <w:pPr>
        <w:pStyle w:val="BodyText"/>
      </w:pPr>
    </w:p>
    <w:p w14:paraId="2133CE87" w14:textId="77777777" w:rsidR="00C03819" w:rsidRDefault="00C03819">
      <w:pPr>
        <w:pStyle w:val="BodyText"/>
        <w:spacing w:before="1"/>
        <w:rPr>
          <w:sz w:val="12"/>
        </w:rPr>
      </w:pPr>
    </w:p>
    <w:tbl>
      <w:tblPr>
        <w:tblStyle w:val="TableNormal1"/>
        <w:tblW w:w="0" w:type="auto"/>
        <w:tblInd w:w="129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419"/>
        <w:gridCol w:w="2319"/>
        <w:gridCol w:w="2926"/>
      </w:tblGrid>
      <w:tr w:rsidR="00C03819" w14:paraId="0C415023" w14:textId="77777777">
        <w:trPr>
          <w:trHeight w:hRule="exact" w:val="280"/>
        </w:trPr>
        <w:tc>
          <w:tcPr>
            <w:tcW w:w="1419" w:type="dxa"/>
            <w:vMerge w:val="restart"/>
          </w:tcPr>
          <w:p w14:paraId="5B86D873" w14:textId="77777777" w:rsidR="00C03819" w:rsidRDefault="00826C90">
            <w:pPr>
              <w:pStyle w:val="TableParagraph"/>
              <w:spacing w:before="14"/>
              <w:rPr>
                <w:b/>
                <w:sz w:val="20"/>
              </w:rPr>
            </w:pPr>
            <w:r>
              <w:rPr>
                <w:b/>
                <w:sz w:val="20"/>
              </w:rPr>
              <w:t>Purpose:</w:t>
            </w:r>
          </w:p>
        </w:tc>
        <w:tc>
          <w:tcPr>
            <w:tcW w:w="2319" w:type="dxa"/>
            <w:tcBorders>
              <w:bottom w:val="nil"/>
              <w:right w:val="nil"/>
            </w:tcBorders>
          </w:tcPr>
          <w:p w14:paraId="5F2A9196" w14:textId="4CC29964" w:rsidR="00C03819" w:rsidRDefault="00525D3C">
            <w:pPr>
              <w:pStyle w:val="TableParagraph"/>
              <w:spacing w:line="244" w:lineRule="exact"/>
              <w:rPr>
                <w:sz w:val="20"/>
              </w:rPr>
            </w:pPr>
            <w:r>
              <w:rPr>
                <w:rFonts w:ascii="MS Gothic" w:hAnsi="MS Gothic"/>
                <w:sz w:val="20"/>
              </w:rPr>
              <w:t xml:space="preserve">□ </w:t>
            </w:r>
            <w:r w:rsidR="00826C90">
              <w:rPr>
                <w:sz w:val="20"/>
              </w:rPr>
              <w:t>methodology draft</w:t>
            </w:r>
          </w:p>
        </w:tc>
        <w:tc>
          <w:tcPr>
            <w:tcW w:w="2926" w:type="dxa"/>
            <w:tcBorders>
              <w:left w:val="nil"/>
              <w:bottom w:val="nil"/>
            </w:tcBorders>
          </w:tcPr>
          <w:p w14:paraId="7F201136" w14:textId="3BC2EDEA" w:rsidR="00C03819" w:rsidRDefault="00525D3C">
            <w:pPr>
              <w:pStyle w:val="TableParagraph"/>
              <w:spacing w:line="244" w:lineRule="exact"/>
              <w:ind w:left="301"/>
              <w:rPr>
                <w:sz w:val="20"/>
              </w:rPr>
            </w:pPr>
            <w:r>
              <w:rPr>
                <w:rFonts w:ascii="MS Gothic" w:hAnsi="MS Gothic"/>
                <w:sz w:val="20"/>
              </w:rPr>
              <w:t>☒</w:t>
            </w:r>
            <w:r w:rsidR="00826C90">
              <w:rPr>
                <w:rFonts w:ascii="MS Gothic" w:hAnsi="MS Gothic"/>
                <w:sz w:val="20"/>
              </w:rPr>
              <w:t xml:space="preserve"> </w:t>
            </w:r>
            <w:r w:rsidR="00826C90">
              <w:rPr>
                <w:sz w:val="20"/>
              </w:rPr>
              <w:t>for public consultation</w:t>
            </w:r>
          </w:p>
        </w:tc>
      </w:tr>
      <w:tr w:rsidR="00C03819" w14:paraId="0705A545" w14:textId="77777777">
        <w:trPr>
          <w:trHeight w:hRule="exact" w:val="298"/>
        </w:trPr>
        <w:tc>
          <w:tcPr>
            <w:tcW w:w="1419" w:type="dxa"/>
            <w:vMerge/>
          </w:tcPr>
          <w:p w14:paraId="40AC0A95" w14:textId="77777777" w:rsidR="00C03819" w:rsidRDefault="00C03819"/>
        </w:tc>
        <w:tc>
          <w:tcPr>
            <w:tcW w:w="2319" w:type="dxa"/>
            <w:tcBorders>
              <w:top w:val="nil"/>
              <w:right w:val="nil"/>
            </w:tcBorders>
          </w:tcPr>
          <w:p w14:paraId="231ED4FD" w14:textId="77777777" w:rsidR="00C03819" w:rsidRDefault="0042256F">
            <w:pPr>
              <w:pStyle w:val="TableParagraph"/>
              <w:spacing w:line="254" w:lineRule="exact"/>
              <w:rPr>
                <w:sz w:val="20"/>
              </w:rPr>
            </w:pPr>
            <w:r>
              <w:rPr>
                <w:rFonts w:ascii="MS Gothic" w:hAnsi="MS Gothic"/>
                <w:sz w:val="20"/>
              </w:rPr>
              <w:t>□</w:t>
            </w:r>
            <w:r w:rsidR="00826C90">
              <w:rPr>
                <w:rFonts w:ascii="MS Gothic" w:hAnsi="MS Gothic"/>
                <w:sz w:val="20"/>
              </w:rPr>
              <w:t xml:space="preserve"> </w:t>
            </w:r>
            <w:r w:rsidR="00826C90">
              <w:rPr>
                <w:sz w:val="20"/>
              </w:rPr>
              <w:t>for NRA approval</w:t>
            </w:r>
          </w:p>
        </w:tc>
        <w:tc>
          <w:tcPr>
            <w:tcW w:w="2926" w:type="dxa"/>
            <w:tcBorders>
              <w:top w:val="nil"/>
              <w:left w:val="nil"/>
            </w:tcBorders>
          </w:tcPr>
          <w:p w14:paraId="70DDC619" w14:textId="77777777" w:rsidR="00C03819" w:rsidRDefault="00826C90">
            <w:pPr>
              <w:pStyle w:val="TableParagraph"/>
              <w:spacing w:line="254" w:lineRule="exact"/>
              <w:ind w:left="301"/>
              <w:rPr>
                <w:sz w:val="20"/>
              </w:rPr>
            </w:pPr>
            <w:r>
              <w:rPr>
                <w:rFonts w:ascii="MS Gothic" w:hAnsi="MS Gothic"/>
                <w:sz w:val="20"/>
              </w:rPr>
              <w:t xml:space="preserve">□ </w:t>
            </w:r>
            <w:r>
              <w:rPr>
                <w:sz w:val="20"/>
              </w:rPr>
              <w:t>for final publication</w:t>
            </w:r>
          </w:p>
        </w:tc>
      </w:tr>
      <w:tr w:rsidR="00C03819" w14:paraId="051AE18F" w14:textId="77777777">
        <w:trPr>
          <w:trHeight w:hRule="exact" w:val="293"/>
        </w:trPr>
        <w:tc>
          <w:tcPr>
            <w:tcW w:w="1419" w:type="dxa"/>
          </w:tcPr>
          <w:p w14:paraId="7EA20907" w14:textId="77777777" w:rsidR="00C03819" w:rsidRDefault="00826C90">
            <w:pPr>
              <w:pStyle w:val="TableParagraph"/>
              <w:spacing w:before="14"/>
              <w:rPr>
                <w:b/>
                <w:sz w:val="20"/>
              </w:rPr>
            </w:pPr>
            <w:r>
              <w:rPr>
                <w:b/>
                <w:sz w:val="20"/>
              </w:rPr>
              <w:t>Status:</w:t>
            </w:r>
          </w:p>
        </w:tc>
        <w:tc>
          <w:tcPr>
            <w:tcW w:w="2319" w:type="dxa"/>
            <w:tcBorders>
              <w:right w:val="nil"/>
            </w:tcBorders>
          </w:tcPr>
          <w:p w14:paraId="29413DE4" w14:textId="4E9CB148" w:rsidR="00C03819" w:rsidRDefault="001235D0">
            <w:pPr>
              <w:pStyle w:val="TableParagraph"/>
              <w:spacing w:line="244" w:lineRule="exact"/>
              <w:rPr>
                <w:sz w:val="20"/>
              </w:rPr>
            </w:pPr>
            <w:r>
              <w:rPr>
                <w:rFonts w:ascii="MS Gothic" w:hAnsi="MS Gothic"/>
                <w:sz w:val="20"/>
              </w:rPr>
              <w:t>□</w:t>
            </w:r>
            <w:r w:rsidR="00525D3C">
              <w:rPr>
                <w:rFonts w:ascii="MS Gothic" w:hAnsi="MS Gothic"/>
                <w:sz w:val="20"/>
              </w:rPr>
              <w:t xml:space="preserve"> </w:t>
            </w:r>
            <w:r w:rsidR="00826C90">
              <w:rPr>
                <w:sz w:val="20"/>
              </w:rPr>
              <w:t>draft</w:t>
            </w:r>
          </w:p>
        </w:tc>
        <w:tc>
          <w:tcPr>
            <w:tcW w:w="2926" w:type="dxa"/>
            <w:tcBorders>
              <w:left w:val="nil"/>
            </w:tcBorders>
          </w:tcPr>
          <w:p w14:paraId="46F0207B" w14:textId="6C49F93C" w:rsidR="00C03819" w:rsidRDefault="001235D0">
            <w:pPr>
              <w:pStyle w:val="TableParagraph"/>
              <w:spacing w:line="244" w:lineRule="exact"/>
              <w:ind w:left="301"/>
              <w:rPr>
                <w:sz w:val="20"/>
              </w:rPr>
            </w:pPr>
            <w:r>
              <w:rPr>
                <w:rFonts w:ascii="MS Gothic" w:hAnsi="MS Gothic"/>
                <w:sz w:val="20"/>
              </w:rPr>
              <w:t>☒</w:t>
            </w:r>
            <w:r w:rsidR="00826C90">
              <w:rPr>
                <w:rFonts w:ascii="MS Gothic" w:hAnsi="MS Gothic"/>
                <w:sz w:val="20"/>
              </w:rPr>
              <w:t xml:space="preserve"> </w:t>
            </w:r>
            <w:r w:rsidR="00826C90">
              <w:rPr>
                <w:sz w:val="20"/>
              </w:rPr>
              <w:t>final</w:t>
            </w:r>
          </w:p>
        </w:tc>
      </w:tr>
      <w:tr w:rsidR="00C03819" w14:paraId="1DF552C3" w14:textId="77777777">
        <w:trPr>
          <w:trHeight w:hRule="exact" w:val="410"/>
        </w:trPr>
        <w:tc>
          <w:tcPr>
            <w:tcW w:w="1419" w:type="dxa"/>
          </w:tcPr>
          <w:p w14:paraId="734BDA60" w14:textId="77777777" w:rsidR="00C03819" w:rsidRDefault="00826C90">
            <w:pPr>
              <w:pStyle w:val="TableParagraph"/>
              <w:spacing w:line="189" w:lineRule="exact"/>
              <w:rPr>
                <w:b/>
                <w:sz w:val="20"/>
              </w:rPr>
            </w:pPr>
            <w:r>
              <w:rPr>
                <w:b/>
                <w:sz w:val="20"/>
              </w:rPr>
              <w:t>TSO</w:t>
            </w:r>
          </w:p>
          <w:p w14:paraId="40059441" w14:textId="77777777" w:rsidR="00C03819" w:rsidRDefault="00826C90">
            <w:pPr>
              <w:pStyle w:val="TableParagraph"/>
              <w:spacing w:line="216" w:lineRule="exact"/>
              <w:rPr>
                <w:b/>
                <w:sz w:val="20"/>
              </w:rPr>
            </w:pPr>
            <w:r>
              <w:rPr>
                <w:b/>
                <w:sz w:val="20"/>
              </w:rPr>
              <w:t>approval:</w:t>
            </w:r>
          </w:p>
        </w:tc>
        <w:tc>
          <w:tcPr>
            <w:tcW w:w="2319" w:type="dxa"/>
            <w:tcBorders>
              <w:right w:val="nil"/>
            </w:tcBorders>
          </w:tcPr>
          <w:p w14:paraId="3115535C" w14:textId="166CBA5B" w:rsidR="00C03819" w:rsidRDefault="00525D3C">
            <w:pPr>
              <w:pStyle w:val="TableParagraph"/>
              <w:spacing w:before="28"/>
              <w:rPr>
                <w:sz w:val="20"/>
              </w:rPr>
            </w:pPr>
            <w:r>
              <w:rPr>
                <w:rFonts w:ascii="MS Gothic" w:hAnsi="MS Gothic"/>
                <w:sz w:val="20"/>
              </w:rPr>
              <w:t xml:space="preserve">□ </w:t>
            </w:r>
            <w:r w:rsidR="00826C90">
              <w:rPr>
                <w:sz w:val="20"/>
              </w:rPr>
              <w:t>for approval</w:t>
            </w:r>
          </w:p>
        </w:tc>
        <w:tc>
          <w:tcPr>
            <w:tcW w:w="2926" w:type="dxa"/>
            <w:tcBorders>
              <w:left w:val="nil"/>
            </w:tcBorders>
          </w:tcPr>
          <w:p w14:paraId="1A2BD0C8" w14:textId="1C21839B" w:rsidR="00C03819" w:rsidRDefault="00525D3C">
            <w:pPr>
              <w:pStyle w:val="TableParagraph"/>
              <w:spacing w:before="28"/>
              <w:ind w:left="301"/>
              <w:rPr>
                <w:sz w:val="20"/>
              </w:rPr>
            </w:pPr>
            <w:r>
              <w:rPr>
                <w:rFonts w:ascii="MS Gothic" w:hAnsi="MS Gothic"/>
                <w:sz w:val="20"/>
              </w:rPr>
              <w:t>☒</w:t>
            </w:r>
            <w:r w:rsidR="00826C90">
              <w:rPr>
                <w:rFonts w:ascii="MS Gothic" w:hAnsi="MS Gothic"/>
                <w:sz w:val="20"/>
              </w:rPr>
              <w:t xml:space="preserve"> </w:t>
            </w:r>
            <w:r w:rsidR="00826C90">
              <w:rPr>
                <w:sz w:val="20"/>
              </w:rPr>
              <w:t>approved</w:t>
            </w:r>
          </w:p>
        </w:tc>
      </w:tr>
      <w:tr w:rsidR="00C03819" w14:paraId="1B4C863B" w14:textId="77777777">
        <w:trPr>
          <w:trHeight w:hRule="exact" w:val="410"/>
        </w:trPr>
        <w:tc>
          <w:tcPr>
            <w:tcW w:w="1419" w:type="dxa"/>
          </w:tcPr>
          <w:p w14:paraId="6774CEF7" w14:textId="77777777" w:rsidR="00C03819" w:rsidRDefault="00826C90">
            <w:pPr>
              <w:pStyle w:val="TableParagraph"/>
              <w:spacing w:line="188" w:lineRule="exact"/>
              <w:rPr>
                <w:b/>
                <w:sz w:val="20"/>
              </w:rPr>
            </w:pPr>
            <w:r>
              <w:rPr>
                <w:b/>
                <w:sz w:val="20"/>
              </w:rPr>
              <w:t>NRA</w:t>
            </w:r>
          </w:p>
          <w:p w14:paraId="0734C88E" w14:textId="77777777" w:rsidR="00C03819" w:rsidRDefault="00826C90">
            <w:pPr>
              <w:pStyle w:val="TableParagraph"/>
              <w:spacing w:line="215" w:lineRule="exact"/>
              <w:rPr>
                <w:b/>
                <w:sz w:val="20"/>
              </w:rPr>
            </w:pPr>
            <w:r>
              <w:rPr>
                <w:b/>
                <w:sz w:val="20"/>
              </w:rPr>
              <w:t>approval:</w:t>
            </w:r>
          </w:p>
        </w:tc>
        <w:tc>
          <w:tcPr>
            <w:tcW w:w="2319" w:type="dxa"/>
            <w:tcBorders>
              <w:right w:val="nil"/>
            </w:tcBorders>
          </w:tcPr>
          <w:p w14:paraId="0EFE9581" w14:textId="77777777" w:rsidR="00C03819" w:rsidRDefault="00826C90">
            <w:pPr>
              <w:pStyle w:val="TableParagraph"/>
              <w:spacing w:before="28"/>
              <w:rPr>
                <w:sz w:val="20"/>
              </w:rPr>
            </w:pPr>
            <w:r>
              <w:rPr>
                <w:rFonts w:ascii="MS Gothic" w:hAnsi="MS Gothic"/>
                <w:sz w:val="20"/>
              </w:rPr>
              <w:t xml:space="preserve">☒ </w:t>
            </w:r>
            <w:r>
              <w:rPr>
                <w:sz w:val="20"/>
              </w:rPr>
              <w:t>outstanding</w:t>
            </w:r>
          </w:p>
        </w:tc>
        <w:tc>
          <w:tcPr>
            <w:tcW w:w="2926" w:type="dxa"/>
            <w:tcBorders>
              <w:left w:val="nil"/>
            </w:tcBorders>
          </w:tcPr>
          <w:p w14:paraId="57BA25E4" w14:textId="77777777" w:rsidR="00C03819" w:rsidRDefault="00826C90">
            <w:pPr>
              <w:pStyle w:val="TableParagraph"/>
              <w:spacing w:before="28"/>
              <w:ind w:left="301"/>
              <w:rPr>
                <w:sz w:val="20"/>
              </w:rPr>
            </w:pPr>
            <w:r>
              <w:rPr>
                <w:rFonts w:ascii="MS Gothic" w:hAnsi="MS Gothic"/>
                <w:sz w:val="20"/>
              </w:rPr>
              <w:t xml:space="preserve">□ </w:t>
            </w:r>
            <w:r>
              <w:rPr>
                <w:sz w:val="20"/>
              </w:rPr>
              <w:t>approved</w:t>
            </w:r>
          </w:p>
        </w:tc>
      </w:tr>
    </w:tbl>
    <w:p w14:paraId="61C63636" w14:textId="77777777" w:rsidR="00C03819" w:rsidRDefault="00C03819">
      <w:pPr>
        <w:pStyle w:val="BodyText"/>
      </w:pPr>
    </w:p>
    <w:p w14:paraId="0C1A98FA" w14:textId="77777777" w:rsidR="00C03819" w:rsidRDefault="00C03819">
      <w:pPr>
        <w:pStyle w:val="BodyText"/>
      </w:pPr>
    </w:p>
    <w:p w14:paraId="736B5CC0" w14:textId="77777777" w:rsidR="00C03819" w:rsidRDefault="00826C90">
      <w:pPr>
        <w:pStyle w:val="BodyText"/>
        <w:spacing w:before="2"/>
        <w:rPr>
          <w:sz w:val="13"/>
        </w:rPr>
      </w:pPr>
      <w:r>
        <w:rPr>
          <w:noProof/>
          <w:lang w:val="de-DE" w:eastAsia="de-DE"/>
        </w:rPr>
        <w:drawing>
          <wp:anchor distT="0" distB="0" distL="0" distR="0" simplePos="0" relativeHeight="251658240" behindDoc="0" locked="0" layoutInCell="1" allowOverlap="1" wp14:anchorId="1E0846CA" wp14:editId="3E906609">
            <wp:simplePos x="0" y="0"/>
            <wp:positionH relativeFrom="page">
              <wp:posOffset>2729483</wp:posOffset>
            </wp:positionH>
            <wp:positionV relativeFrom="paragraph">
              <wp:posOffset>121561</wp:posOffset>
            </wp:positionV>
            <wp:extent cx="2134479" cy="1969770"/>
            <wp:effectExtent l="0" t="0" r="0" b="0"/>
            <wp:wrapTopAndBottom/>
            <wp:docPr id="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png"/>
                    <pic:cNvPicPr/>
                  </pic:nvPicPr>
                  <pic:blipFill>
                    <a:blip r:embed="rId8" cstate="print"/>
                    <a:stretch>
                      <a:fillRect/>
                    </a:stretch>
                  </pic:blipFill>
                  <pic:spPr>
                    <a:xfrm>
                      <a:off x="0" y="0"/>
                      <a:ext cx="2134479" cy="1969770"/>
                    </a:xfrm>
                    <a:prstGeom prst="rect">
                      <a:avLst/>
                    </a:prstGeom>
                  </pic:spPr>
                </pic:pic>
              </a:graphicData>
            </a:graphic>
          </wp:anchor>
        </w:drawing>
      </w:r>
    </w:p>
    <w:p w14:paraId="78D218D9" w14:textId="77777777" w:rsidR="00C03819" w:rsidRDefault="00C03819">
      <w:pPr>
        <w:rPr>
          <w:sz w:val="13"/>
        </w:rPr>
        <w:sectPr w:rsidR="00C03819">
          <w:type w:val="continuous"/>
          <w:pgSz w:w="11900" w:h="16850"/>
          <w:pgMar w:top="300" w:right="1320" w:bottom="280" w:left="1340" w:header="720" w:footer="720" w:gutter="0"/>
          <w:cols w:space="720"/>
        </w:sectPr>
      </w:pPr>
    </w:p>
    <w:p w14:paraId="2F103AA3" w14:textId="77777777" w:rsidR="00C03819" w:rsidRDefault="00C03819">
      <w:pPr>
        <w:pStyle w:val="BodyText"/>
      </w:pPr>
    </w:p>
    <w:p w14:paraId="1CA65828" w14:textId="77777777" w:rsidR="00C03819" w:rsidRDefault="00826C90">
      <w:pPr>
        <w:pStyle w:val="BodyText"/>
        <w:spacing w:line="314" w:lineRule="auto"/>
        <w:ind w:left="140"/>
      </w:pPr>
      <w:r>
        <w:t>Transmission System Operators (hereafter referred to as “TSOs”) of the Core Capacity Calculation Region (hereafter referred to as “Core CCR”), taking into account</w:t>
      </w:r>
    </w:p>
    <w:p w14:paraId="3490C150" w14:textId="77777777" w:rsidR="00C03819" w:rsidRDefault="00C03819">
      <w:pPr>
        <w:pStyle w:val="BodyText"/>
        <w:spacing w:before="6"/>
      </w:pPr>
    </w:p>
    <w:p w14:paraId="3054D82E" w14:textId="77777777" w:rsidR="00C03819" w:rsidRDefault="00826C90">
      <w:pPr>
        <w:pStyle w:val="Heading1"/>
        <w:ind w:left="2146" w:right="2146"/>
      </w:pPr>
      <w:bookmarkStart w:id="0" w:name="_bookmark0"/>
      <w:bookmarkEnd w:id="0"/>
      <w:r>
        <w:rPr>
          <w:color w:val="56575A"/>
        </w:rPr>
        <w:t>Whereas</w:t>
      </w:r>
    </w:p>
    <w:p w14:paraId="41F62671" w14:textId="77777777" w:rsidR="0042256F" w:rsidRPr="0042256F" w:rsidRDefault="0042256F" w:rsidP="0042256F">
      <w:pPr>
        <w:pStyle w:val="ListParagraph"/>
        <w:numPr>
          <w:ilvl w:val="0"/>
          <w:numId w:val="4"/>
        </w:numPr>
        <w:tabs>
          <w:tab w:val="left" w:pos="707"/>
        </w:tabs>
        <w:spacing w:before="205" w:line="312" w:lineRule="auto"/>
        <w:ind w:right="137"/>
        <w:rPr>
          <w:sz w:val="20"/>
        </w:rPr>
      </w:pPr>
      <w:r>
        <w:rPr>
          <w:sz w:val="20"/>
        </w:rPr>
        <w:t xml:space="preserve">ACER Decision No 10/2018 of 27 September 2018 approving the Core CCR </w:t>
      </w:r>
      <w:r w:rsidRPr="0042256F">
        <w:rPr>
          <w:sz w:val="20"/>
        </w:rPr>
        <w:t>in accordance with Article 44 of the Commission Regulation (EU) 2015/1222 of 24 July 2015 establishing a guideline</w:t>
      </w:r>
      <w:r>
        <w:rPr>
          <w:sz w:val="20"/>
        </w:rPr>
        <w:t xml:space="preserve"> </w:t>
      </w:r>
      <w:r w:rsidRPr="0042256F">
        <w:rPr>
          <w:sz w:val="20"/>
        </w:rPr>
        <w:t>on capacity allocation and congestion management</w:t>
      </w:r>
      <w:r w:rsidR="00586591">
        <w:rPr>
          <w:sz w:val="20"/>
        </w:rPr>
        <w:t xml:space="preserve"> (CACM Regulation)</w:t>
      </w:r>
      <w:r w:rsidR="00AB19BB">
        <w:rPr>
          <w:sz w:val="20"/>
        </w:rPr>
        <w:t>;</w:t>
      </w:r>
    </w:p>
    <w:p w14:paraId="1B2D8CB4" w14:textId="77777777" w:rsidR="0042256F" w:rsidRDefault="0042256F" w:rsidP="00AB19BB">
      <w:pPr>
        <w:pStyle w:val="ListParagraph"/>
        <w:numPr>
          <w:ilvl w:val="0"/>
          <w:numId w:val="4"/>
        </w:numPr>
        <w:tabs>
          <w:tab w:val="left" w:pos="707"/>
        </w:tabs>
        <w:spacing w:before="205" w:line="312" w:lineRule="auto"/>
        <w:ind w:right="137"/>
        <w:rPr>
          <w:sz w:val="20"/>
        </w:rPr>
      </w:pPr>
      <w:r>
        <w:rPr>
          <w:sz w:val="20"/>
        </w:rPr>
        <w:t xml:space="preserve">All European TSOs aim at harmonizing shadow allocation rules on all European bidding zone borders, where they are applied as fallback solution in case the </w:t>
      </w:r>
      <w:r w:rsidR="00AB19BB">
        <w:rPr>
          <w:sz w:val="20"/>
        </w:rPr>
        <w:t>s</w:t>
      </w:r>
      <w:r>
        <w:rPr>
          <w:sz w:val="20"/>
        </w:rPr>
        <w:t xml:space="preserve">ingle </w:t>
      </w:r>
      <w:r w:rsidR="00AB19BB">
        <w:rPr>
          <w:sz w:val="20"/>
        </w:rPr>
        <w:t>d</w:t>
      </w:r>
      <w:r>
        <w:rPr>
          <w:sz w:val="20"/>
        </w:rPr>
        <w:t>ay-</w:t>
      </w:r>
      <w:r w:rsidR="00AB19BB">
        <w:rPr>
          <w:sz w:val="20"/>
        </w:rPr>
        <w:t>a</w:t>
      </w:r>
      <w:r>
        <w:rPr>
          <w:sz w:val="20"/>
        </w:rPr>
        <w:t xml:space="preserve">head </w:t>
      </w:r>
      <w:r w:rsidR="00AB19BB">
        <w:rPr>
          <w:sz w:val="20"/>
        </w:rPr>
        <w:t>c</w:t>
      </w:r>
      <w:r>
        <w:rPr>
          <w:sz w:val="20"/>
        </w:rPr>
        <w:t xml:space="preserve">oupling </w:t>
      </w:r>
      <w:r w:rsidR="00AB19BB">
        <w:rPr>
          <w:sz w:val="20"/>
        </w:rPr>
        <w:t xml:space="preserve">(SDAC) </w:t>
      </w:r>
      <w:r>
        <w:rPr>
          <w:sz w:val="20"/>
        </w:rPr>
        <w:t>fails to deliver market coupling results.</w:t>
      </w:r>
      <w:r w:rsidR="00F17ADB">
        <w:rPr>
          <w:sz w:val="20"/>
        </w:rPr>
        <w:t xml:space="preserve"> This process leads to the need for amendment of the Core CCR fallback procedures and the Regional Shadow Allocation Rules attached to the Core CCR fallback procedures</w:t>
      </w:r>
      <w:r w:rsidR="00AB19BB">
        <w:rPr>
          <w:sz w:val="20"/>
        </w:rPr>
        <w:t>;</w:t>
      </w:r>
      <w:r w:rsidR="00F17ADB">
        <w:rPr>
          <w:sz w:val="20"/>
        </w:rPr>
        <w:t xml:space="preserve"> </w:t>
      </w:r>
    </w:p>
    <w:p w14:paraId="3D7B8C17" w14:textId="08FC51A8" w:rsidR="0042256F" w:rsidRDefault="00F17ADB" w:rsidP="00AB19BB">
      <w:pPr>
        <w:pStyle w:val="ListParagraph"/>
        <w:numPr>
          <w:ilvl w:val="0"/>
          <w:numId w:val="4"/>
        </w:numPr>
        <w:tabs>
          <w:tab w:val="left" w:pos="707"/>
        </w:tabs>
        <w:spacing w:before="205" w:line="312" w:lineRule="auto"/>
        <w:ind w:right="137"/>
        <w:rPr>
          <w:sz w:val="20"/>
        </w:rPr>
      </w:pPr>
      <w:r>
        <w:rPr>
          <w:sz w:val="20"/>
        </w:rPr>
        <w:t xml:space="preserve">The SDAC Joint Steering Committee has decided to shift operational timings </w:t>
      </w:r>
      <w:r w:rsidR="00A51FDE">
        <w:rPr>
          <w:sz w:val="20"/>
        </w:rPr>
        <w:t>of the SDAC in order to cope with increasing performance</w:t>
      </w:r>
      <w:r w:rsidR="0042256F">
        <w:rPr>
          <w:sz w:val="20"/>
        </w:rPr>
        <w:t xml:space="preserve"> </w:t>
      </w:r>
      <w:r w:rsidR="00A51FDE">
        <w:rPr>
          <w:sz w:val="20"/>
        </w:rPr>
        <w:t xml:space="preserve">restrictions of the European Market Coupling Algorithm. As consequence of these shift of operational timings, the full decoupling deadline and thus the deadline for shadow auction results publication shall be shifted from D-1 13h50 to D-1 </w:t>
      </w:r>
      <w:r w:rsidR="00AB19BB">
        <w:rPr>
          <w:sz w:val="20"/>
        </w:rPr>
        <w:t>14h00;</w:t>
      </w:r>
    </w:p>
    <w:p w14:paraId="47BA18C2" w14:textId="77777777" w:rsidR="00C03819" w:rsidRDefault="00826C90" w:rsidP="00AB19BB">
      <w:pPr>
        <w:pStyle w:val="ListParagraph"/>
        <w:numPr>
          <w:ilvl w:val="0"/>
          <w:numId w:val="4"/>
        </w:numPr>
        <w:tabs>
          <w:tab w:val="left" w:pos="707"/>
        </w:tabs>
        <w:spacing w:before="205" w:line="312" w:lineRule="auto"/>
        <w:ind w:right="137"/>
        <w:rPr>
          <w:sz w:val="20"/>
        </w:rPr>
      </w:pPr>
      <w:r>
        <w:rPr>
          <w:sz w:val="20"/>
        </w:rPr>
        <w:t xml:space="preserve">The </w:t>
      </w:r>
      <w:r w:rsidR="00586591">
        <w:rPr>
          <w:sz w:val="20"/>
        </w:rPr>
        <w:t>first amendment of the Core CCR fallback procedures</w:t>
      </w:r>
      <w:r>
        <w:rPr>
          <w:sz w:val="20"/>
        </w:rPr>
        <w:t xml:space="preserve"> was publicly consulted from </w:t>
      </w:r>
      <w:r w:rsidR="00586591">
        <w:rPr>
          <w:sz w:val="20"/>
        </w:rPr>
        <w:t>xx</w:t>
      </w:r>
      <w:r>
        <w:rPr>
          <w:sz w:val="20"/>
        </w:rPr>
        <w:t xml:space="preserve"> Ju</w:t>
      </w:r>
      <w:r w:rsidR="00586591">
        <w:rPr>
          <w:sz w:val="20"/>
        </w:rPr>
        <w:t>ly 2020</w:t>
      </w:r>
      <w:r>
        <w:rPr>
          <w:sz w:val="20"/>
        </w:rPr>
        <w:t xml:space="preserve"> until </w:t>
      </w:r>
      <w:r w:rsidR="00586591">
        <w:rPr>
          <w:sz w:val="20"/>
        </w:rPr>
        <w:t>xx</w:t>
      </w:r>
      <w:r>
        <w:rPr>
          <w:sz w:val="20"/>
        </w:rPr>
        <w:t xml:space="preserve"> </w:t>
      </w:r>
      <w:r w:rsidR="00586591">
        <w:rPr>
          <w:sz w:val="20"/>
        </w:rPr>
        <w:t>August</w:t>
      </w:r>
      <w:r>
        <w:rPr>
          <w:sz w:val="20"/>
        </w:rPr>
        <w:t xml:space="preserve"> 20</w:t>
      </w:r>
      <w:r w:rsidR="00586591">
        <w:rPr>
          <w:sz w:val="20"/>
        </w:rPr>
        <w:t>20</w:t>
      </w:r>
      <w:r>
        <w:rPr>
          <w:sz w:val="20"/>
        </w:rPr>
        <w:t xml:space="preserve"> in accordance with article </w:t>
      </w:r>
      <w:r w:rsidR="00586591">
        <w:rPr>
          <w:sz w:val="20"/>
        </w:rPr>
        <w:t>12</w:t>
      </w:r>
      <w:r>
        <w:rPr>
          <w:sz w:val="20"/>
        </w:rPr>
        <w:t xml:space="preserve"> of the </w:t>
      </w:r>
      <w:r w:rsidR="00586591">
        <w:rPr>
          <w:sz w:val="20"/>
        </w:rPr>
        <w:t>CACM</w:t>
      </w:r>
      <w:r w:rsidRPr="00AB19BB">
        <w:rPr>
          <w:sz w:val="20"/>
        </w:rPr>
        <w:t xml:space="preserve"> </w:t>
      </w:r>
      <w:r w:rsidR="00AB19BB">
        <w:rPr>
          <w:sz w:val="20"/>
        </w:rPr>
        <w:t>Regulation;</w:t>
      </w:r>
    </w:p>
    <w:p w14:paraId="4954B27A" w14:textId="77777777" w:rsidR="00AB19BB" w:rsidRPr="00AB19BB" w:rsidRDefault="00AB19BB" w:rsidP="00AB19BB">
      <w:pPr>
        <w:pStyle w:val="ListParagraph"/>
        <w:numPr>
          <w:ilvl w:val="0"/>
          <w:numId w:val="4"/>
        </w:numPr>
        <w:tabs>
          <w:tab w:val="left" w:pos="707"/>
        </w:tabs>
        <w:spacing w:before="205" w:line="312" w:lineRule="auto"/>
        <w:ind w:right="137"/>
        <w:rPr>
          <w:sz w:val="20"/>
        </w:rPr>
      </w:pPr>
      <w:r w:rsidRPr="00AB19BB">
        <w:rPr>
          <w:sz w:val="20"/>
        </w:rPr>
        <w:t xml:space="preserve">This </w:t>
      </w:r>
      <w:r>
        <w:rPr>
          <w:sz w:val="20"/>
        </w:rPr>
        <w:t>first</w:t>
      </w:r>
      <w:r w:rsidRPr="00AB19BB">
        <w:rPr>
          <w:sz w:val="20"/>
        </w:rPr>
        <w:t xml:space="preserve"> amendment to the </w:t>
      </w:r>
      <w:r>
        <w:rPr>
          <w:sz w:val="20"/>
        </w:rPr>
        <w:t xml:space="preserve">Core CCR fallback procedures </w:t>
      </w:r>
      <w:r w:rsidRPr="00AB19BB">
        <w:rPr>
          <w:sz w:val="20"/>
        </w:rPr>
        <w:t xml:space="preserve">does not change the impact of the previously approved </w:t>
      </w:r>
      <w:r>
        <w:rPr>
          <w:sz w:val="20"/>
        </w:rPr>
        <w:t xml:space="preserve">Core CCR fallback procedures </w:t>
      </w:r>
      <w:r w:rsidRPr="00AB19BB">
        <w:rPr>
          <w:sz w:val="20"/>
        </w:rPr>
        <w:t xml:space="preserve">on the objectives of the </w:t>
      </w:r>
      <w:r>
        <w:rPr>
          <w:sz w:val="20"/>
        </w:rPr>
        <w:t>CACM</w:t>
      </w:r>
      <w:r w:rsidRPr="00AB19BB">
        <w:rPr>
          <w:sz w:val="20"/>
        </w:rPr>
        <w:t xml:space="preserve"> Regulation. The evaluation of the impact on the objectives of the </w:t>
      </w:r>
      <w:r>
        <w:rPr>
          <w:sz w:val="20"/>
        </w:rPr>
        <w:t>CACM</w:t>
      </w:r>
      <w:r w:rsidRPr="00AB19BB">
        <w:rPr>
          <w:sz w:val="20"/>
        </w:rPr>
        <w:t xml:space="preserve"> Regulation contained in the already approved </w:t>
      </w:r>
      <w:r>
        <w:rPr>
          <w:sz w:val="20"/>
        </w:rPr>
        <w:t xml:space="preserve">Core CCR fallback procedures </w:t>
      </w:r>
      <w:r w:rsidRPr="00AB19BB">
        <w:rPr>
          <w:sz w:val="20"/>
        </w:rPr>
        <w:t>is therefor</w:t>
      </w:r>
      <w:r>
        <w:rPr>
          <w:sz w:val="20"/>
        </w:rPr>
        <w:t>e also valid for this amendment;</w:t>
      </w:r>
    </w:p>
    <w:p w14:paraId="514FD0A8" w14:textId="77777777" w:rsidR="00AB19BB" w:rsidRDefault="00AB19BB" w:rsidP="00AB19BB">
      <w:pPr>
        <w:pStyle w:val="ListParagraph"/>
        <w:tabs>
          <w:tab w:val="left" w:pos="707"/>
        </w:tabs>
        <w:spacing w:before="0" w:line="312" w:lineRule="auto"/>
        <w:ind w:firstLine="0"/>
        <w:rPr>
          <w:sz w:val="20"/>
        </w:rPr>
      </w:pPr>
    </w:p>
    <w:p w14:paraId="7E048ACE" w14:textId="77777777" w:rsidR="00C03819" w:rsidRDefault="00C03819">
      <w:pPr>
        <w:pStyle w:val="BodyText"/>
        <w:spacing w:before="2"/>
        <w:rPr>
          <w:sz w:val="26"/>
        </w:rPr>
      </w:pPr>
    </w:p>
    <w:p w14:paraId="0F4DEF82" w14:textId="77777777" w:rsidR="00C03819" w:rsidRDefault="00826C90">
      <w:pPr>
        <w:pStyle w:val="BodyText"/>
        <w:ind w:left="140"/>
      </w:pPr>
      <w:r>
        <w:t xml:space="preserve">developed the following </w:t>
      </w:r>
      <w:r w:rsidR="00586591">
        <w:t>first amendment of the Core CCR fallback procedures</w:t>
      </w:r>
      <w:r>
        <w:t>:</w:t>
      </w:r>
    </w:p>
    <w:p w14:paraId="3BEA0CA4" w14:textId="77777777" w:rsidR="00C03819" w:rsidRDefault="00C03819">
      <w:pPr>
        <w:sectPr w:rsidR="00C03819">
          <w:headerReference w:type="default" r:id="rId9"/>
          <w:footerReference w:type="default" r:id="rId10"/>
          <w:pgSz w:w="11900" w:h="16850"/>
          <w:pgMar w:top="920" w:right="1300" w:bottom="840" w:left="1300" w:header="711" w:footer="660" w:gutter="0"/>
          <w:cols w:space="720"/>
        </w:sectPr>
      </w:pPr>
    </w:p>
    <w:p w14:paraId="1CF3D52F" w14:textId="77777777" w:rsidR="00C03819" w:rsidRDefault="00C03819">
      <w:pPr>
        <w:pStyle w:val="BodyText"/>
      </w:pPr>
    </w:p>
    <w:p w14:paraId="51462B3D" w14:textId="77777777" w:rsidR="00C03819" w:rsidRDefault="00C03819">
      <w:pPr>
        <w:pStyle w:val="BodyText"/>
        <w:spacing w:before="10"/>
        <w:rPr>
          <w:sz w:val="16"/>
        </w:rPr>
      </w:pPr>
    </w:p>
    <w:p w14:paraId="0BF5A1B9" w14:textId="77777777" w:rsidR="00C03819" w:rsidRDefault="00826C90">
      <w:pPr>
        <w:pStyle w:val="Heading1"/>
        <w:spacing w:before="92"/>
      </w:pPr>
      <w:bookmarkStart w:id="1" w:name="_bookmark1"/>
      <w:bookmarkEnd w:id="1"/>
      <w:r>
        <w:rPr>
          <w:color w:val="56575A"/>
        </w:rPr>
        <w:t>Article 1</w:t>
      </w:r>
    </w:p>
    <w:p w14:paraId="6949F286" w14:textId="77777777" w:rsidR="00C03819" w:rsidRDefault="00AB19BB">
      <w:pPr>
        <w:spacing w:before="81"/>
        <w:ind w:left="2286" w:right="2143"/>
        <w:jc w:val="center"/>
        <w:rPr>
          <w:b/>
          <w:sz w:val="24"/>
        </w:rPr>
      </w:pPr>
      <w:r>
        <w:rPr>
          <w:b/>
          <w:color w:val="56575A"/>
          <w:sz w:val="24"/>
        </w:rPr>
        <w:t xml:space="preserve">Changes to the main body of the </w:t>
      </w:r>
      <w:r w:rsidRPr="00AB19BB">
        <w:rPr>
          <w:b/>
          <w:color w:val="56575A"/>
          <w:sz w:val="24"/>
        </w:rPr>
        <w:t>Core CCR fallback procedures</w:t>
      </w:r>
    </w:p>
    <w:p w14:paraId="54E9E0FC" w14:textId="59A42193" w:rsidR="00C03819" w:rsidRPr="00260542" w:rsidRDefault="74739D1E" w:rsidP="00F42A73">
      <w:pPr>
        <w:tabs>
          <w:tab w:val="left" w:pos="501"/>
        </w:tabs>
        <w:spacing w:before="202" w:line="312" w:lineRule="auto"/>
        <w:ind w:left="140" w:right="132"/>
        <w:rPr>
          <w:sz w:val="20"/>
          <w:szCs w:val="20"/>
        </w:rPr>
      </w:pPr>
      <w:r w:rsidRPr="00260542">
        <w:rPr>
          <w:sz w:val="20"/>
          <w:szCs w:val="20"/>
        </w:rPr>
        <w:t xml:space="preserve">In Article 4(5) of the Core CCR fallback procedures the phrase “13:50 CET” is to be replaced by “14:00 CET” and be read accordingly:  </w:t>
      </w:r>
    </w:p>
    <w:p w14:paraId="2B690960" w14:textId="52201A72" w:rsidR="00C03819" w:rsidRDefault="00AB19BB" w:rsidP="006022AC">
      <w:pPr>
        <w:pStyle w:val="BodyText"/>
        <w:ind w:left="1440" w:hanging="720"/>
        <w:jc w:val="both"/>
      </w:pPr>
      <w:r w:rsidRPr="006022AC">
        <w:t>“</w:t>
      </w:r>
      <w:r w:rsidR="00145C9A">
        <w:t>5</w:t>
      </w:r>
      <w:r w:rsidRPr="006022AC">
        <w:t xml:space="preserve">. </w:t>
      </w:r>
      <w:r w:rsidRPr="006022AC">
        <w:tab/>
        <w:t>The respective allocation platform operator shall publish on the allocation platform’s website the shadow auction results as soon as the day</w:t>
      </w:r>
      <w:r w:rsidRPr="006022AC">
        <w:rPr>
          <w:rFonts w:ascii="Cambria Math" w:hAnsi="Cambria Math" w:cs="Cambria Math"/>
        </w:rPr>
        <w:t>‐</w:t>
      </w:r>
      <w:r w:rsidRPr="006022AC">
        <w:t xml:space="preserve">ahead decoupling is finally declared by the MCOs, but no later than at </w:t>
      </w:r>
      <w:r w:rsidR="006022AC" w:rsidRPr="006022AC">
        <w:t>14</w:t>
      </w:r>
      <w:r w:rsidRPr="006022AC">
        <w:t>:</w:t>
      </w:r>
      <w:r w:rsidR="006022AC" w:rsidRPr="006022AC">
        <w:t>00</w:t>
      </w:r>
      <w:r w:rsidRPr="006022AC">
        <w:t xml:space="preserve"> CET on the day preceding delivery.”</w:t>
      </w:r>
    </w:p>
    <w:p w14:paraId="77997BF1" w14:textId="77777777" w:rsidR="006022AC" w:rsidRDefault="006022AC" w:rsidP="00AB19BB">
      <w:pPr>
        <w:pStyle w:val="BodyText"/>
        <w:ind w:left="1440" w:hanging="720"/>
      </w:pPr>
    </w:p>
    <w:p w14:paraId="5634C51C" w14:textId="77777777" w:rsidR="006022AC" w:rsidRPr="006022AC" w:rsidRDefault="006022AC" w:rsidP="00AB19BB">
      <w:pPr>
        <w:pStyle w:val="BodyText"/>
        <w:ind w:left="1440" w:hanging="720"/>
      </w:pPr>
    </w:p>
    <w:p w14:paraId="417AA70D" w14:textId="77777777" w:rsidR="006022AC" w:rsidRDefault="00826C90">
      <w:pPr>
        <w:pStyle w:val="Heading1"/>
        <w:spacing w:line="312" w:lineRule="auto"/>
        <w:ind w:left="3047" w:right="2886" w:firstLine="1200"/>
        <w:jc w:val="left"/>
        <w:rPr>
          <w:color w:val="56575A"/>
        </w:rPr>
      </w:pPr>
      <w:bookmarkStart w:id="2" w:name="_bookmark2"/>
      <w:bookmarkEnd w:id="2"/>
      <w:r>
        <w:rPr>
          <w:color w:val="56575A"/>
        </w:rPr>
        <w:t xml:space="preserve">Article 2 </w:t>
      </w:r>
    </w:p>
    <w:p w14:paraId="19677C6F" w14:textId="77777777" w:rsidR="00C03819" w:rsidRPr="006022AC" w:rsidRDefault="006022AC" w:rsidP="006022AC">
      <w:pPr>
        <w:spacing w:before="81"/>
        <w:ind w:left="2286" w:right="2143"/>
        <w:jc w:val="center"/>
        <w:rPr>
          <w:b/>
          <w:color w:val="56575A"/>
          <w:sz w:val="24"/>
        </w:rPr>
      </w:pPr>
      <w:r w:rsidRPr="006022AC">
        <w:rPr>
          <w:b/>
          <w:color w:val="56575A"/>
          <w:sz w:val="24"/>
        </w:rPr>
        <w:t xml:space="preserve">Changes to the </w:t>
      </w:r>
      <w:r>
        <w:rPr>
          <w:b/>
          <w:color w:val="56575A"/>
          <w:sz w:val="24"/>
        </w:rPr>
        <w:t>annex of</w:t>
      </w:r>
      <w:r w:rsidRPr="006022AC">
        <w:rPr>
          <w:b/>
          <w:color w:val="56575A"/>
          <w:sz w:val="24"/>
        </w:rPr>
        <w:t xml:space="preserve"> the Core CCR fallback procedures</w:t>
      </w:r>
    </w:p>
    <w:p w14:paraId="321D7894" w14:textId="77777777" w:rsidR="00C03819" w:rsidRPr="0043296F" w:rsidRDefault="006022AC" w:rsidP="0043296F">
      <w:pPr>
        <w:tabs>
          <w:tab w:val="left" w:pos="501"/>
        </w:tabs>
        <w:spacing w:before="202" w:line="312" w:lineRule="auto"/>
        <w:ind w:left="140" w:right="132"/>
        <w:rPr>
          <w:sz w:val="20"/>
          <w:szCs w:val="20"/>
        </w:rPr>
      </w:pPr>
      <w:r w:rsidRPr="0043296F">
        <w:rPr>
          <w:sz w:val="20"/>
          <w:szCs w:val="20"/>
        </w:rPr>
        <w:t>The Regional Shadow Allocation Rules annexed to the present Core CCR fallback procedures shall be replaced by the Regional Shadow Allocation Rules attached to this first amendment of the Core CCR fallback procedures</w:t>
      </w:r>
      <w:r w:rsidR="00826C90" w:rsidRPr="0043296F">
        <w:rPr>
          <w:sz w:val="20"/>
          <w:szCs w:val="20"/>
        </w:rPr>
        <w:t>.</w:t>
      </w:r>
    </w:p>
    <w:p w14:paraId="2FA79FD5" w14:textId="77777777" w:rsidR="00C03819" w:rsidRDefault="00C03819">
      <w:pPr>
        <w:pStyle w:val="BodyText"/>
        <w:spacing w:before="8"/>
      </w:pPr>
    </w:p>
    <w:p w14:paraId="4CAB6E98" w14:textId="77777777" w:rsidR="00C03819" w:rsidRPr="006022AC" w:rsidRDefault="00826C90" w:rsidP="006022AC">
      <w:pPr>
        <w:spacing w:before="81"/>
        <w:ind w:left="2286" w:right="2143"/>
        <w:jc w:val="center"/>
        <w:rPr>
          <w:b/>
          <w:color w:val="56575A"/>
          <w:sz w:val="24"/>
        </w:rPr>
      </w:pPr>
      <w:bookmarkStart w:id="3" w:name="_bookmark3"/>
      <w:bookmarkEnd w:id="3"/>
      <w:r w:rsidRPr="006022AC">
        <w:rPr>
          <w:b/>
          <w:color w:val="56575A"/>
          <w:sz w:val="24"/>
        </w:rPr>
        <w:t>Article 3</w:t>
      </w:r>
    </w:p>
    <w:p w14:paraId="67BE8A3E" w14:textId="77777777" w:rsidR="006022AC" w:rsidRDefault="006022AC" w:rsidP="006022AC">
      <w:pPr>
        <w:spacing w:before="81"/>
        <w:ind w:left="2286" w:right="2143"/>
        <w:jc w:val="center"/>
        <w:rPr>
          <w:b/>
          <w:color w:val="56575A"/>
          <w:sz w:val="24"/>
        </w:rPr>
      </w:pPr>
      <w:r w:rsidRPr="006022AC">
        <w:rPr>
          <w:b/>
          <w:color w:val="56575A"/>
          <w:sz w:val="24"/>
        </w:rPr>
        <w:t>Publication and implementation of the fallback procedures</w:t>
      </w:r>
    </w:p>
    <w:p w14:paraId="13CA623D" w14:textId="77777777" w:rsidR="009D54E0" w:rsidRPr="0043296F" w:rsidRDefault="0043296F" w:rsidP="0043296F">
      <w:pPr>
        <w:pStyle w:val="ListParagraph"/>
        <w:numPr>
          <w:ilvl w:val="0"/>
          <w:numId w:val="6"/>
        </w:numPr>
        <w:tabs>
          <w:tab w:val="left" w:pos="501"/>
        </w:tabs>
        <w:spacing w:before="202" w:line="312" w:lineRule="auto"/>
        <w:ind w:right="132"/>
        <w:rPr>
          <w:sz w:val="20"/>
          <w:szCs w:val="20"/>
        </w:rPr>
      </w:pPr>
      <w:r>
        <w:rPr>
          <w:sz w:val="20"/>
          <w:szCs w:val="20"/>
        </w:rPr>
        <w:t>The Core TSOs shall publish this</w:t>
      </w:r>
      <w:r w:rsidR="009D54E0" w:rsidRPr="0043296F">
        <w:rPr>
          <w:sz w:val="20"/>
          <w:szCs w:val="20"/>
        </w:rPr>
        <w:t xml:space="preserve"> </w:t>
      </w:r>
      <w:r>
        <w:rPr>
          <w:sz w:val="20"/>
          <w:szCs w:val="20"/>
        </w:rPr>
        <w:t xml:space="preserve">first amendment to the </w:t>
      </w:r>
      <w:r w:rsidR="009D54E0" w:rsidRPr="0043296F">
        <w:rPr>
          <w:sz w:val="20"/>
          <w:szCs w:val="20"/>
        </w:rPr>
        <w:t xml:space="preserve">Core CCR fallback procedures without undue delay after the decision has been taken by </w:t>
      </w:r>
      <w:r w:rsidRPr="0043296F">
        <w:rPr>
          <w:sz w:val="20"/>
          <w:szCs w:val="20"/>
        </w:rPr>
        <w:t>relevant national regulatory authorities in accordance with Article 9(8) of the CACM Regulation</w:t>
      </w:r>
      <w:r w:rsidR="009D54E0" w:rsidRPr="0043296F">
        <w:rPr>
          <w:sz w:val="20"/>
          <w:szCs w:val="20"/>
        </w:rPr>
        <w:t>.</w:t>
      </w:r>
    </w:p>
    <w:p w14:paraId="49E043E5" w14:textId="61668DF3" w:rsidR="00C05434" w:rsidRDefault="0043296F" w:rsidP="0043296F">
      <w:pPr>
        <w:pStyle w:val="ListParagraph"/>
        <w:numPr>
          <w:ilvl w:val="0"/>
          <w:numId w:val="6"/>
        </w:numPr>
        <w:tabs>
          <w:tab w:val="left" w:pos="501"/>
        </w:tabs>
        <w:spacing w:before="202" w:line="312" w:lineRule="auto"/>
        <w:ind w:right="132"/>
        <w:rPr>
          <w:sz w:val="20"/>
          <w:szCs w:val="20"/>
        </w:rPr>
      </w:pPr>
      <w:r>
        <w:rPr>
          <w:sz w:val="20"/>
          <w:szCs w:val="20"/>
        </w:rPr>
        <w:t>This</w:t>
      </w:r>
      <w:r w:rsidR="009D54E0" w:rsidRPr="0043296F">
        <w:rPr>
          <w:sz w:val="20"/>
          <w:szCs w:val="20"/>
        </w:rPr>
        <w:t xml:space="preserve"> </w:t>
      </w:r>
      <w:r>
        <w:rPr>
          <w:sz w:val="20"/>
          <w:szCs w:val="20"/>
        </w:rPr>
        <w:t xml:space="preserve">first amendment to the </w:t>
      </w:r>
      <w:r w:rsidRPr="0043296F">
        <w:rPr>
          <w:sz w:val="20"/>
          <w:szCs w:val="20"/>
        </w:rPr>
        <w:t xml:space="preserve">Core CCR fallback procedures </w:t>
      </w:r>
      <w:r w:rsidR="009D54E0" w:rsidRPr="0043296F">
        <w:rPr>
          <w:sz w:val="20"/>
          <w:szCs w:val="20"/>
        </w:rPr>
        <w:t xml:space="preserve">shall be </w:t>
      </w:r>
      <w:r w:rsidR="00173B74">
        <w:rPr>
          <w:sz w:val="20"/>
          <w:szCs w:val="20"/>
        </w:rPr>
        <w:t>applied</w:t>
      </w:r>
      <w:r w:rsidR="009D54E0" w:rsidRPr="0043296F">
        <w:rPr>
          <w:sz w:val="20"/>
          <w:szCs w:val="20"/>
        </w:rPr>
        <w:t xml:space="preserve"> as of </w:t>
      </w:r>
      <w:r w:rsidR="00B63ABC">
        <w:rPr>
          <w:sz w:val="20"/>
          <w:szCs w:val="20"/>
        </w:rPr>
        <w:t xml:space="preserve">the go-live of the amended </w:t>
      </w:r>
      <w:r w:rsidR="00145C9A">
        <w:rPr>
          <w:sz w:val="20"/>
          <w:szCs w:val="20"/>
        </w:rPr>
        <w:t>S</w:t>
      </w:r>
      <w:r w:rsidR="00173B74">
        <w:rPr>
          <w:sz w:val="20"/>
          <w:szCs w:val="20"/>
        </w:rPr>
        <w:t xml:space="preserve">ingle </w:t>
      </w:r>
      <w:r w:rsidR="00145C9A">
        <w:rPr>
          <w:sz w:val="20"/>
          <w:szCs w:val="20"/>
        </w:rPr>
        <w:t>D</w:t>
      </w:r>
      <w:r w:rsidR="00173B74">
        <w:rPr>
          <w:sz w:val="20"/>
          <w:szCs w:val="20"/>
        </w:rPr>
        <w:t>ay-</w:t>
      </w:r>
      <w:r w:rsidR="00145C9A">
        <w:rPr>
          <w:sz w:val="20"/>
          <w:szCs w:val="20"/>
        </w:rPr>
        <w:t>A</w:t>
      </w:r>
      <w:r w:rsidR="00173B74">
        <w:rPr>
          <w:sz w:val="20"/>
          <w:szCs w:val="20"/>
        </w:rPr>
        <w:t xml:space="preserve">head </w:t>
      </w:r>
      <w:r w:rsidR="00145C9A">
        <w:rPr>
          <w:sz w:val="20"/>
          <w:szCs w:val="20"/>
        </w:rPr>
        <w:t>C</w:t>
      </w:r>
      <w:r w:rsidR="00173B74">
        <w:rPr>
          <w:sz w:val="20"/>
          <w:szCs w:val="20"/>
        </w:rPr>
        <w:t xml:space="preserve">oupling </w:t>
      </w:r>
      <w:r w:rsidR="00145C9A">
        <w:rPr>
          <w:sz w:val="20"/>
          <w:szCs w:val="20"/>
        </w:rPr>
        <w:t xml:space="preserve">(SDAC) </w:t>
      </w:r>
      <w:r w:rsidR="00B63ABC">
        <w:rPr>
          <w:sz w:val="20"/>
          <w:szCs w:val="20"/>
        </w:rPr>
        <w:t>operational timings</w:t>
      </w:r>
      <w:r w:rsidR="00145C9A">
        <w:rPr>
          <w:sz w:val="20"/>
          <w:szCs w:val="20"/>
        </w:rPr>
        <w:t>.</w:t>
      </w:r>
      <w:r w:rsidR="00B63ABC">
        <w:rPr>
          <w:sz w:val="20"/>
          <w:szCs w:val="20"/>
        </w:rPr>
        <w:t xml:space="preserve"> </w:t>
      </w:r>
      <w:r w:rsidR="00C05434">
        <w:rPr>
          <w:sz w:val="20"/>
          <w:szCs w:val="20"/>
        </w:rPr>
        <w:t>The start of the application of the new</w:t>
      </w:r>
      <w:r w:rsidR="00145C9A">
        <w:rPr>
          <w:sz w:val="20"/>
          <w:szCs w:val="20"/>
        </w:rPr>
        <w:t xml:space="preserve"> SDAC</w:t>
      </w:r>
      <w:r w:rsidR="00C05434">
        <w:rPr>
          <w:sz w:val="20"/>
          <w:szCs w:val="20"/>
        </w:rPr>
        <w:t xml:space="preserve"> operational timings will be published on the website of the allocation platform operator 30 calendar days before application.</w:t>
      </w:r>
    </w:p>
    <w:p w14:paraId="444D5438" w14:textId="77777777" w:rsidR="009D54E0" w:rsidRPr="0043296F" w:rsidRDefault="009D54E0" w:rsidP="0043296F">
      <w:pPr>
        <w:pStyle w:val="ListParagraph"/>
        <w:numPr>
          <w:ilvl w:val="0"/>
          <w:numId w:val="6"/>
        </w:numPr>
        <w:tabs>
          <w:tab w:val="left" w:pos="501"/>
        </w:tabs>
        <w:spacing w:before="202" w:line="312" w:lineRule="auto"/>
        <w:ind w:right="132"/>
        <w:rPr>
          <w:sz w:val="20"/>
          <w:szCs w:val="20"/>
        </w:rPr>
      </w:pPr>
      <w:r w:rsidRPr="0043296F">
        <w:rPr>
          <w:sz w:val="20"/>
          <w:szCs w:val="20"/>
        </w:rPr>
        <w:t>The annexed shadow allocation rules shall be published on the concerned Core TSOs’ websites and on the website of the allocation platform operator</w:t>
      </w:r>
      <w:r w:rsidR="0043296F" w:rsidRPr="0043296F">
        <w:t xml:space="preserve"> </w:t>
      </w:r>
      <w:r w:rsidR="0043296F" w:rsidRPr="0043296F">
        <w:rPr>
          <w:sz w:val="20"/>
          <w:szCs w:val="20"/>
        </w:rPr>
        <w:t>without undue delay after the decision has been taken by relevant national regulatory authorities in accordance with Article 9(8) of the CACM Regulation</w:t>
      </w:r>
      <w:r w:rsidRPr="0043296F">
        <w:rPr>
          <w:sz w:val="20"/>
          <w:szCs w:val="20"/>
        </w:rPr>
        <w:t>.</w:t>
      </w:r>
    </w:p>
    <w:p w14:paraId="65A4CED8" w14:textId="77777777" w:rsidR="009D54E0" w:rsidRDefault="009D54E0" w:rsidP="009D54E0">
      <w:pPr>
        <w:spacing w:before="81"/>
        <w:ind w:left="2286" w:right="2143"/>
        <w:jc w:val="center"/>
        <w:rPr>
          <w:b/>
          <w:color w:val="56575A"/>
          <w:sz w:val="24"/>
        </w:rPr>
      </w:pPr>
    </w:p>
    <w:p w14:paraId="7EA020E3" w14:textId="77777777" w:rsidR="009D54E0" w:rsidRPr="006022AC" w:rsidRDefault="009D54E0" w:rsidP="009D54E0">
      <w:pPr>
        <w:spacing w:before="81"/>
        <w:ind w:left="2286" w:right="2143"/>
        <w:jc w:val="center"/>
        <w:rPr>
          <w:b/>
          <w:color w:val="56575A"/>
          <w:sz w:val="24"/>
        </w:rPr>
      </w:pPr>
      <w:r w:rsidRPr="006022AC">
        <w:rPr>
          <w:b/>
          <w:color w:val="56575A"/>
          <w:sz w:val="24"/>
        </w:rPr>
        <w:t xml:space="preserve">Article </w:t>
      </w:r>
      <w:r>
        <w:rPr>
          <w:b/>
          <w:color w:val="56575A"/>
          <w:sz w:val="24"/>
        </w:rPr>
        <w:t>4</w:t>
      </w:r>
    </w:p>
    <w:p w14:paraId="601A9E4C" w14:textId="77777777" w:rsidR="009D54E0" w:rsidRDefault="009D54E0" w:rsidP="009D54E0">
      <w:pPr>
        <w:spacing w:before="81"/>
        <w:ind w:left="2286" w:right="2143"/>
        <w:jc w:val="center"/>
        <w:rPr>
          <w:b/>
          <w:color w:val="56575A"/>
          <w:sz w:val="24"/>
        </w:rPr>
      </w:pPr>
      <w:r>
        <w:rPr>
          <w:b/>
          <w:color w:val="56575A"/>
          <w:sz w:val="24"/>
        </w:rPr>
        <w:t>Entry into force</w:t>
      </w:r>
    </w:p>
    <w:p w14:paraId="7837B0EF" w14:textId="77777777" w:rsidR="009D54E0" w:rsidRPr="0043296F" w:rsidRDefault="009D54E0" w:rsidP="0043296F">
      <w:pPr>
        <w:tabs>
          <w:tab w:val="left" w:pos="501"/>
        </w:tabs>
        <w:spacing w:before="202" w:line="312" w:lineRule="auto"/>
        <w:ind w:left="140" w:right="132"/>
        <w:rPr>
          <w:sz w:val="20"/>
          <w:szCs w:val="20"/>
        </w:rPr>
      </w:pPr>
      <w:r w:rsidRPr="0043296F">
        <w:rPr>
          <w:sz w:val="20"/>
          <w:szCs w:val="20"/>
        </w:rPr>
        <w:t>This first amendment of the Core TSOs fallback procedures shall enter into force with the approval by the relevant national regulatory authorities in accordance with Article 9(8) of the CACM Regulation.</w:t>
      </w:r>
    </w:p>
    <w:p w14:paraId="0B8BAD2D" w14:textId="77777777" w:rsidR="00C03819" w:rsidRDefault="00C03819">
      <w:pPr>
        <w:pStyle w:val="BodyText"/>
        <w:spacing w:before="8"/>
      </w:pPr>
    </w:p>
    <w:sectPr w:rsidR="00C03819">
      <w:pgSz w:w="11900" w:h="16850"/>
      <w:pgMar w:top="920" w:right="1300" w:bottom="840" w:left="1300" w:header="711"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082F6" w14:textId="77777777" w:rsidR="0054218C" w:rsidRDefault="0054218C">
      <w:r>
        <w:separator/>
      </w:r>
    </w:p>
  </w:endnote>
  <w:endnote w:type="continuationSeparator" w:id="0">
    <w:p w14:paraId="698B84DC" w14:textId="77777777" w:rsidR="0054218C" w:rsidRDefault="0054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F68B3" w14:textId="77777777" w:rsidR="00C03819" w:rsidRDefault="00A2787D">
    <w:pPr>
      <w:pStyle w:val="BodyText"/>
      <w:spacing w:line="14" w:lineRule="auto"/>
    </w:pPr>
    <w:r>
      <w:rPr>
        <w:noProof/>
        <w:lang w:val="de-DE" w:eastAsia="de-DE"/>
      </w:rPr>
      <mc:AlternateContent>
        <mc:Choice Requires="wps">
          <w:drawing>
            <wp:anchor distT="0" distB="0" distL="114300" distR="114300" simplePos="0" relativeHeight="503309408" behindDoc="1" locked="0" layoutInCell="1" allowOverlap="1" wp14:anchorId="6BD1F613" wp14:editId="70DA28A4">
              <wp:simplePos x="0" y="0"/>
              <wp:positionH relativeFrom="page">
                <wp:posOffset>896620</wp:posOffset>
              </wp:positionH>
              <wp:positionV relativeFrom="page">
                <wp:posOffset>10113010</wp:posOffset>
              </wp:positionV>
              <wp:extent cx="5764530" cy="0"/>
              <wp:effectExtent l="10795" t="6985" r="635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096">
                        <a:solidFill>
                          <a:srgbClr val="A6A6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C6373" id="Line 2" o:spid="_x0000_s1026" style="position:absolute;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96.3pt" to="524.5pt,7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" strokecolor="#a6a6a6" strokeweight=".48pt">
              <w10:wrap anchorx="page" anchory="page"/>
            </v:line>
          </w:pict>
        </mc:Fallback>
      </mc:AlternateContent>
    </w:r>
    <w:r>
      <w:rPr>
        <w:noProof/>
        <w:lang w:val="de-DE" w:eastAsia="de-DE"/>
      </w:rPr>
      <mc:AlternateContent>
        <mc:Choice Requires="wps">
          <w:drawing>
            <wp:anchor distT="0" distB="0" distL="114300" distR="114300" simplePos="0" relativeHeight="503309432" behindDoc="1" locked="0" layoutInCell="1" allowOverlap="1" wp14:anchorId="7C561196" wp14:editId="0CEDAAFF">
              <wp:simplePos x="0" y="0"/>
              <wp:positionH relativeFrom="page">
                <wp:posOffset>6110605</wp:posOffset>
              </wp:positionH>
              <wp:positionV relativeFrom="page">
                <wp:posOffset>10118090</wp:posOffset>
              </wp:positionV>
              <wp:extent cx="547370" cy="139700"/>
              <wp:effectExtent l="0" t="254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D9A0F" w14:textId="0BCC8F95" w:rsidR="00C03819" w:rsidRDefault="00826C90">
                          <w:pPr>
                            <w:spacing w:before="15"/>
                            <w:ind w:left="20"/>
                            <w:rPr>
                              <w:sz w:val="16"/>
                            </w:rPr>
                          </w:pPr>
                          <w:r>
                            <w:rPr>
                              <w:color w:val="808080"/>
                              <w:sz w:val="16"/>
                            </w:rPr>
                            <w:t xml:space="preserve">Page </w:t>
                          </w:r>
                          <w:r>
                            <w:fldChar w:fldCharType="begin"/>
                          </w:r>
                          <w:r>
                            <w:rPr>
                              <w:color w:val="808080"/>
                              <w:sz w:val="16"/>
                            </w:rPr>
                            <w:instrText xml:space="preserve"> PAGE </w:instrText>
                          </w:r>
                          <w:r>
                            <w:fldChar w:fldCharType="separate"/>
                          </w:r>
                          <w:r w:rsidR="00C05434">
                            <w:rPr>
                              <w:noProof/>
                              <w:color w:val="808080"/>
                              <w:sz w:val="16"/>
                            </w:rPr>
                            <w:t>2</w:t>
                          </w:r>
                          <w:r>
                            <w:fldChar w:fldCharType="end"/>
                          </w:r>
                          <w:r>
                            <w:rPr>
                              <w:color w:val="808080"/>
                              <w:sz w:val="16"/>
                            </w:rPr>
                            <w:t xml:space="preserve"> of </w:t>
                          </w:r>
                          <w:r w:rsidR="0043296F">
                            <w:rPr>
                              <w:color w:val="808080"/>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61196" id="_x0000_t202" coordsize="21600,21600" o:spt="202" path="m,l,21600r21600,l21600,xe">
              <v:stroke joinstyle="miter"/>
              <v:path gradientshapeok="t" o:connecttype="rect"/>
            </v:shapetype>
            <v:shape id="Text Box 1" o:spid="_x0000_s1028" type="#_x0000_t202" style="position:absolute;margin-left:481.15pt;margin-top:796.7pt;width:43.1pt;height:11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3t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" filled="f" stroked="f">
              <v:textbox inset="0,0,0,0">
                <w:txbxContent>
                  <w:p w14:paraId="370D9A0F" w14:textId="0BCC8F95" w:rsidR="00C03819" w:rsidRDefault="00826C90">
                    <w:pPr>
                      <w:spacing w:before="15"/>
                      <w:ind w:left="20"/>
                      <w:rPr>
                        <w:sz w:val="16"/>
                      </w:rPr>
                    </w:pPr>
                    <w:r>
                      <w:rPr>
                        <w:color w:val="808080"/>
                        <w:sz w:val="16"/>
                      </w:rPr>
                      <w:t xml:space="preserve">Page </w:t>
                    </w:r>
                    <w:r>
                      <w:fldChar w:fldCharType="begin"/>
                    </w:r>
                    <w:r>
                      <w:rPr>
                        <w:color w:val="808080"/>
                        <w:sz w:val="16"/>
                      </w:rPr>
                      <w:instrText xml:space="preserve"> PAGE </w:instrText>
                    </w:r>
                    <w:r>
                      <w:fldChar w:fldCharType="separate"/>
                    </w:r>
                    <w:r w:rsidR="00C05434">
                      <w:rPr>
                        <w:noProof/>
                        <w:color w:val="808080"/>
                        <w:sz w:val="16"/>
                      </w:rPr>
                      <w:t>2</w:t>
                    </w:r>
                    <w:r>
                      <w:fldChar w:fldCharType="end"/>
                    </w:r>
                    <w:r>
                      <w:rPr>
                        <w:color w:val="808080"/>
                        <w:sz w:val="16"/>
                      </w:rPr>
                      <w:t xml:space="preserve"> of </w:t>
                    </w:r>
                    <w:r w:rsidR="0043296F">
                      <w:rPr>
                        <w:color w:val="808080"/>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CC83D" w14:textId="77777777" w:rsidR="0054218C" w:rsidRDefault="0054218C">
      <w:r>
        <w:separator/>
      </w:r>
    </w:p>
  </w:footnote>
  <w:footnote w:type="continuationSeparator" w:id="0">
    <w:p w14:paraId="3BC541C9" w14:textId="77777777" w:rsidR="0054218C" w:rsidRDefault="0054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45AD3" w14:textId="77777777" w:rsidR="00C03819" w:rsidRDefault="0042256F">
    <w:pPr>
      <w:pStyle w:val="BodyText"/>
      <w:spacing w:line="14" w:lineRule="auto"/>
    </w:pPr>
    <w:r>
      <w:rPr>
        <w:noProof/>
        <w:lang w:val="de-DE" w:eastAsia="de-DE"/>
      </w:rPr>
      <mc:AlternateContent>
        <mc:Choice Requires="wps">
          <w:drawing>
            <wp:anchor distT="0" distB="0" distL="114300" distR="114300" simplePos="0" relativeHeight="503309360" behindDoc="1" locked="0" layoutInCell="1" allowOverlap="1" wp14:anchorId="6CB3ACC7" wp14:editId="43F84FFE">
              <wp:simplePos x="0" y="0"/>
              <wp:positionH relativeFrom="page">
                <wp:posOffset>904875</wp:posOffset>
              </wp:positionH>
              <wp:positionV relativeFrom="topMargin">
                <wp:align>bottom</wp:align>
              </wp:positionV>
              <wp:extent cx="3048000" cy="130175"/>
              <wp:effectExtent l="0" t="0" r="0" b="31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39B59" w14:textId="77777777" w:rsidR="00C03819" w:rsidRDefault="00826C90">
                          <w:pPr>
                            <w:spacing w:before="15"/>
                            <w:ind w:left="20"/>
                            <w:rPr>
                              <w:sz w:val="16"/>
                            </w:rPr>
                          </w:pPr>
                          <w:r>
                            <w:rPr>
                              <w:color w:val="808080"/>
                              <w:sz w:val="16"/>
                            </w:rPr>
                            <w:t xml:space="preserve">CORE TSOs’ </w:t>
                          </w:r>
                          <w:r w:rsidR="0042256F">
                            <w:rPr>
                              <w:color w:val="808080"/>
                              <w:sz w:val="16"/>
                            </w:rPr>
                            <w:t xml:space="preserve">FALLBACK </w:t>
                          </w:r>
                          <w:r>
                            <w:rPr>
                              <w:color w:val="808080"/>
                              <w:sz w:val="16"/>
                            </w:rPr>
                            <w:t>METHODOLOGY</w:t>
                          </w:r>
                          <w:r w:rsidR="0042256F">
                            <w:rPr>
                              <w:color w:val="808080"/>
                              <w:sz w:val="16"/>
                            </w:rPr>
                            <w:t xml:space="preserve"> – 1</w:t>
                          </w:r>
                          <w:r w:rsidR="0042256F" w:rsidRPr="0042256F">
                            <w:rPr>
                              <w:color w:val="808080"/>
                              <w:sz w:val="16"/>
                              <w:vertAlign w:val="superscript"/>
                            </w:rPr>
                            <w:t>st</w:t>
                          </w:r>
                          <w:r w:rsidR="0042256F">
                            <w:rPr>
                              <w:color w:val="808080"/>
                              <w:sz w:val="16"/>
                            </w:rPr>
                            <w:t xml:space="preserve"> amendment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3ACC7" id="_x0000_t202" coordsize="21600,21600" o:spt="202" path="m,l,21600r21600,l21600,xe">
              <v:stroke joinstyle="miter"/>
              <v:path gradientshapeok="t" o:connecttype="rect"/>
            </v:shapetype>
            <v:shape id="Text Box 4" o:spid="_x0000_s1026" type="#_x0000_t202" style="position:absolute;margin-left:71.25pt;margin-top:0;width:240pt;height:10.25pt;z-index:-712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" filled="f" stroked="f">
              <v:textbox inset="0,0,0,0">
                <w:txbxContent>
                  <w:p w14:paraId="4AA39B59" w14:textId="77777777" w:rsidR="00C03819" w:rsidRDefault="00826C90">
                    <w:pPr>
                      <w:spacing w:before="15"/>
                      <w:ind w:left="20"/>
                      <w:rPr>
                        <w:sz w:val="16"/>
                      </w:rPr>
                    </w:pPr>
                    <w:r>
                      <w:rPr>
                        <w:color w:val="808080"/>
                        <w:sz w:val="16"/>
                      </w:rPr>
                      <w:t xml:space="preserve">CORE TSOs’ </w:t>
                    </w:r>
                    <w:r w:rsidR="0042256F">
                      <w:rPr>
                        <w:color w:val="808080"/>
                        <w:sz w:val="16"/>
                      </w:rPr>
                      <w:t xml:space="preserve">FALLBACK </w:t>
                    </w:r>
                    <w:r>
                      <w:rPr>
                        <w:color w:val="808080"/>
                        <w:sz w:val="16"/>
                      </w:rPr>
                      <w:t>METHODOLOGY</w:t>
                    </w:r>
                    <w:r w:rsidR="0042256F">
                      <w:rPr>
                        <w:color w:val="808080"/>
                        <w:sz w:val="16"/>
                      </w:rPr>
                      <w:t xml:space="preserve"> – 1</w:t>
                    </w:r>
                    <w:r w:rsidR="0042256F" w:rsidRPr="0042256F">
                      <w:rPr>
                        <w:color w:val="808080"/>
                        <w:sz w:val="16"/>
                        <w:vertAlign w:val="superscript"/>
                      </w:rPr>
                      <w:t>st</w:t>
                    </w:r>
                    <w:r w:rsidR="0042256F">
                      <w:rPr>
                        <w:color w:val="808080"/>
                        <w:sz w:val="16"/>
                      </w:rPr>
                      <w:t xml:space="preserve"> amendment</w:t>
                    </w:r>
                  </w:p>
                </w:txbxContent>
              </v:textbox>
              <w10:wrap anchorx="page" anchory="margin"/>
            </v:shape>
          </w:pict>
        </mc:Fallback>
      </mc:AlternateContent>
    </w:r>
    <w:r w:rsidR="00A2787D">
      <w:rPr>
        <w:noProof/>
        <w:lang w:val="de-DE" w:eastAsia="de-DE"/>
      </w:rPr>
      <mc:AlternateContent>
        <mc:Choice Requires="wps">
          <w:drawing>
            <wp:anchor distT="0" distB="0" distL="114300" distR="114300" simplePos="0" relativeHeight="503309336" behindDoc="1" locked="0" layoutInCell="1" allowOverlap="1" wp14:anchorId="2821AD4C" wp14:editId="2F021746">
              <wp:simplePos x="0" y="0"/>
              <wp:positionH relativeFrom="page">
                <wp:posOffset>896620</wp:posOffset>
              </wp:positionH>
              <wp:positionV relativeFrom="page">
                <wp:posOffset>582295</wp:posOffset>
              </wp:positionV>
              <wp:extent cx="5764530" cy="0"/>
              <wp:effectExtent l="10795" t="10795" r="6350" b="825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6096">
                        <a:solidFill>
                          <a:srgbClr val="A6A6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68102" id="Line 5" o:spid="_x0000_s1026" style="position:absolute;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5.85pt" to="52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" strokecolor="#a6a6a6" strokeweight=".48pt">
              <w10:wrap anchorx="page" anchory="page"/>
            </v:line>
          </w:pict>
        </mc:Fallback>
      </mc:AlternateContent>
    </w:r>
    <w:r w:rsidR="00A2787D">
      <w:rPr>
        <w:noProof/>
        <w:lang w:val="de-DE" w:eastAsia="de-DE"/>
      </w:rPr>
      <mc:AlternateContent>
        <mc:Choice Requires="wps">
          <w:drawing>
            <wp:anchor distT="0" distB="0" distL="114300" distR="114300" simplePos="0" relativeHeight="503309384" behindDoc="1" locked="0" layoutInCell="1" allowOverlap="1" wp14:anchorId="7E43AA06" wp14:editId="04DEA0F8">
              <wp:simplePos x="0" y="0"/>
              <wp:positionH relativeFrom="page">
                <wp:posOffset>5918200</wp:posOffset>
              </wp:positionH>
              <wp:positionV relativeFrom="page">
                <wp:posOffset>438785</wp:posOffset>
              </wp:positionV>
              <wp:extent cx="739140" cy="139700"/>
              <wp:effectExtent l="3175" t="635" r="635"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553B2" w14:textId="77777777" w:rsidR="00C03819" w:rsidRDefault="0042256F">
                          <w:pPr>
                            <w:spacing w:before="15"/>
                            <w:ind w:left="20"/>
                            <w:rPr>
                              <w:sz w:val="16"/>
                            </w:rPr>
                          </w:pPr>
                          <w:r>
                            <w:rPr>
                              <w:color w:val="808080"/>
                              <w:sz w:val="16"/>
                            </w:rPr>
                            <w:t>xx</w:t>
                          </w:r>
                          <w:r w:rsidR="00A22F5A" w:rsidRPr="00CA13F3">
                            <w:rPr>
                              <w:color w:val="808080"/>
                              <w:sz w:val="16"/>
                            </w:rPr>
                            <w:t xml:space="preserve"> </w:t>
                          </w:r>
                          <w:r>
                            <w:rPr>
                              <w:color w:val="808080"/>
                              <w:sz w:val="16"/>
                            </w:rPr>
                            <w:t>July</w:t>
                          </w:r>
                          <w:r w:rsidR="00A22F5A" w:rsidRPr="00CA13F3">
                            <w:rPr>
                              <w:color w:val="808080"/>
                              <w:sz w:val="16"/>
                            </w:rPr>
                            <w:t xml:space="preserve"> </w:t>
                          </w:r>
                          <w:r w:rsidR="00564D5C" w:rsidRPr="00CA13F3">
                            <w:rPr>
                              <w:color w:val="808080"/>
                              <w:sz w:val="16"/>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3AA06" id="Text Box 3" o:spid="_x0000_s1027" type="#_x0000_t202" style="position:absolute;margin-left:466pt;margin-top:34.55pt;width:58.2pt;height:11pt;z-index:-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2ssQIAAK8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" filled="f" stroked="f">
              <v:textbox inset="0,0,0,0">
                <w:txbxContent>
                  <w:p w14:paraId="61C553B2" w14:textId="77777777" w:rsidR="00C03819" w:rsidRDefault="0042256F">
                    <w:pPr>
                      <w:spacing w:before="15"/>
                      <w:ind w:left="20"/>
                      <w:rPr>
                        <w:sz w:val="16"/>
                      </w:rPr>
                    </w:pPr>
                    <w:r>
                      <w:rPr>
                        <w:color w:val="808080"/>
                        <w:sz w:val="16"/>
                      </w:rPr>
                      <w:t>xx</w:t>
                    </w:r>
                    <w:r w:rsidR="00A22F5A" w:rsidRPr="00CA13F3">
                      <w:rPr>
                        <w:color w:val="808080"/>
                        <w:sz w:val="16"/>
                      </w:rPr>
                      <w:t xml:space="preserve"> </w:t>
                    </w:r>
                    <w:r>
                      <w:rPr>
                        <w:color w:val="808080"/>
                        <w:sz w:val="16"/>
                      </w:rPr>
                      <w:t>July</w:t>
                    </w:r>
                    <w:r w:rsidR="00A22F5A" w:rsidRPr="00CA13F3">
                      <w:rPr>
                        <w:color w:val="808080"/>
                        <w:sz w:val="16"/>
                      </w:rPr>
                      <w:t xml:space="preserve"> </w:t>
                    </w:r>
                    <w:r w:rsidR="00564D5C" w:rsidRPr="00CA13F3">
                      <w:rPr>
                        <w:color w:val="808080"/>
                        <w:sz w:val="16"/>
                      </w:rPr>
                      <w:t>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8564A"/>
    <w:multiLevelType w:val="hybridMultilevel"/>
    <w:tmpl w:val="22461F88"/>
    <w:lvl w:ilvl="0" w:tplc="00B0DDD2">
      <w:start w:val="1"/>
      <w:numFmt w:val="decimal"/>
      <w:lvlText w:val="%1."/>
      <w:lvlJc w:val="left"/>
      <w:pPr>
        <w:ind w:left="500" w:hanging="360"/>
      </w:pPr>
      <w:rPr>
        <w:rFonts w:ascii="Arial" w:eastAsia="Arial" w:hAnsi="Arial" w:cs="Arial" w:hint="default"/>
        <w:spacing w:val="-1"/>
        <w:w w:val="99"/>
        <w:sz w:val="20"/>
        <w:szCs w:val="20"/>
      </w:rPr>
    </w:lvl>
    <w:lvl w:ilvl="1" w:tplc="48A0A24A">
      <w:numFmt w:val="bullet"/>
      <w:lvlText w:val="•"/>
      <w:lvlJc w:val="left"/>
      <w:pPr>
        <w:ind w:left="1379" w:hanging="360"/>
      </w:pPr>
      <w:rPr>
        <w:rFonts w:hint="default"/>
      </w:rPr>
    </w:lvl>
    <w:lvl w:ilvl="2" w:tplc="687E2908">
      <w:numFmt w:val="bullet"/>
      <w:lvlText w:val="•"/>
      <w:lvlJc w:val="left"/>
      <w:pPr>
        <w:ind w:left="2259" w:hanging="360"/>
      </w:pPr>
      <w:rPr>
        <w:rFonts w:hint="default"/>
      </w:rPr>
    </w:lvl>
    <w:lvl w:ilvl="3" w:tplc="6A802046">
      <w:numFmt w:val="bullet"/>
      <w:lvlText w:val="•"/>
      <w:lvlJc w:val="left"/>
      <w:pPr>
        <w:ind w:left="3139" w:hanging="360"/>
      </w:pPr>
      <w:rPr>
        <w:rFonts w:hint="default"/>
      </w:rPr>
    </w:lvl>
    <w:lvl w:ilvl="4" w:tplc="659A2D98">
      <w:numFmt w:val="bullet"/>
      <w:lvlText w:val="•"/>
      <w:lvlJc w:val="left"/>
      <w:pPr>
        <w:ind w:left="4019" w:hanging="360"/>
      </w:pPr>
      <w:rPr>
        <w:rFonts w:hint="default"/>
      </w:rPr>
    </w:lvl>
    <w:lvl w:ilvl="5" w:tplc="8628239C">
      <w:numFmt w:val="bullet"/>
      <w:lvlText w:val="•"/>
      <w:lvlJc w:val="left"/>
      <w:pPr>
        <w:ind w:left="4899" w:hanging="360"/>
      </w:pPr>
      <w:rPr>
        <w:rFonts w:hint="default"/>
      </w:rPr>
    </w:lvl>
    <w:lvl w:ilvl="6" w:tplc="9B022042">
      <w:numFmt w:val="bullet"/>
      <w:lvlText w:val="•"/>
      <w:lvlJc w:val="left"/>
      <w:pPr>
        <w:ind w:left="5779" w:hanging="360"/>
      </w:pPr>
      <w:rPr>
        <w:rFonts w:hint="default"/>
      </w:rPr>
    </w:lvl>
    <w:lvl w:ilvl="7" w:tplc="E3060094">
      <w:numFmt w:val="bullet"/>
      <w:lvlText w:val="•"/>
      <w:lvlJc w:val="left"/>
      <w:pPr>
        <w:ind w:left="6659" w:hanging="360"/>
      </w:pPr>
      <w:rPr>
        <w:rFonts w:hint="default"/>
      </w:rPr>
    </w:lvl>
    <w:lvl w:ilvl="8" w:tplc="A420F516">
      <w:numFmt w:val="bullet"/>
      <w:lvlText w:val="•"/>
      <w:lvlJc w:val="left"/>
      <w:pPr>
        <w:ind w:left="7539" w:hanging="360"/>
      </w:pPr>
      <w:rPr>
        <w:rFonts w:hint="default"/>
      </w:rPr>
    </w:lvl>
  </w:abstractNum>
  <w:abstractNum w:abstractNumId="1" w15:restartNumberingAfterBreak="0">
    <w:nsid w:val="30253A2F"/>
    <w:multiLevelType w:val="hybridMultilevel"/>
    <w:tmpl w:val="918ADC76"/>
    <w:lvl w:ilvl="0" w:tplc="CE2CE986">
      <w:start w:val="1"/>
      <w:numFmt w:val="decimal"/>
      <w:lvlText w:val="(%1)"/>
      <w:lvlJc w:val="left"/>
      <w:pPr>
        <w:ind w:left="500" w:hanging="360"/>
      </w:pPr>
      <w:rPr>
        <w:rFonts w:hint="default"/>
        <w:spacing w:val="-1"/>
        <w:w w:val="100"/>
        <w:sz w:val="20"/>
        <w:szCs w:val="20"/>
      </w:rPr>
    </w:lvl>
    <w:lvl w:ilvl="1" w:tplc="72C08AE2">
      <w:numFmt w:val="bullet"/>
      <w:lvlText w:val="•"/>
      <w:lvlJc w:val="left"/>
      <w:pPr>
        <w:ind w:left="1379" w:hanging="360"/>
      </w:pPr>
      <w:rPr>
        <w:rFonts w:hint="default"/>
      </w:rPr>
    </w:lvl>
    <w:lvl w:ilvl="2" w:tplc="87881104">
      <w:numFmt w:val="bullet"/>
      <w:lvlText w:val="•"/>
      <w:lvlJc w:val="left"/>
      <w:pPr>
        <w:ind w:left="2259" w:hanging="360"/>
      </w:pPr>
      <w:rPr>
        <w:rFonts w:hint="default"/>
      </w:rPr>
    </w:lvl>
    <w:lvl w:ilvl="3" w:tplc="241ED40C">
      <w:numFmt w:val="bullet"/>
      <w:lvlText w:val="•"/>
      <w:lvlJc w:val="left"/>
      <w:pPr>
        <w:ind w:left="3139" w:hanging="360"/>
      </w:pPr>
      <w:rPr>
        <w:rFonts w:hint="default"/>
      </w:rPr>
    </w:lvl>
    <w:lvl w:ilvl="4" w:tplc="86E2EBBE">
      <w:numFmt w:val="bullet"/>
      <w:lvlText w:val="•"/>
      <w:lvlJc w:val="left"/>
      <w:pPr>
        <w:ind w:left="4019" w:hanging="360"/>
      </w:pPr>
      <w:rPr>
        <w:rFonts w:hint="default"/>
      </w:rPr>
    </w:lvl>
    <w:lvl w:ilvl="5" w:tplc="6F58270E">
      <w:numFmt w:val="bullet"/>
      <w:lvlText w:val="•"/>
      <w:lvlJc w:val="left"/>
      <w:pPr>
        <w:ind w:left="4899" w:hanging="360"/>
      </w:pPr>
      <w:rPr>
        <w:rFonts w:hint="default"/>
      </w:rPr>
    </w:lvl>
    <w:lvl w:ilvl="6" w:tplc="CED2C930">
      <w:numFmt w:val="bullet"/>
      <w:lvlText w:val="•"/>
      <w:lvlJc w:val="left"/>
      <w:pPr>
        <w:ind w:left="5779" w:hanging="360"/>
      </w:pPr>
      <w:rPr>
        <w:rFonts w:hint="default"/>
      </w:rPr>
    </w:lvl>
    <w:lvl w:ilvl="7" w:tplc="F17A58B8">
      <w:numFmt w:val="bullet"/>
      <w:lvlText w:val="•"/>
      <w:lvlJc w:val="left"/>
      <w:pPr>
        <w:ind w:left="6659" w:hanging="360"/>
      </w:pPr>
      <w:rPr>
        <w:rFonts w:hint="default"/>
      </w:rPr>
    </w:lvl>
    <w:lvl w:ilvl="8" w:tplc="E47024A6">
      <w:numFmt w:val="bullet"/>
      <w:lvlText w:val="•"/>
      <w:lvlJc w:val="left"/>
      <w:pPr>
        <w:ind w:left="7539" w:hanging="360"/>
      </w:pPr>
      <w:rPr>
        <w:rFonts w:hint="default"/>
      </w:rPr>
    </w:lvl>
  </w:abstractNum>
  <w:abstractNum w:abstractNumId="2" w15:restartNumberingAfterBreak="0">
    <w:nsid w:val="3EE21BD0"/>
    <w:multiLevelType w:val="hybridMultilevel"/>
    <w:tmpl w:val="783E78B8"/>
    <w:lvl w:ilvl="0" w:tplc="BE1849D0">
      <w:start w:val="1"/>
      <w:numFmt w:val="decimal"/>
      <w:lvlText w:val="%1."/>
      <w:lvlJc w:val="left"/>
      <w:pPr>
        <w:ind w:left="500" w:hanging="360"/>
      </w:pPr>
      <w:rPr>
        <w:rFonts w:ascii="Arial" w:eastAsia="Arial" w:hAnsi="Arial" w:cs="Arial" w:hint="default"/>
        <w:spacing w:val="-1"/>
        <w:w w:val="99"/>
        <w:sz w:val="20"/>
        <w:szCs w:val="20"/>
      </w:rPr>
    </w:lvl>
    <w:lvl w:ilvl="1" w:tplc="FEBC31D4">
      <w:numFmt w:val="bullet"/>
      <w:lvlText w:val="•"/>
      <w:lvlJc w:val="left"/>
      <w:pPr>
        <w:ind w:left="1379" w:hanging="360"/>
      </w:pPr>
      <w:rPr>
        <w:rFonts w:hint="default"/>
      </w:rPr>
    </w:lvl>
    <w:lvl w:ilvl="2" w:tplc="09B0FA10">
      <w:numFmt w:val="bullet"/>
      <w:lvlText w:val="•"/>
      <w:lvlJc w:val="left"/>
      <w:pPr>
        <w:ind w:left="2259" w:hanging="360"/>
      </w:pPr>
      <w:rPr>
        <w:rFonts w:hint="default"/>
      </w:rPr>
    </w:lvl>
    <w:lvl w:ilvl="3" w:tplc="D840C554">
      <w:numFmt w:val="bullet"/>
      <w:lvlText w:val="•"/>
      <w:lvlJc w:val="left"/>
      <w:pPr>
        <w:ind w:left="3139" w:hanging="360"/>
      </w:pPr>
      <w:rPr>
        <w:rFonts w:hint="default"/>
      </w:rPr>
    </w:lvl>
    <w:lvl w:ilvl="4" w:tplc="E0F230AA">
      <w:numFmt w:val="bullet"/>
      <w:lvlText w:val="•"/>
      <w:lvlJc w:val="left"/>
      <w:pPr>
        <w:ind w:left="4019" w:hanging="360"/>
      </w:pPr>
      <w:rPr>
        <w:rFonts w:hint="default"/>
      </w:rPr>
    </w:lvl>
    <w:lvl w:ilvl="5" w:tplc="7A9050E2">
      <w:numFmt w:val="bullet"/>
      <w:lvlText w:val="•"/>
      <w:lvlJc w:val="left"/>
      <w:pPr>
        <w:ind w:left="4899" w:hanging="360"/>
      </w:pPr>
      <w:rPr>
        <w:rFonts w:hint="default"/>
      </w:rPr>
    </w:lvl>
    <w:lvl w:ilvl="6" w:tplc="544C3A34">
      <w:numFmt w:val="bullet"/>
      <w:lvlText w:val="•"/>
      <w:lvlJc w:val="left"/>
      <w:pPr>
        <w:ind w:left="5779" w:hanging="360"/>
      </w:pPr>
      <w:rPr>
        <w:rFonts w:hint="default"/>
      </w:rPr>
    </w:lvl>
    <w:lvl w:ilvl="7" w:tplc="38F2F2EE">
      <w:numFmt w:val="bullet"/>
      <w:lvlText w:val="•"/>
      <w:lvlJc w:val="left"/>
      <w:pPr>
        <w:ind w:left="6659" w:hanging="360"/>
      </w:pPr>
      <w:rPr>
        <w:rFonts w:hint="default"/>
      </w:rPr>
    </w:lvl>
    <w:lvl w:ilvl="8" w:tplc="3CA60CD8">
      <w:numFmt w:val="bullet"/>
      <w:lvlText w:val="•"/>
      <w:lvlJc w:val="left"/>
      <w:pPr>
        <w:ind w:left="7539" w:hanging="360"/>
      </w:pPr>
      <w:rPr>
        <w:rFonts w:hint="default"/>
      </w:rPr>
    </w:lvl>
  </w:abstractNum>
  <w:abstractNum w:abstractNumId="3" w15:restartNumberingAfterBreak="0">
    <w:nsid w:val="6B352055"/>
    <w:multiLevelType w:val="hybridMultilevel"/>
    <w:tmpl w:val="22461F88"/>
    <w:lvl w:ilvl="0" w:tplc="00B0DDD2">
      <w:start w:val="1"/>
      <w:numFmt w:val="decimal"/>
      <w:lvlText w:val="%1."/>
      <w:lvlJc w:val="left"/>
      <w:pPr>
        <w:ind w:left="500" w:hanging="360"/>
      </w:pPr>
      <w:rPr>
        <w:rFonts w:ascii="Arial" w:eastAsia="Arial" w:hAnsi="Arial" w:cs="Arial" w:hint="default"/>
        <w:spacing w:val="-1"/>
        <w:w w:val="99"/>
        <w:sz w:val="20"/>
        <w:szCs w:val="20"/>
      </w:rPr>
    </w:lvl>
    <w:lvl w:ilvl="1" w:tplc="48A0A24A">
      <w:numFmt w:val="bullet"/>
      <w:lvlText w:val="•"/>
      <w:lvlJc w:val="left"/>
      <w:pPr>
        <w:ind w:left="1379" w:hanging="360"/>
      </w:pPr>
      <w:rPr>
        <w:rFonts w:hint="default"/>
      </w:rPr>
    </w:lvl>
    <w:lvl w:ilvl="2" w:tplc="687E2908">
      <w:numFmt w:val="bullet"/>
      <w:lvlText w:val="•"/>
      <w:lvlJc w:val="left"/>
      <w:pPr>
        <w:ind w:left="2259" w:hanging="360"/>
      </w:pPr>
      <w:rPr>
        <w:rFonts w:hint="default"/>
      </w:rPr>
    </w:lvl>
    <w:lvl w:ilvl="3" w:tplc="6A802046">
      <w:numFmt w:val="bullet"/>
      <w:lvlText w:val="•"/>
      <w:lvlJc w:val="left"/>
      <w:pPr>
        <w:ind w:left="3139" w:hanging="360"/>
      </w:pPr>
      <w:rPr>
        <w:rFonts w:hint="default"/>
      </w:rPr>
    </w:lvl>
    <w:lvl w:ilvl="4" w:tplc="659A2D98">
      <w:numFmt w:val="bullet"/>
      <w:lvlText w:val="•"/>
      <w:lvlJc w:val="left"/>
      <w:pPr>
        <w:ind w:left="4019" w:hanging="360"/>
      </w:pPr>
      <w:rPr>
        <w:rFonts w:hint="default"/>
      </w:rPr>
    </w:lvl>
    <w:lvl w:ilvl="5" w:tplc="8628239C">
      <w:numFmt w:val="bullet"/>
      <w:lvlText w:val="•"/>
      <w:lvlJc w:val="left"/>
      <w:pPr>
        <w:ind w:left="4899" w:hanging="360"/>
      </w:pPr>
      <w:rPr>
        <w:rFonts w:hint="default"/>
      </w:rPr>
    </w:lvl>
    <w:lvl w:ilvl="6" w:tplc="9B022042">
      <w:numFmt w:val="bullet"/>
      <w:lvlText w:val="•"/>
      <w:lvlJc w:val="left"/>
      <w:pPr>
        <w:ind w:left="5779" w:hanging="360"/>
      </w:pPr>
      <w:rPr>
        <w:rFonts w:hint="default"/>
      </w:rPr>
    </w:lvl>
    <w:lvl w:ilvl="7" w:tplc="E3060094">
      <w:numFmt w:val="bullet"/>
      <w:lvlText w:val="•"/>
      <w:lvlJc w:val="left"/>
      <w:pPr>
        <w:ind w:left="6659" w:hanging="360"/>
      </w:pPr>
      <w:rPr>
        <w:rFonts w:hint="default"/>
      </w:rPr>
    </w:lvl>
    <w:lvl w:ilvl="8" w:tplc="A420F516">
      <w:numFmt w:val="bullet"/>
      <w:lvlText w:val="•"/>
      <w:lvlJc w:val="left"/>
      <w:pPr>
        <w:ind w:left="7539" w:hanging="360"/>
      </w:pPr>
      <w:rPr>
        <w:rFonts w:hint="default"/>
      </w:rPr>
    </w:lvl>
  </w:abstractNum>
  <w:abstractNum w:abstractNumId="4" w15:restartNumberingAfterBreak="0">
    <w:nsid w:val="777B02D2"/>
    <w:multiLevelType w:val="hybridMultilevel"/>
    <w:tmpl w:val="E794BB50"/>
    <w:lvl w:ilvl="0" w:tplc="7E54C95E">
      <w:start w:val="1"/>
      <w:numFmt w:val="decimal"/>
      <w:lvlText w:val="(%1)"/>
      <w:lvlJc w:val="left"/>
      <w:pPr>
        <w:ind w:left="706" w:hanging="567"/>
      </w:pPr>
      <w:rPr>
        <w:rFonts w:ascii="Arial" w:eastAsia="Arial" w:hAnsi="Arial" w:cs="Arial" w:hint="default"/>
        <w:w w:val="99"/>
        <w:sz w:val="20"/>
        <w:szCs w:val="20"/>
      </w:rPr>
    </w:lvl>
    <w:lvl w:ilvl="1" w:tplc="A2E81790">
      <w:numFmt w:val="bullet"/>
      <w:lvlText w:val="•"/>
      <w:lvlJc w:val="left"/>
      <w:pPr>
        <w:ind w:left="1559" w:hanging="567"/>
      </w:pPr>
      <w:rPr>
        <w:rFonts w:hint="default"/>
      </w:rPr>
    </w:lvl>
    <w:lvl w:ilvl="2" w:tplc="72046DCA">
      <w:numFmt w:val="bullet"/>
      <w:lvlText w:val="•"/>
      <w:lvlJc w:val="left"/>
      <w:pPr>
        <w:ind w:left="2419" w:hanging="567"/>
      </w:pPr>
      <w:rPr>
        <w:rFonts w:hint="default"/>
      </w:rPr>
    </w:lvl>
    <w:lvl w:ilvl="3" w:tplc="522492E8">
      <w:numFmt w:val="bullet"/>
      <w:lvlText w:val="•"/>
      <w:lvlJc w:val="left"/>
      <w:pPr>
        <w:ind w:left="3279" w:hanging="567"/>
      </w:pPr>
      <w:rPr>
        <w:rFonts w:hint="default"/>
      </w:rPr>
    </w:lvl>
    <w:lvl w:ilvl="4" w:tplc="79B0CC1E">
      <w:numFmt w:val="bullet"/>
      <w:lvlText w:val="•"/>
      <w:lvlJc w:val="left"/>
      <w:pPr>
        <w:ind w:left="4139" w:hanging="567"/>
      </w:pPr>
      <w:rPr>
        <w:rFonts w:hint="default"/>
      </w:rPr>
    </w:lvl>
    <w:lvl w:ilvl="5" w:tplc="4A24DAE6">
      <w:numFmt w:val="bullet"/>
      <w:lvlText w:val="•"/>
      <w:lvlJc w:val="left"/>
      <w:pPr>
        <w:ind w:left="4999" w:hanging="567"/>
      </w:pPr>
      <w:rPr>
        <w:rFonts w:hint="default"/>
      </w:rPr>
    </w:lvl>
    <w:lvl w:ilvl="6" w:tplc="3D569602">
      <w:numFmt w:val="bullet"/>
      <w:lvlText w:val="•"/>
      <w:lvlJc w:val="left"/>
      <w:pPr>
        <w:ind w:left="5859" w:hanging="567"/>
      </w:pPr>
      <w:rPr>
        <w:rFonts w:hint="default"/>
      </w:rPr>
    </w:lvl>
    <w:lvl w:ilvl="7" w:tplc="5302C32A">
      <w:numFmt w:val="bullet"/>
      <w:lvlText w:val="•"/>
      <w:lvlJc w:val="left"/>
      <w:pPr>
        <w:ind w:left="6719" w:hanging="567"/>
      </w:pPr>
      <w:rPr>
        <w:rFonts w:hint="default"/>
      </w:rPr>
    </w:lvl>
    <w:lvl w:ilvl="8" w:tplc="B25AB7BE">
      <w:numFmt w:val="bullet"/>
      <w:lvlText w:val="•"/>
      <w:lvlJc w:val="left"/>
      <w:pPr>
        <w:ind w:left="7579" w:hanging="567"/>
      </w:pPr>
      <w:rPr>
        <w:rFonts w:hint="default"/>
      </w:rPr>
    </w:lvl>
  </w:abstractNum>
  <w:abstractNum w:abstractNumId="5" w15:restartNumberingAfterBreak="0">
    <w:nsid w:val="7FE95EE6"/>
    <w:multiLevelType w:val="hybridMultilevel"/>
    <w:tmpl w:val="918ADC76"/>
    <w:lvl w:ilvl="0" w:tplc="CE2CE986">
      <w:start w:val="1"/>
      <w:numFmt w:val="decimal"/>
      <w:lvlText w:val="(%1)"/>
      <w:lvlJc w:val="left"/>
      <w:pPr>
        <w:ind w:left="500" w:hanging="360"/>
      </w:pPr>
      <w:rPr>
        <w:rFonts w:hint="default"/>
        <w:spacing w:val="-1"/>
        <w:w w:val="100"/>
        <w:sz w:val="20"/>
        <w:szCs w:val="20"/>
      </w:rPr>
    </w:lvl>
    <w:lvl w:ilvl="1" w:tplc="72C08AE2">
      <w:numFmt w:val="bullet"/>
      <w:lvlText w:val="•"/>
      <w:lvlJc w:val="left"/>
      <w:pPr>
        <w:ind w:left="1379" w:hanging="360"/>
      </w:pPr>
      <w:rPr>
        <w:rFonts w:hint="default"/>
      </w:rPr>
    </w:lvl>
    <w:lvl w:ilvl="2" w:tplc="87881104">
      <w:numFmt w:val="bullet"/>
      <w:lvlText w:val="•"/>
      <w:lvlJc w:val="left"/>
      <w:pPr>
        <w:ind w:left="2259" w:hanging="360"/>
      </w:pPr>
      <w:rPr>
        <w:rFonts w:hint="default"/>
      </w:rPr>
    </w:lvl>
    <w:lvl w:ilvl="3" w:tplc="241ED40C">
      <w:numFmt w:val="bullet"/>
      <w:lvlText w:val="•"/>
      <w:lvlJc w:val="left"/>
      <w:pPr>
        <w:ind w:left="3139" w:hanging="360"/>
      </w:pPr>
      <w:rPr>
        <w:rFonts w:hint="default"/>
      </w:rPr>
    </w:lvl>
    <w:lvl w:ilvl="4" w:tplc="86E2EBBE">
      <w:numFmt w:val="bullet"/>
      <w:lvlText w:val="•"/>
      <w:lvlJc w:val="left"/>
      <w:pPr>
        <w:ind w:left="4019" w:hanging="360"/>
      </w:pPr>
      <w:rPr>
        <w:rFonts w:hint="default"/>
      </w:rPr>
    </w:lvl>
    <w:lvl w:ilvl="5" w:tplc="6F58270E">
      <w:numFmt w:val="bullet"/>
      <w:lvlText w:val="•"/>
      <w:lvlJc w:val="left"/>
      <w:pPr>
        <w:ind w:left="4899" w:hanging="360"/>
      </w:pPr>
      <w:rPr>
        <w:rFonts w:hint="default"/>
      </w:rPr>
    </w:lvl>
    <w:lvl w:ilvl="6" w:tplc="CED2C930">
      <w:numFmt w:val="bullet"/>
      <w:lvlText w:val="•"/>
      <w:lvlJc w:val="left"/>
      <w:pPr>
        <w:ind w:left="5779" w:hanging="360"/>
      </w:pPr>
      <w:rPr>
        <w:rFonts w:hint="default"/>
      </w:rPr>
    </w:lvl>
    <w:lvl w:ilvl="7" w:tplc="F17A58B8">
      <w:numFmt w:val="bullet"/>
      <w:lvlText w:val="•"/>
      <w:lvlJc w:val="left"/>
      <w:pPr>
        <w:ind w:left="6659" w:hanging="360"/>
      </w:pPr>
      <w:rPr>
        <w:rFonts w:hint="default"/>
      </w:rPr>
    </w:lvl>
    <w:lvl w:ilvl="8" w:tplc="E47024A6">
      <w:numFmt w:val="bullet"/>
      <w:lvlText w:val="•"/>
      <w:lvlJc w:val="left"/>
      <w:pPr>
        <w:ind w:left="7539" w:hanging="36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hideSpellingErrors/>
  <w:hideGrammaticalErrors/>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19"/>
    <w:rsid w:val="00004B20"/>
    <w:rsid w:val="000A6BBF"/>
    <w:rsid w:val="001235D0"/>
    <w:rsid w:val="001353F9"/>
    <w:rsid w:val="00145C9A"/>
    <w:rsid w:val="00173B74"/>
    <w:rsid w:val="001E1AA6"/>
    <w:rsid w:val="001E28B5"/>
    <w:rsid w:val="002043AE"/>
    <w:rsid w:val="00260542"/>
    <w:rsid w:val="002E515C"/>
    <w:rsid w:val="00326C8D"/>
    <w:rsid w:val="0033477D"/>
    <w:rsid w:val="00405C58"/>
    <w:rsid w:val="00411DD7"/>
    <w:rsid w:val="0042256F"/>
    <w:rsid w:val="0043296F"/>
    <w:rsid w:val="004D30B2"/>
    <w:rsid w:val="00525D3C"/>
    <w:rsid w:val="0054218C"/>
    <w:rsid w:val="00553DAE"/>
    <w:rsid w:val="00564D5C"/>
    <w:rsid w:val="00586591"/>
    <w:rsid w:val="006022AC"/>
    <w:rsid w:val="00614FBC"/>
    <w:rsid w:val="00690BA7"/>
    <w:rsid w:val="006B4AF0"/>
    <w:rsid w:val="00767236"/>
    <w:rsid w:val="007E362D"/>
    <w:rsid w:val="00826C90"/>
    <w:rsid w:val="00875AA4"/>
    <w:rsid w:val="008A3AFC"/>
    <w:rsid w:val="009A3CC9"/>
    <w:rsid w:val="009D54E0"/>
    <w:rsid w:val="00A22F5A"/>
    <w:rsid w:val="00A2787D"/>
    <w:rsid w:val="00A51CFE"/>
    <w:rsid w:val="00A51FDE"/>
    <w:rsid w:val="00AB19BB"/>
    <w:rsid w:val="00AC18F8"/>
    <w:rsid w:val="00AC1F81"/>
    <w:rsid w:val="00B42600"/>
    <w:rsid w:val="00B63ABC"/>
    <w:rsid w:val="00B83FF7"/>
    <w:rsid w:val="00C03819"/>
    <w:rsid w:val="00C05434"/>
    <w:rsid w:val="00C16F70"/>
    <w:rsid w:val="00C523D9"/>
    <w:rsid w:val="00CA13F3"/>
    <w:rsid w:val="00CF6EED"/>
    <w:rsid w:val="00D12A55"/>
    <w:rsid w:val="00D2154F"/>
    <w:rsid w:val="00DC65BA"/>
    <w:rsid w:val="00E051AC"/>
    <w:rsid w:val="00E34B38"/>
    <w:rsid w:val="00F17ADB"/>
    <w:rsid w:val="00F42A73"/>
    <w:rsid w:val="00F56148"/>
    <w:rsid w:val="00FA7F55"/>
    <w:rsid w:val="32BFEF4C"/>
    <w:rsid w:val="74739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A70ED"/>
  <w15:docId w15:val="{86339C8E-AB4F-417C-BEBF-0DC58EA3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86" w:right="214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72"/>
      <w:ind w:left="339"/>
    </w:pPr>
    <w:rPr>
      <w:rFonts w:ascii="Calibri" w:eastAsia="Calibri" w:hAnsi="Calibri" w:cs="Calibri"/>
      <w:sz w:val="16"/>
      <w:szCs w:val="16"/>
    </w:rPr>
  </w:style>
  <w:style w:type="paragraph" w:styleId="TOC2">
    <w:name w:val="toc 2"/>
    <w:basedOn w:val="Normal"/>
    <w:uiPriority w:val="1"/>
    <w:qFormat/>
    <w:pPr>
      <w:spacing w:before="72"/>
      <w:ind w:left="339"/>
    </w:pPr>
    <w:rPr>
      <w:rFonts w:ascii="Calibri" w:eastAsia="Calibri" w:hAnsi="Calibri" w:cs="Calibri"/>
      <w:b/>
      <w:bCs/>
      <w:i/>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706" w:right="136" w:hanging="566"/>
      <w:jc w:val="both"/>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4D5C"/>
    <w:pPr>
      <w:tabs>
        <w:tab w:val="center" w:pos="4536"/>
        <w:tab w:val="right" w:pos="9072"/>
      </w:tabs>
    </w:pPr>
  </w:style>
  <w:style w:type="character" w:customStyle="1" w:styleId="HeaderChar">
    <w:name w:val="Header Char"/>
    <w:basedOn w:val="DefaultParagraphFont"/>
    <w:link w:val="Header"/>
    <w:uiPriority w:val="99"/>
    <w:rsid w:val="00564D5C"/>
    <w:rPr>
      <w:rFonts w:ascii="Arial" w:eastAsia="Arial" w:hAnsi="Arial" w:cs="Arial"/>
    </w:rPr>
  </w:style>
  <w:style w:type="paragraph" w:styleId="Footer">
    <w:name w:val="footer"/>
    <w:basedOn w:val="Normal"/>
    <w:link w:val="FooterChar"/>
    <w:uiPriority w:val="99"/>
    <w:unhideWhenUsed/>
    <w:rsid w:val="00564D5C"/>
    <w:pPr>
      <w:tabs>
        <w:tab w:val="center" w:pos="4536"/>
        <w:tab w:val="right" w:pos="9072"/>
      </w:tabs>
    </w:pPr>
  </w:style>
  <w:style w:type="character" w:customStyle="1" w:styleId="FooterChar">
    <w:name w:val="Footer Char"/>
    <w:basedOn w:val="DefaultParagraphFont"/>
    <w:link w:val="Footer"/>
    <w:uiPriority w:val="99"/>
    <w:rsid w:val="00564D5C"/>
    <w:rPr>
      <w:rFonts w:ascii="Arial" w:eastAsia="Arial" w:hAnsi="Arial" w:cs="Arial"/>
    </w:rPr>
  </w:style>
  <w:style w:type="paragraph" w:styleId="BalloonText">
    <w:name w:val="Balloon Text"/>
    <w:basedOn w:val="Normal"/>
    <w:link w:val="BalloonTextChar"/>
    <w:uiPriority w:val="99"/>
    <w:semiHidden/>
    <w:unhideWhenUsed/>
    <w:rsid w:val="00875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A4"/>
    <w:rPr>
      <w:rFonts w:ascii="Segoe UI" w:eastAsia="Arial" w:hAnsi="Segoe UI" w:cs="Segoe UI"/>
      <w:sz w:val="18"/>
      <w:szCs w:val="18"/>
    </w:rPr>
  </w:style>
  <w:style w:type="character" w:styleId="CommentReference">
    <w:name w:val="annotation reference"/>
    <w:basedOn w:val="DefaultParagraphFont"/>
    <w:uiPriority w:val="99"/>
    <w:semiHidden/>
    <w:unhideWhenUsed/>
    <w:rsid w:val="00A51FDE"/>
    <w:rPr>
      <w:sz w:val="16"/>
      <w:szCs w:val="16"/>
    </w:rPr>
  </w:style>
  <w:style w:type="paragraph" w:styleId="CommentText">
    <w:name w:val="annotation text"/>
    <w:basedOn w:val="Normal"/>
    <w:link w:val="CommentTextChar"/>
    <w:uiPriority w:val="99"/>
    <w:semiHidden/>
    <w:unhideWhenUsed/>
    <w:rsid w:val="00A51FDE"/>
    <w:rPr>
      <w:sz w:val="20"/>
      <w:szCs w:val="20"/>
    </w:rPr>
  </w:style>
  <w:style w:type="character" w:customStyle="1" w:styleId="CommentTextChar">
    <w:name w:val="Comment Text Char"/>
    <w:basedOn w:val="DefaultParagraphFont"/>
    <w:link w:val="CommentText"/>
    <w:uiPriority w:val="99"/>
    <w:semiHidden/>
    <w:rsid w:val="00A51FD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51FDE"/>
    <w:rPr>
      <w:b/>
      <w:bCs/>
    </w:rPr>
  </w:style>
  <w:style w:type="character" w:customStyle="1" w:styleId="CommentSubjectChar">
    <w:name w:val="Comment Subject Char"/>
    <w:basedOn w:val="CommentTextChar"/>
    <w:link w:val="CommentSubject"/>
    <w:uiPriority w:val="99"/>
    <w:semiHidden/>
    <w:rsid w:val="00A51FDE"/>
    <w:rPr>
      <w:rFonts w:ascii="Arial" w:eastAsia="Arial" w:hAnsi="Arial" w:cs="Arial"/>
      <w:b/>
      <w:bCs/>
      <w:sz w:val="20"/>
      <w:szCs w:val="20"/>
    </w:rPr>
  </w:style>
  <w:style w:type="paragraph" w:styleId="Revision">
    <w:name w:val="Revision"/>
    <w:hidden/>
    <w:uiPriority w:val="99"/>
    <w:semiHidden/>
    <w:rsid w:val="00AC18F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628</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FCA 16 - Core LT SRM_LD</vt:lpstr>
    </vt:vector>
  </TitlesOfParts>
  <Company>50Hertz Transmission GmbH</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 16 - Core LT SRM_LD</dc:title>
  <dc:creator>Core TSOs</dc:creator>
  <cp:lastModifiedBy>Elise van Ginkel</cp:lastModifiedBy>
  <cp:revision>5</cp:revision>
  <cp:lastPrinted>2020-05-14T07:58:00Z</cp:lastPrinted>
  <dcterms:created xsi:type="dcterms:W3CDTF">2020-07-23T10:51:00Z</dcterms:created>
  <dcterms:modified xsi:type="dcterms:W3CDTF">2020-07-23T10:55:00Z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2016</vt:lpwstr>
  </property>
  <property fmtid="{D5CDD505-2E9C-101B-9397-08002B2CF9AE}" pid="4" name="LastSaved">
    <vt:filetime>2020-03-18T00:00:00Z</vt:filetime>
  </property>
</Properties>
</file>