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468B0" w14:textId="6C0E6418" w:rsidR="00930FFB" w:rsidRPr="00ED02A5" w:rsidRDefault="00930FFB" w:rsidP="00ED02A5">
      <w:pPr>
        <w:pStyle w:val="Title"/>
        <w:jc w:val="both"/>
        <w:rPr>
          <w:rFonts w:asciiTheme="minorHAnsi" w:hAnsiTheme="minorHAnsi" w:cstheme="minorHAnsi"/>
          <w:lang w:val="en-US"/>
        </w:rPr>
      </w:pPr>
    </w:p>
    <w:p w14:paraId="20030DB6" w14:textId="77777777" w:rsidR="00930FFB" w:rsidRPr="00ED02A5" w:rsidRDefault="00930FFB" w:rsidP="00ED02A5">
      <w:pPr>
        <w:jc w:val="both"/>
        <w:rPr>
          <w:rFonts w:cstheme="minorHAnsi"/>
          <w:lang w:val="en-US"/>
        </w:rPr>
      </w:pPr>
    </w:p>
    <w:p w14:paraId="7E581A7B" w14:textId="77777777" w:rsidR="00930FFB" w:rsidRPr="00ED02A5" w:rsidRDefault="00930FFB" w:rsidP="00ED02A5">
      <w:pPr>
        <w:jc w:val="both"/>
        <w:rPr>
          <w:rFonts w:cstheme="minorHAnsi"/>
          <w:lang w:val="en-US"/>
        </w:rPr>
      </w:pPr>
    </w:p>
    <w:p w14:paraId="4454D5E6" w14:textId="77777777" w:rsidR="00930FFB" w:rsidRPr="00ED02A5" w:rsidRDefault="00930FFB" w:rsidP="00ED02A5">
      <w:pPr>
        <w:jc w:val="both"/>
        <w:rPr>
          <w:rFonts w:cstheme="minorHAnsi"/>
          <w:lang w:val="en-US"/>
        </w:rPr>
      </w:pPr>
    </w:p>
    <w:p w14:paraId="3459BC6D" w14:textId="77777777" w:rsidR="00930FFB" w:rsidRPr="00ED02A5" w:rsidRDefault="00930FFB" w:rsidP="00ED02A5">
      <w:pPr>
        <w:jc w:val="both"/>
        <w:rPr>
          <w:rFonts w:cstheme="minorHAnsi"/>
          <w:lang w:val="en-US"/>
        </w:rPr>
      </w:pPr>
    </w:p>
    <w:p w14:paraId="645D529D" w14:textId="77777777" w:rsidR="00930FFB" w:rsidRPr="00ED02A5" w:rsidRDefault="00930FFB" w:rsidP="00ED02A5">
      <w:pPr>
        <w:jc w:val="both"/>
        <w:rPr>
          <w:rFonts w:cstheme="minorHAnsi"/>
          <w:lang w:val="en-US"/>
        </w:rPr>
      </w:pPr>
    </w:p>
    <w:p w14:paraId="2AAFF58F" w14:textId="77777777" w:rsidR="00FD51B9" w:rsidRPr="00ED02A5" w:rsidRDefault="00FD51B9" w:rsidP="00ED02A5">
      <w:pPr>
        <w:pStyle w:val="Title"/>
        <w:jc w:val="both"/>
        <w:rPr>
          <w:rFonts w:asciiTheme="minorHAnsi" w:hAnsiTheme="minorHAnsi" w:cstheme="minorHAnsi"/>
          <w:b/>
          <w:bCs/>
          <w:color w:val="0070C0"/>
        </w:rPr>
      </w:pPr>
      <w:r w:rsidRPr="00ED02A5">
        <w:rPr>
          <w:rFonts w:asciiTheme="minorHAnsi" w:hAnsiTheme="minorHAnsi" w:cstheme="minorHAnsi"/>
          <w:b/>
          <w:bCs/>
          <w:color w:val="0070C0"/>
        </w:rPr>
        <w:t xml:space="preserve">Determination of capacity calculation </w:t>
      </w:r>
    </w:p>
    <w:p w14:paraId="11BF2C7C" w14:textId="66554DBD" w:rsidR="00930FFB" w:rsidRPr="00ED02A5" w:rsidRDefault="00FD51B9" w:rsidP="00ED02A5">
      <w:pPr>
        <w:pStyle w:val="Title"/>
        <w:jc w:val="both"/>
        <w:rPr>
          <w:rFonts w:asciiTheme="minorHAnsi" w:hAnsiTheme="minorHAnsi" w:cstheme="minorHAnsi"/>
        </w:rPr>
      </w:pPr>
      <w:r w:rsidRPr="00ED02A5">
        <w:rPr>
          <w:rFonts w:asciiTheme="minorHAnsi" w:hAnsiTheme="minorHAnsi" w:cstheme="minorHAnsi"/>
          <w:b/>
          <w:bCs/>
          <w:color w:val="0070C0"/>
        </w:rPr>
        <w:t>regions Explanatory note</w:t>
      </w:r>
      <w:r w:rsidRPr="00ED02A5">
        <w:rPr>
          <w:rFonts w:asciiTheme="minorHAnsi" w:hAnsiTheme="minorHAnsi" w:cstheme="minorHAnsi"/>
        </w:rPr>
        <w:cr/>
      </w:r>
    </w:p>
    <w:p w14:paraId="1BA75DDA" w14:textId="77777777" w:rsidR="00FD51B9" w:rsidRPr="00ED02A5" w:rsidRDefault="00FD51B9" w:rsidP="00ED02A5">
      <w:pPr>
        <w:jc w:val="both"/>
        <w:rPr>
          <w:rFonts w:cstheme="minorHAnsi"/>
        </w:rPr>
      </w:pPr>
    </w:p>
    <w:p w14:paraId="63A3353E" w14:textId="77777777" w:rsidR="00FD51B9" w:rsidRPr="00ED02A5" w:rsidRDefault="00FD51B9" w:rsidP="00ED02A5">
      <w:pPr>
        <w:jc w:val="both"/>
        <w:rPr>
          <w:rFonts w:cstheme="minorHAnsi"/>
        </w:rPr>
      </w:pPr>
    </w:p>
    <w:p w14:paraId="04AE79D1" w14:textId="77777777" w:rsidR="00FD51B9" w:rsidRPr="00ED02A5" w:rsidRDefault="00FD51B9" w:rsidP="00ED02A5">
      <w:pPr>
        <w:jc w:val="both"/>
        <w:rPr>
          <w:rFonts w:cstheme="minorHAnsi"/>
        </w:rPr>
      </w:pPr>
    </w:p>
    <w:p w14:paraId="45CE173A" w14:textId="77777777" w:rsidR="00FD51B9" w:rsidRPr="00ED02A5" w:rsidRDefault="00FD51B9" w:rsidP="00ED02A5">
      <w:pPr>
        <w:jc w:val="both"/>
        <w:rPr>
          <w:rFonts w:cstheme="minorHAnsi"/>
        </w:rPr>
      </w:pPr>
    </w:p>
    <w:p w14:paraId="4D7CF01A" w14:textId="77777777" w:rsidR="00F65E21" w:rsidRPr="00ED02A5" w:rsidRDefault="00F65E21" w:rsidP="00ED02A5">
      <w:pPr>
        <w:jc w:val="both"/>
        <w:rPr>
          <w:rFonts w:cstheme="minorHAnsi"/>
        </w:rPr>
      </w:pPr>
    </w:p>
    <w:p w14:paraId="12900105" w14:textId="77777777" w:rsidR="00F65E21" w:rsidRPr="00ED02A5" w:rsidRDefault="00F65E21" w:rsidP="00ED02A5">
      <w:pPr>
        <w:jc w:val="both"/>
        <w:rPr>
          <w:rFonts w:cstheme="minorHAnsi"/>
        </w:rPr>
      </w:pPr>
    </w:p>
    <w:p w14:paraId="45BC9120" w14:textId="77777777" w:rsidR="00FD51B9" w:rsidRPr="00ED02A5" w:rsidRDefault="00FD51B9" w:rsidP="00ED02A5">
      <w:pPr>
        <w:jc w:val="both"/>
        <w:rPr>
          <w:rFonts w:cstheme="minorHAnsi"/>
        </w:rPr>
      </w:pPr>
    </w:p>
    <w:p w14:paraId="14E5390E" w14:textId="61FFA15B" w:rsidR="00F65E21" w:rsidRPr="00ED02A5" w:rsidRDefault="00ED02A5" w:rsidP="00ED02A5">
      <w:pPr>
        <w:jc w:val="both"/>
        <w:rPr>
          <w:rFonts w:cstheme="minorHAnsi"/>
        </w:rPr>
      </w:pPr>
      <w:r w:rsidRPr="00ED02A5">
        <w:rPr>
          <w:rFonts w:cstheme="minorHAnsi"/>
        </w:rPr>
        <w:t>09 May 2025</w:t>
      </w:r>
    </w:p>
    <w:p w14:paraId="7162F4A7" w14:textId="258C59CE" w:rsidR="00F65E21" w:rsidRPr="00ED02A5" w:rsidRDefault="6DE2225E" w:rsidP="00ED02A5">
      <w:pPr>
        <w:jc w:val="both"/>
        <w:rPr>
          <w:rStyle w:val="BookTitle"/>
        </w:rPr>
      </w:pPr>
      <w:r w:rsidRPr="67FD38DB">
        <w:rPr>
          <w:rStyle w:val="BookTitle"/>
        </w:rPr>
        <w:t>Disclaimer</w:t>
      </w:r>
      <w:r w:rsidR="1CB8E4B6" w:rsidRPr="67FD38DB">
        <w:rPr>
          <w:rStyle w:val="BookTitle"/>
        </w:rPr>
        <w:t>s:</w:t>
      </w:r>
    </w:p>
    <w:p w14:paraId="0AC8E74C" w14:textId="5E4E3D52" w:rsidR="00261929" w:rsidRDefault="00F65E21" w:rsidP="67FD38DB">
      <w:pPr>
        <w:pStyle w:val="ListParagraph"/>
        <w:numPr>
          <w:ilvl w:val="0"/>
          <w:numId w:val="26"/>
        </w:numPr>
        <w:jc w:val="both"/>
        <w:rPr>
          <w:rStyle w:val="BookTitle"/>
        </w:rPr>
      </w:pPr>
      <w:r w:rsidRPr="67FD38DB">
        <w:rPr>
          <w:rStyle w:val="BookTitle"/>
        </w:rPr>
        <w:t>This explanatory document is submitted by all TSOs to the Agency for the Cooperation of Energy Regulators for information and clarification purposes only accompanying the “</w:t>
      </w:r>
      <w:r w:rsidR="00261929" w:rsidRPr="67FD38DB">
        <w:rPr>
          <w:rStyle w:val="BookTitle"/>
        </w:rPr>
        <w:t>All TSOs’ proposal for amendment of the Determination of capacity calculation regions methodology in accordance with Article 15(1) of the Commission Regulation (EU) 2015/1222 of 24 July 2015 establishing a guideline on capacity allocation and congestion management</w:t>
      </w:r>
      <w:r w:rsidR="65CA0888" w:rsidRPr="67FD38DB">
        <w:rPr>
          <w:rStyle w:val="BookTitle"/>
        </w:rPr>
        <w:t>.</w:t>
      </w:r>
      <w:r w:rsidR="6DE2225E" w:rsidRPr="67FD38DB">
        <w:rPr>
          <w:rStyle w:val="BookTitle"/>
        </w:rPr>
        <w:t>”</w:t>
      </w:r>
    </w:p>
    <w:p w14:paraId="24493DD5" w14:textId="1986C07E" w:rsidR="00254B6D" w:rsidRPr="00ED02A5" w:rsidRDefault="00254B6D" w:rsidP="67FD38DB">
      <w:pPr>
        <w:pStyle w:val="ListParagraph"/>
        <w:numPr>
          <w:ilvl w:val="0"/>
          <w:numId w:val="26"/>
        </w:numPr>
        <w:jc w:val="both"/>
        <w:rPr>
          <w:rStyle w:val="BookTitle"/>
        </w:rPr>
      </w:pPr>
      <w:r w:rsidRPr="00254B6D">
        <w:rPr>
          <w:rStyle w:val="BookTitle"/>
        </w:rPr>
        <w:t>This document is a draft and remains a work in progress. Please note that this explanatory document is non-binding.</w:t>
      </w:r>
    </w:p>
    <w:p w14:paraId="17D26011" w14:textId="01863F3D" w:rsidR="67FD38DB" w:rsidRDefault="67FD38DB" w:rsidP="67FD38DB">
      <w:pPr>
        <w:jc w:val="both"/>
        <w:rPr>
          <w:rStyle w:val="BookTitle"/>
        </w:rPr>
      </w:pPr>
    </w:p>
    <w:p w14:paraId="3330B6D6" w14:textId="1F944831" w:rsidR="67FD38DB" w:rsidRDefault="67FD38DB" w:rsidP="67FD38DB">
      <w:pPr>
        <w:jc w:val="both"/>
        <w:rPr>
          <w:rStyle w:val="BookTitle"/>
        </w:rPr>
      </w:pPr>
    </w:p>
    <w:p w14:paraId="3F1AEE09" w14:textId="77777777" w:rsidR="00261929" w:rsidRPr="00ED02A5" w:rsidRDefault="00261929" w:rsidP="00ED02A5">
      <w:pPr>
        <w:jc w:val="both"/>
        <w:rPr>
          <w:rFonts w:cstheme="minorHAnsi"/>
        </w:rPr>
      </w:pPr>
    </w:p>
    <w:p w14:paraId="0FF7D2FA" w14:textId="77777777" w:rsidR="00930FFB" w:rsidRPr="00ED02A5" w:rsidRDefault="00930FFB" w:rsidP="00ED02A5">
      <w:pPr>
        <w:jc w:val="both"/>
        <w:rPr>
          <w:rFonts w:cstheme="minorHAnsi"/>
        </w:rPr>
      </w:pPr>
    </w:p>
    <w:p w14:paraId="1AE0C828" w14:textId="77777777" w:rsidR="00930FFB" w:rsidRPr="00ED02A5" w:rsidRDefault="00930FFB" w:rsidP="00ED02A5">
      <w:pPr>
        <w:jc w:val="both"/>
        <w:rPr>
          <w:rFonts w:cstheme="minorHAnsi"/>
        </w:rPr>
      </w:pPr>
    </w:p>
    <w:p w14:paraId="7F5FD9C3" w14:textId="77777777" w:rsidR="00930FFB" w:rsidRPr="00ED02A5" w:rsidRDefault="00930FFB" w:rsidP="00ED02A5">
      <w:pPr>
        <w:jc w:val="both"/>
        <w:rPr>
          <w:rFonts w:cstheme="minorHAnsi"/>
        </w:rPr>
      </w:pPr>
    </w:p>
    <w:p w14:paraId="1BF2721C" w14:textId="182EF7C6" w:rsidR="00476723" w:rsidRPr="00ED02A5" w:rsidRDefault="00A412BA" w:rsidP="263B72E6">
      <w:pPr>
        <w:pStyle w:val="Heading1"/>
        <w:numPr>
          <w:ilvl w:val="1"/>
          <w:numId w:val="8"/>
        </w:numPr>
        <w:ind w:left="630" w:hanging="450"/>
        <w:jc w:val="both"/>
        <w:rPr>
          <w:rFonts w:asciiTheme="minorHAnsi" w:hAnsiTheme="minorHAnsi" w:cstheme="minorBidi"/>
        </w:rPr>
      </w:pPr>
      <w:r w:rsidRPr="263B72E6">
        <w:rPr>
          <w:rFonts w:asciiTheme="minorHAnsi" w:hAnsiTheme="minorHAnsi" w:cstheme="minorBidi"/>
        </w:rPr>
        <w:t>Introduction and rational to this document</w:t>
      </w:r>
    </w:p>
    <w:p w14:paraId="14674F46" w14:textId="3B416A2E" w:rsidR="263B72E6" w:rsidRDefault="263B72E6" w:rsidP="263B72E6"/>
    <w:p w14:paraId="737F28F6" w14:textId="59BC285E" w:rsidR="008340B0" w:rsidRPr="00ED02A5" w:rsidRDefault="008340B0" w:rsidP="47762F1C">
      <w:pPr>
        <w:jc w:val="both"/>
      </w:pPr>
      <w:r w:rsidRPr="47762F1C">
        <w:t>Following the informal Guidance by ACER to ENTSO-E, TSOs and NEMOs on how to draft proposals for terms and conditions or methodologies dated March 2023, ACER strongly welcomes that the proposals are accompanied by an explanatory document for information purposes. This explanatory document will not be approved by ACER.</w:t>
      </w:r>
    </w:p>
    <w:p w14:paraId="5BAE811B" w14:textId="248265B5" w:rsidR="008340B0" w:rsidRPr="00ED02A5" w:rsidRDefault="008340B0" w:rsidP="7E88804A">
      <w:pPr>
        <w:jc w:val="both"/>
        <w:rPr>
          <w:rFonts w:cstheme="minorHAnsi"/>
        </w:rPr>
      </w:pPr>
      <w:r w:rsidRPr="00ED02A5">
        <w:rPr>
          <w:rFonts w:cstheme="minorHAnsi"/>
        </w:rPr>
        <w:t>The explanatory document should describe the options considered during the development of the proposal, the views of stakeholders as expressed during the public consultation, a clear and robust justification for including or not the views resulting from the consultation, as well as the justifications and arguments for the choices made in the proposal.</w:t>
      </w:r>
    </w:p>
    <w:p w14:paraId="175B6C62" w14:textId="2D83A199" w:rsidR="00F65033" w:rsidRPr="00ED02A5" w:rsidRDefault="51EB8D17" w:rsidP="263B72E6">
      <w:pPr>
        <w:pStyle w:val="Heading1"/>
        <w:numPr>
          <w:ilvl w:val="1"/>
          <w:numId w:val="8"/>
        </w:numPr>
        <w:ind w:left="630"/>
        <w:jc w:val="both"/>
        <w:rPr>
          <w:rFonts w:asciiTheme="minorHAnsi" w:hAnsiTheme="minorHAnsi" w:cstheme="minorBidi"/>
        </w:rPr>
      </w:pPr>
      <w:r w:rsidRPr="5B565057">
        <w:rPr>
          <w:rFonts w:asciiTheme="minorHAnsi" w:hAnsiTheme="minorHAnsi" w:cstheme="minorBidi"/>
        </w:rPr>
        <w:t>ECE</w:t>
      </w:r>
      <w:r w:rsidR="003F269F" w:rsidRPr="5B565057">
        <w:rPr>
          <w:rFonts w:asciiTheme="minorHAnsi" w:hAnsiTheme="minorHAnsi" w:cstheme="minorBidi"/>
        </w:rPr>
        <w:t xml:space="preserve"> CCR</w:t>
      </w:r>
      <w:r w:rsidR="00233A64" w:rsidRPr="5B565057">
        <w:rPr>
          <w:rFonts w:asciiTheme="minorHAnsi" w:hAnsiTheme="minorHAnsi" w:cstheme="minorBidi"/>
        </w:rPr>
        <w:t xml:space="preserve"> </w:t>
      </w:r>
    </w:p>
    <w:p w14:paraId="17971A62" w14:textId="02CE4561" w:rsidR="00F65033" w:rsidRPr="00ED02A5" w:rsidRDefault="73AF7561" w:rsidP="00ED02A5">
      <w:pPr>
        <w:pStyle w:val="Heading1"/>
        <w:numPr>
          <w:ilvl w:val="2"/>
          <w:numId w:val="8"/>
        </w:numPr>
        <w:ind w:left="426"/>
        <w:jc w:val="both"/>
        <w:rPr>
          <w:rFonts w:asciiTheme="minorHAnsi" w:hAnsiTheme="minorHAnsi" w:cstheme="minorHAnsi"/>
        </w:rPr>
      </w:pPr>
      <w:r w:rsidRPr="00ED02A5">
        <w:rPr>
          <w:rFonts w:asciiTheme="minorHAnsi" w:hAnsiTheme="minorHAnsi" w:cstheme="minorHAnsi"/>
        </w:rPr>
        <w:t>Network security and coordinated capacity calculation requirements</w:t>
      </w:r>
    </w:p>
    <w:p w14:paraId="25E99320" w14:textId="2EFCC3F8" w:rsidR="1A0A885E" w:rsidRPr="00ED02A5" w:rsidRDefault="58EF8366" w:rsidP="47762F1C">
      <w:pPr>
        <w:spacing w:line="257" w:lineRule="auto"/>
        <w:jc w:val="both"/>
        <w:rPr>
          <w:rFonts w:eastAsia="Calibri"/>
          <w:color w:val="000000" w:themeColor="text1"/>
        </w:rPr>
      </w:pPr>
      <w:r w:rsidRPr="11041D9B">
        <w:rPr>
          <w:rFonts w:eastAsia="Calibri"/>
          <w:color w:val="000000" w:themeColor="text1"/>
        </w:rPr>
        <w:t xml:space="preserve">By Decision 2022/03/MC-EnC the Ministerial Council of the Energy Community incorporated a legislative package comprising the latest EU electricity acquis binding for the Energy Community. The Decision adapted and adopted Regulation (EU) 2019/943, Regulation (EU) 2019/942, the </w:t>
      </w:r>
      <w:r w:rsidR="60F5346A" w:rsidRPr="11041D9B">
        <w:rPr>
          <w:rFonts w:eastAsia="Calibri"/>
          <w:color w:val="000000" w:themeColor="text1"/>
        </w:rPr>
        <w:t>Guidelines on</w:t>
      </w:r>
      <w:r w:rsidRPr="11041D9B">
        <w:rPr>
          <w:rFonts w:eastAsia="Calibri"/>
          <w:color w:val="000000" w:themeColor="text1"/>
        </w:rPr>
        <w:t xml:space="preserve"> Forward Capacity Allocation (FCA GL), Capacity Allocation and Congestion Management (CACM GL), Electricity Balancing (EBGL), System Operation</w:t>
      </w:r>
      <w:r w:rsidR="0E111D83" w:rsidRPr="11041D9B">
        <w:rPr>
          <w:rFonts w:eastAsia="Calibri"/>
          <w:color w:val="000000" w:themeColor="text1"/>
        </w:rPr>
        <w:t xml:space="preserve"> Guideline</w:t>
      </w:r>
      <w:r w:rsidRPr="11041D9B">
        <w:rPr>
          <w:rFonts w:eastAsia="Calibri"/>
          <w:color w:val="000000" w:themeColor="text1"/>
        </w:rPr>
        <w:t xml:space="preserve"> (SOGL), and the Network Code  on Emergency and Restoration (ERNC).</w:t>
      </w:r>
    </w:p>
    <w:p w14:paraId="61BE8BE4" w14:textId="34124E24" w:rsidR="1A0A885E" w:rsidRPr="00ED02A5" w:rsidRDefault="58EF8366" w:rsidP="47762F1C">
      <w:pPr>
        <w:spacing w:line="257" w:lineRule="auto"/>
        <w:jc w:val="both"/>
        <w:rPr>
          <w:rFonts w:eastAsia="Calibri"/>
          <w:color w:val="000000" w:themeColor="text1"/>
        </w:rPr>
      </w:pPr>
      <w:r w:rsidRPr="11041D9B">
        <w:rPr>
          <w:rFonts w:eastAsia="Calibri"/>
          <w:color w:val="000000" w:themeColor="text1"/>
        </w:rPr>
        <w:t xml:space="preserve">In December 2024. the WB EnC TSOs - considering the goal of regional and pan-European coordination as enshrined in the EU legislation and the ENTSO-E Articles of Associations – issued the Joint Declaration on Regional Coordination in Southeast Europe. WB EnC TSOs supported by neighbouring EU TSOs proposed a reconfiguration of the default Shadow SEE CCR (as defined in Annex I of EnC CACM). The WB EnC TSOs proposed reconfiguration that would attribute </w:t>
      </w:r>
      <w:r w:rsidR="03795C77" w:rsidRPr="11041D9B">
        <w:rPr>
          <w:rFonts w:eastAsia="Calibri"/>
          <w:color w:val="000000" w:themeColor="text1"/>
        </w:rPr>
        <w:t>mu</w:t>
      </w:r>
      <w:r w:rsidR="1140923C" w:rsidRPr="11041D9B">
        <w:rPr>
          <w:rFonts w:eastAsia="Calibri"/>
          <w:color w:val="000000" w:themeColor="text1"/>
        </w:rPr>
        <w:t>tual</w:t>
      </w:r>
      <w:r w:rsidRPr="11041D9B">
        <w:rPr>
          <w:rFonts w:eastAsia="Calibri"/>
          <w:color w:val="000000" w:themeColor="text1"/>
        </w:rPr>
        <w:t xml:space="preserve"> </w:t>
      </w:r>
      <w:r w:rsidR="4B352F80" w:rsidRPr="263B72E6">
        <w:rPr>
          <w:rFonts w:eastAsia="Calibri"/>
          <w:color w:val="000000" w:themeColor="text1"/>
        </w:rPr>
        <w:t xml:space="preserve">bidding zone </w:t>
      </w:r>
      <w:r w:rsidRPr="11041D9B">
        <w:rPr>
          <w:rFonts w:eastAsia="Calibri"/>
          <w:color w:val="000000" w:themeColor="text1"/>
        </w:rPr>
        <w:t xml:space="preserve">borders of EMS, CGES, and NOSBIH </w:t>
      </w:r>
      <w:r w:rsidR="6BFAF74C" w:rsidRPr="11041D9B">
        <w:rPr>
          <w:rFonts w:eastAsia="Calibri"/>
          <w:color w:val="000000" w:themeColor="text1"/>
        </w:rPr>
        <w:t>(WB3 TSOs)</w:t>
      </w:r>
      <w:r w:rsidR="50CD29D1" w:rsidRPr="11041D9B">
        <w:rPr>
          <w:rFonts w:eastAsia="Calibri"/>
          <w:color w:val="000000" w:themeColor="text1"/>
        </w:rPr>
        <w:t xml:space="preserve"> and WB3 border </w:t>
      </w:r>
      <w:r w:rsidR="1221E3F1" w:rsidRPr="11041D9B">
        <w:rPr>
          <w:rFonts w:eastAsia="Calibri"/>
          <w:color w:val="000000" w:themeColor="text1"/>
        </w:rPr>
        <w:t>with</w:t>
      </w:r>
      <w:r w:rsidR="50CD29D1" w:rsidRPr="11041D9B">
        <w:rPr>
          <w:rFonts w:eastAsia="Calibri"/>
          <w:color w:val="000000" w:themeColor="text1"/>
        </w:rPr>
        <w:t xml:space="preserve"> neighbouring EU TSOs (HOPS, MAVIR, TRANSELECTRICA)</w:t>
      </w:r>
      <w:r w:rsidRPr="11041D9B">
        <w:rPr>
          <w:rFonts w:eastAsia="Calibri"/>
          <w:color w:val="000000" w:themeColor="text1"/>
        </w:rPr>
        <w:t xml:space="preserve"> to </w:t>
      </w:r>
      <w:r w:rsidR="6C3ECB30" w:rsidRPr="11041D9B">
        <w:rPr>
          <w:rFonts w:eastAsia="Calibri"/>
          <w:color w:val="000000" w:themeColor="text1"/>
        </w:rPr>
        <w:t xml:space="preserve">the </w:t>
      </w:r>
      <w:r w:rsidRPr="11041D9B">
        <w:rPr>
          <w:rFonts w:eastAsia="Calibri"/>
          <w:color w:val="000000" w:themeColor="text1"/>
        </w:rPr>
        <w:t>Core</w:t>
      </w:r>
      <w:r w:rsidR="31D5C3E2" w:rsidRPr="11041D9B">
        <w:rPr>
          <w:rFonts w:eastAsia="Calibri"/>
          <w:color w:val="000000" w:themeColor="text1"/>
        </w:rPr>
        <w:t>/CE</w:t>
      </w:r>
      <w:r w:rsidRPr="11041D9B">
        <w:rPr>
          <w:rFonts w:eastAsia="Calibri"/>
          <w:color w:val="000000" w:themeColor="text1"/>
        </w:rPr>
        <w:t xml:space="preserve"> CCR and the bidding zone borders of OST, KOSTT, and MEPSO to</w:t>
      </w:r>
      <w:r w:rsidR="75A0CD23" w:rsidRPr="11041D9B">
        <w:rPr>
          <w:rFonts w:eastAsia="Calibri"/>
          <w:color w:val="000000" w:themeColor="text1"/>
        </w:rPr>
        <w:t xml:space="preserve"> the</w:t>
      </w:r>
      <w:r w:rsidRPr="11041D9B">
        <w:rPr>
          <w:rFonts w:eastAsia="Calibri"/>
          <w:color w:val="000000" w:themeColor="text1"/>
        </w:rPr>
        <w:t xml:space="preserve"> SEE CCR. They consider </w:t>
      </w:r>
      <w:r w:rsidR="1DE12A7C" w:rsidRPr="11041D9B">
        <w:rPr>
          <w:rFonts w:eastAsia="Calibri"/>
          <w:color w:val="000000" w:themeColor="text1"/>
        </w:rPr>
        <w:t xml:space="preserve">the </w:t>
      </w:r>
      <w:r w:rsidRPr="11041D9B">
        <w:rPr>
          <w:rFonts w:eastAsia="Calibri"/>
          <w:color w:val="000000" w:themeColor="text1"/>
        </w:rPr>
        <w:t xml:space="preserve">proposal </w:t>
      </w:r>
      <w:r w:rsidR="11071E62" w:rsidRPr="11041D9B">
        <w:rPr>
          <w:rFonts w:eastAsia="Calibri"/>
          <w:color w:val="000000" w:themeColor="text1"/>
        </w:rPr>
        <w:t xml:space="preserve">to </w:t>
      </w:r>
      <w:r w:rsidR="11071E62" w:rsidRPr="2E04FF72">
        <w:rPr>
          <w:rFonts w:eastAsia="Calibri"/>
          <w:color w:val="000000" w:themeColor="text1"/>
        </w:rPr>
        <w:t>be</w:t>
      </w:r>
      <w:r w:rsidRPr="11041D9B">
        <w:rPr>
          <w:rFonts w:eastAsia="Calibri"/>
          <w:color w:val="000000" w:themeColor="text1"/>
        </w:rPr>
        <w:t xml:space="preserve"> technically justified and </w:t>
      </w:r>
      <w:r w:rsidRPr="2E04FF72">
        <w:rPr>
          <w:rFonts w:eastAsia="Calibri"/>
          <w:color w:val="000000" w:themeColor="text1"/>
        </w:rPr>
        <w:t>aim</w:t>
      </w:r>
      <w:r w:rsidR="6F610674" w:rsidRPr="2E04FF72">
        <w:rPr>
          <w:rFonts w:eastAsia="Calibri"/>
          <w:color w:val="000000" w:themeColor="text1"/>
        </w:rPr>
        <w:t>ed</w:t>
      </w:r>
      <w:r w:rsidRPr="11041D9B">
        <w:rPr>
          <w:rFonts w:eastAsia="Calibri"/>
          <w:color w:val="000000" w:themeColor="text1"/>
        </w:rPr>
        <w:t xml:space="preserve"> at accelerating the integration of non-EU TSOs </w:t>
      </w:r>
      <w:r w:rsidR="16E5FB49" w:rsidRPr="2E04FF72">
        <w:rPr>
          <w:rFonts w:eastAsia="Calibri"/>
          <w:color w:val="000000" w:themeColor="text1"/>
        </w:rPr>
        <w:t>into</w:t>
      </w:r>
      <w:r w:rsidRPr="11041D9B">
        <w:rPr>
          <w:rFonts w:eastAsia="Calibri"/>
          <w:color w:val="000000" w:themeColor="text1"/>
        </w:rPr>
        <w:t xml:space="preserve"> the EU regulatory framework, reducing the total number of CCRs in line with ACER’s strategic guidance, enhancing network security and capacity calculation efficiency and avoiding fragmentation of highly interdependent bidding zone borders across different CCRs.</w:t>
      </w:r>
    </w:p>
    <w:p w14:paraId="0BA71B38" w14:textId="160FD547" w:rsidR="7469EC9D" w:rsidRPr="00ED02A5" w:rsidRDefault="00FB2168" w:rsidP="00ED02A5">
      <w:pPr>
        <w:jc w:val="center"/>
      </w:pPr>
      <w:r>
        <w:rPr>
          <w:noProof/>
        </w:rPr>
        <w:lastRenderedPageBreak/>
        <w:drawing>
          <wp:inline distT="0" distB="0" distL="0" distR="0" wp14:anchorId="2F241796" wp14:editId="1F34FF9F">
            <wp:extent cx="3784348" cy="3696024"/>
            <wp:effectExtent l="0" t="0" r="6985" b="0"/>
            <wp:docPr id="501359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359891" name=""/>
                    <pic:cNvPicPr/>
                  </pic:nvPicPr>
                  <pic:blipFill>
                    <a:blip r:embed="rId9"/>
                    <a:stretch>
                      <a:fillRect/>
                    </a:stretch>
                  </pic:blipFill>
                  <pic:spPr>
                    <a:xfrm>
                      <a:off x="0" y="0"/>
                      <a:ext cx="3798774" cy="3710114"/>
                    </a:xfrm>
                    <a:prstGeom prst="rect">
                      <a:avLst/>
                    </a:prstGeom>
                  </pic:spPr>
                </pic:pic>
              </a:graphicData>
            </a:graphic>
          </wp:inline>
        </w:drawing>
      </w:r>
    </w:p>
    <w:p w14:paraId="1FA0DDB6" w14:textId="32FB9A11" w:rsidR="1A0A885E" w:rsidRPr="00ED02A5" w:rsidRDefault="58EF8366" w:rsidP="11041D9B">
      <w:pPr>
        <w:spacing w:line="257" w:lineRule="auto"/>
        <w:jc w:val="both"/>
        <w:rPr>
          <w:rFonts w:eastAsia="Calibri"/>
          <w:color w:val="000000" w:themeColor="text1"/>
        </w:rPr>
      </w:pPr>
      <w:r w:rsidRPr="1BBEB883">
        <w:rPr>
          <w:rFonts w:eastAsia="Calibri"/>
          <w:color w:val="000000" w:themeColor="text1"/>
        </w:rPr>
        <w:t xml:space="preserve">TSOs concluded that proposed reconfiguration </w:t>
      </w:r>
      <w:r w:rsidR="343E1C3A" w:rsidRPr="1BBEB883">
        <w:rPr>
          <w:rFonts w:eastAsia="Calibri"/>
          <w:color w:val="000000" w:themeColor="text1"/>
        </w:rPr>
        <w:t>would</w:t>
      </w:r>
      <w:r w:rsidRPr="1BBEB883">
        <w:rPr>
          <w:rFonts w:eastAsia="Calibri"/>
          <w:color w:val="000000" w:themeColor="text1"/>
        </w:rPr>
        <w:t xml:space="preserve"> improve the security of operation of the Continental Europe </w:t>
      </w:r>
      <w:r w:rsidR="60DE6060" w:rsidRPr="1BBEB883">
        <w:rPr>
          <w:rFonts w:eastAsia="Calibri"/>
          <w:color w:val="000000" w:themeColor="text1"/>
        </w:rPr>
        <w:t>SA.</w:t>
      </w:r>
      <w:r w:rsidR="5FB1C8CA" w:rsidRPr="1BBEB883">
        <w:rPr>
          <w:rFonts w:eastAsia="Calibri"/>
          <w:color w:val="000000" w:themeColor="text1"/>
        </w:rPr>
        <w:t xml:space="preserve"> A daily contingency analysis is not sufficient </w:t>
      </w:r>
      <w:r w:rsidR="3B9AF321" w:rsidRPr="1BBEB883">
        <w:rPr>
          <w:rFonts w:eastAsia="Calibri"/>
          <w:color w:val="000000" w:themeColor="text1"/>
        </w:rPr>
        <w:t>in this context</w:t>
      </w:r>
      <w:r w:rsidR="5FB1C8CA" w:rsidRPr="1BBEB883">
        <w:rPr>
          <w:rFonts w:eastAsia="Calibri"/>
          <w:color w:val="000000" w:themeColor="text1"/>
        </w:rPr>
        <w:t xml:space="preserve">, a systematic observation of weak points in the entire synchronous area </w:t>
      </w:r>
      <w:r w:rsidR="78E33269" w:rsidRPr="1BBEB883">
        <w:rPr>
          <w:rFonts w:eastAsia="Calibri"/>
          <w:color w:val="000000" w:themeColor="text1"/>
        </w:rPr>
        <w:t>offers better</w:t>
      </w:r>
      <w:r w:rsidR="5FB1C8CA" w:rsidRPr="1BBEB883">
        <w:rPr>
          <w:rFonts w:eastAsia="Calibri"/>
          <w:color w:val="000000" w:themeColor="text1"/>
        </w:rPr>
        <w:t xml:space="preserve"> insight.</w:t>
      </w:r>
    </w:p>
    <w:p w14:paraId="2302B6C6" w14:textId="446846F2" w:rsidR="1A0A885E" w:rsidRPr="00ED02A5" w:rsidRDefault="3C07FF10" w:rsidP="11041D9B">
      <w:pPr>
        <w:spacing w:line="257" w:lineRule="auto"/>
        <w:jc w:val="both"/>
        <w:rPr>
          <w:rFonts w:eastAsia="Calibri"/>
          <w:color w:val="000000" w:themeColor="text1"/>
        </w:rPr>
      </w:pPr>
      <w:r w:rsidRPr="11041D9B">
        <w:rPr>
          <w:rFonts w:ascii="Calibri" w:eastAsia="Calibri" w:hAnsi="Calibri" w:cs="Calibri"/>
        </w:rPr>
        <w:t>For example, when examining the consequences of the two largest disturbances in the last twenty years—namely the system splits of 2006 and 2021, both of which impacted the entire synchronous area—it becomes evident that the system split lines in Croatia, Hungary, Serbia, and Romania nearly overlapped in both cases. This indicates the presence of a structural weak point in the connection between the southeastern part of the system and the rest of the synchronous area.</w:t>
      </w:r>
      <w:r w:rsidR="5FB1C8CA" w:rsidRPr="11041D9B">
        <w:rPr>
          <w:rFonts w:eastAsia="Calibri"/>
          <w:color w:val="000000" w:themeColor="text1"/>
        </w:rPr>
        <w:t xml:space="preserve"> </w:t>
      </w:r>
    </w:p>
    <w:p w14:paraId="06E2416D" w14:textId="39B7951C" w:rsidR="1A0A885E" w:rsidRPr="00ED02A5" w:rsidRDefault="7D76F267" w:rsidP="2E04FF72">
      <w:pPr>
        <w:spacing w:line="257" w:lineRule="auto"/>
        <w:jc w:val="both"/>
        <w:rPr>
          <w:rFonts w:ascii="Calibri" w:eastAsia="Calibri" w:hAnsi="Calibri" w:cs="Calibri"/>
        </w:rPr>
      </w:pPr>
      <w:r w:rsidRPr="11041D9B">
        <w:rPr>
          <w:rFonts w:ascii="Calibri" w:eastAsia="Calibri" w:hAnsi="Calibri" w:cs="Calibri"/>
        </w:rPr>
        <w:t xml:space="preserve">Such systemic weaknesses must be considered in capacity calculation. This necessity was also recognized in the </w:t>
      </w:r>
      <w:r w:rsidRPr="11041D9B">
        <w:rPr>
          <w:rFonts w:ascii="Calibri" w:eastAsia="Calibri" w:hAnsi="Calibri" w:cs="Calibri"/>
          <w:i/>
          <w:iCs/>
        </w:rPr>
        <w:t>Continental Europe Synchronous Area Separation on 08 January 2021 – Final Report</w:t>
      </w:r>
      <w:r w:rsidRPr="11041D9B">
        <w:rPr>
          <w:rFonts w:ascii="Calibri" w:eastAsia="Calibri" w:hAnsi="Calibri" w:cs="Calibri"/>
        </w:rPr>
        <w:t>, where Recommendation No. 5 states:</w:t>
      </w:r>
    </w:p>
    <w:p w14:paraId="0AE8D012" w14:textId="088A59CE" w:rsidR="1A0A885E" w:rsidRPr="00ED02A5" w:rsidRDefault="5FB1C8CA" w:rsidP="11041D9B">
      <w:pPr>
        <w:spacing w:line="257" w:lineRule="auto"/>
        <w:jc w:val="both"/>
        <w:rPr>
          <w:rFonts w:eastAsia="Calibri"/>
          <w:color w:val="000000" w:themeColor="text1"/>
        </w:rPr>
      </w:pPr>
      <w:r w:rsidRPr="11041D9B">
        <w:rPr>
          <w:rFonts w:eastAsia="Calibri"/>
          <w:color w:val="000000" w:themeColor="text1"/>
        </w:rPr>
        <w:t xml:space="preserve">„The </w:t>
      </w:r>
      <w:r w:rsidR="6AEDD7D5" w:rsidRPr="2E04FF72">
        <w:rPr>
          <w:rFonts w:eastAsia="Calibri"/>
          <w:color w:val="000000" w:themeColor="text1"/>
        </w:rPr>
        <w:t>capacity</w:t>
      </w:r>
      <w:r w:rsidRPr="11041D9B">
        <w:rPr>
          <w:rFonts w:eastAsia="Calibri"/>
          <w:color w:val="000000" w:themeColor="text1"/>
        </w:rPr>
        <w:t xml:space="preserve"> calculation shall be performed in a coordinated manner in each Capacity Calculation Region. The coordinated </w:t>
      </w:r>
      <w:r w:rsidR="712C0A38" w:rsidRPr="2E04FF72">
        <w:rPr>
          <w:rFonts w:eastAsia="Calibri"/>
          <w:color w:val="000000" w:themeColor="text1"/>
        </w:rPr>
        <w:t>capacity</w:t>
      </w:r>
      <w:r w:rsidRPr="11041D9B">
        <w:rPr>
          <w:rFonts w:eastAsia="Calibri"/>
          <w:color w:val="000000" w:themeColor="text1"/>
        </w:rPr>
        <w:t xml:space="preserve"> calculation has to consider existing stability limits“which is justified by „A regional approach is a way to examine the situation holistically so as to overcome the shortcomings of coordination that occur with the application of only the bilateral approach. Dynamic stability limits can only be seen by analysing the wider region</w:t>
      </w:r>
      <w:r w:rsidR="4F71EDD9" w:rsidRPr="263B72E6">
        <w:rPr>
          <w:rFonts w:eastAsia="Calibri"/>
          <w:color w:val="000000" w:themeColor="text1"/>
        </w:rPr>
        <w:t xml:space="preserve"> </w:t>
      </w:r>
      <w:r w:rsidRPr="11041D9B">
        <w:rPr>
          <w:rFonts w:eastAsia="Calibri"/>
          <w:color w:val="000000" w:themeColor="text1"/>
        </w:rPr>
        <w:t xml:space="preserve">“. </w:t>
      </w:r>
    </w:p>
    <w:p w14:paraId="300A057A" w14:textId="088F8CEB" w:rsidR="1A0A885E" w:rsidRPr="00ED02A5" w:rsidRDefault="5FB1C8CA" w:rsidP="11041D9B">
      <w:pPr>
        <w:spacing w:line="257" w:lineRule="auto"/>
        <w:jc w:val="both"/>
        <w:rPr>
          <w:rFonts w:eastAsia="Calibri"/>
          <w:color w:val="000000" w:themeColor="text1"/>
        </w:rPr>
      </w:pPr>
      <w:r w:rsidRPr="2E04FF72">
        <w:rPr>
          <w:rFonts w:eastAsia="Calibri"/>
          <w:color w:val="000000" w:themeColor="text1"/>
        </w:rPr>
        <w:t>Therefore, it is necessary to establish a region in which capacity calculation and coordinated security analysis can be done, in such a way that the wider area around the system split line is included. That region is already partly established as Core (Central Europe) CCR, but that it should be supplemented by the northern bidding zone borders of EMS and NOSBiH. Recognizing the importance of the Western Trans-Balkan corridor for optimal configuration, it is necessary to add in CCR the CGES control area northern bidding zone borders as well.</w:t>
      </w:r>
      <w:r w:rsidRPr="11041D9B">
        <w:rPr>
          <w:rFonts w:eastAsia="Calibri"/>
          <w:color w:val="000000" w:themeColor="text1"/>
        </w:rPr>
        <w:t xml:space="preserve"> </w:t>
      </w:r>
    </w:p>
    <w:p w14:paraId="05E4F1D1" w14:textId="48008955" w:rsidR="1A0A885E" w:rsidRPr="00ED02A5" w:rsidRDefault="57A2BCCE" w:rsidP="11041D9B">
      <w:pPr>
        <w:spacing w:line="257" w:lineRule="auto"/>
        <w:jc w:val="both"/>
        <w:rPr>
          <w:rFonts w:eastAsia="Calibri"/>
          <w:color w:val="000000" w:themeColor="text1"/>
        </w:rPr>
      </w:pPr>
      <w:r w:rsidRPr="2E04FF72">
        <w:rPr>
          <w:rFonts w:ascii="Calibri" w:eastAsia="Calibri" w:hAnsi="Calibri" w:cs="Calibri"/>
        </w:rPr>
        <w:t>This</w:t>
      </w:r>
      <w:r w:rsidRPr="11041D9B">
        <w:rPr>
          <w:rFonts w:ascii="Calibri" w:eastAsia="Calibri" w:hAnsi="Calibri" w:cs="Calibri"/>
        </w:rPr>
        <w:t xml:space="preserve"> is supported by Recommendation No. 7 as proposed by the Expert Panel: </w:t>
      </w:r>
      <w:r w:rsidRPr="2E04FF72">
        <w:rPr>
          <w:rFonts w:ascii="Calibri" w:eastAsia="Calibri" w:hAnsi="Calibri" w:cs="Calibri"/>
        </w:rPr>
        <w:t>“</w:t>
      </w:r>
      <w:r w:rsidR="5FB1C8CA" w:rsidRPr="11041D9B">
        <w:rPr>
          <w:rFonts w:eastAsia="Calibri"/>
          <w:color w:val="000000" w:themeColor="text1"/>
        </w:rPr>
        <w:t xml:space="preserve">The possibility of developing a more sustainable solution for CCC and CSA for non-EU TSOs in the Balkans area and </w:t>
      </w:r>
      <w:r w:rsidR="5FB1C8CA" w:rsidRPr="11041D9B">
        <w:rPr>
          <w:rFonts w:eastAsia="Calibri"/>
          <w:color w:val="000000" w:themeColor="text1"/>
        </w:rPr>
        <w:lastRenderedPageBreak/>
        <w:t>between these TSOs and neighbouring EU TSOs should be assessed in order to increase the system security and ensure a proper level of TSOs cooperation</w:t>
      </w:r>
      <w:r w:rsidR="50DCA20F" w:rsidRPr="11041D9B">
        <w:rPr>
          <w:rFonts w:eastAsia="Calibri"/>
          <w:color w:val="000000" w:themeColor="text1"/>
        </w:rPr>
        <w:t>”</w:t>
      </w:r>
    </w:p>
    <w:p w14:paraId="1E011CC3" w14:textId="3F3889EC" w:rsidR="1A0A885E" w:rsidRPr="00ED02A5" w:rsidRDefault="2D079354" w:rsidP="11041D9B">
      <w:pPr>
        <w:spacing w:line="257" w:lineRule="auto"/>
        <w:jc w:val="both"/>
        <w:rPr>
          <w:rFonts w:eastAsia="Calibri"/>
          <w:color w:val="000000" w:themeColor="text1"/>
        </w:rPr>
      </w:pPr>
      <w:r w:rsidRPr="11041D9B">
        <w:rPr>
          <w:rFonts w:eastAsia="Calibri"/>
          <w:color w:val="000000" w:themeColor="text1"/>
        </w:rPr>
        <w:t xml:space="preserve">And it is further justified by the current situation </w:t>
      </w:r>
      <w:r w:rsidR="5FB1C8CA" w:rsidRPr="11041D9B">
        <w:rPr>
          <w:rFonts w:eastAsia="Calibri"/>
          <w:color w:val="000000" w:themeColor="text1"/>
        </w:rPr>
        <w:t xml:space="preserve">„Currently non-EU TSOs in the Balkans area do not belong to any CCR, despite the flows within them and within neighbouring EU TSOs having an influence on the CCC in both the Core and SEE CCRs. The capacity calculation is usually left to bilateral agreements without a proper coordination among the different </w:t>
      </w:r>
      <w:r w:rsidR="5FC08B7A" w:rsidRPr="5B032E39">
        <w:rPr>
          <w:rFonts w:eastAsia="Calibri"/>
          <w:color w:val="000000" w:themeColor="text1"/>
        </w:rPr>
        <w:t xml:space="preserve">bidding zone </w:t>
      </w:r>
      <w:r w:rsidR="5FB1C8CA" w:rsidRPr="11041D9B">
        <w:rPr>
          <w:rFonts w:eastAsia="Calibri"/>
          <w:color w:val="000000" w:themeColor="text1"/>
        </w:rPr>
        <w:t xml:space="preserve">borders (both non-EU and EU) and this impacts the system security of the entire </w:t>
      </w:r>
      <w:r w:rsidR="7BBA6A66" w:rsidRPr="11041D9B">
        <w:rPr>
          <w:rFonts w:eastAsia="Calibri"/>
          <w:color w:val="000000" w:themeColor="text1"/>
        </w:rPr>
        <w:t>scheduling area</w:t>
      </w:r>
      <w:r w:rsidR="1686C217" w:rsidRPr="263B72E6">
        <w:rPr>
          <w:rFonts w:eastAsia="Calibri"/>
          <w:color w:val="000000" w:themeColor="text1"/>
        </w:rPr>
        <w:t xml:space="preserve"> “</w:t>
      </w:r>
      <w:r w:rsidR="5FB1C8CA" w:rsidRPr="263B72E6">
        <w:rPr>
          <w:rFonts w:eastAsia="Calibri"/>
          <w:color w:val="000000" w:themeColor="text1"/>
        </w:rPr>
        <w:t xml:space="preserve">. </w:t>
      </w:r>
    </w:p>
    <w:p w14:paraId="23677CA7" w14:textId="673D83CB" w:rsidR="613FAAE5" w:rsidRPr="00ED02A5" w:rsidRDefault="7A348E57" w:rsidP="2E04FF72">
      <w:pPr>
        <w:spacing w:before="240" w:after="240" w:line="257" w:lineRule="auto"/>
        <w:jc w:val="both"/>
        <w:rPr>
          <w:rFonts w:eastAsia="Calibri"/>
        </w:rPr>
      </w:pPr>
      <w:r w:rsidRPr="11041D9B">
        <w:rPr>
          <w:rFonts w:ascii="Calibri" w:eastAsia="Calibri" w:hAnsi="Calibri" w:cs="Calibri"/>
        </w:rPr>
        <w:t>Additionally, the proposed solution can be implemented most quickly, offers the optimal ratio of effort to results, leads most directly to the target solution, enables the non-EU TSOs of the Western Balkans to align with the implementation timeline of European energy regulations, and—last but not least—facilitates the achievement of political consensus around them.</w:t>
      </w:r>
      <w:r w:rsidR="308F841A" w:rsidRPr="2E04FF72">
        <w:rPr>
          <w:rFonts w:ascii="Calibri" w:eastAsia="Calibri" w:hAnsi="Calibri" w:cs="Calibri"/>
        </w:rPr>
        <w:t xml:space="preserve"> </w:t>
      </w:r>
      <w:r w:rsidR="1F4AF160" w:rsidRPr="11041D9B">
        <w:rPr>
          <w:rFonts w:eastAsia="Calibri"/>
        </w:rPr>
        <w:t>During the daily operational capacity calculation process, a Core-non Core interconnectors are taken into account</w:t>
      </w:r>
      <w:r w:rsidR="02FE016B" w:rsidRPr="11041D9B">
        <w:rPr>
          <w:rFonts w:eastAsia="Calibri"/>
        </w:rPr>
        <w:t>,</w:t>
      </w:r>
      <w:r w:rsidR="192FAB59" w:rsidRPr="11041D9B" w:rsidDel="1F4AF160">
        <w:rPr>
          <w:rFonts w:eastAsia="Calibri"/>
        </w:rPr>
        <w:t xml:space="preserve"> </w:t>
      </w:r>
      <w:r w:rsidR="1F4AF160" w:rsidRPr="11041D9B">
        <w:rPr>
          <w:rFonts w:eastAsia="Calibri"/>
        </w:rPr>
        <w:t xml:space="preserve"> </w:t>
      </w:r>
      <w:r w:rsidR="5FD37BC9" w:rsidRPr="11041D9B">
        <w:rPr>
          <w:rFonts w:eastAsia="Calibri"/>
        </w:rPr>
        <w:t xml:space="preserve">in line with </w:t>
      </w:r>
      <w:r w:rsidR="1F4AF160" w:rsidRPr="11041D9B">
        <w:rPr>
          <w:rFonts w:eastAsia="Calibri"/>
        </w:rPr>
        <w:t>Article 5</w:t>
      </w:r>
      <w:r w:rsidR="28D40288" w:rsidRPr="11041D9B">
        <w:rPr>
          <w:rFonts w:eastAsia="Calibri"/>
        </w:rPr>
        <w:t xml:space="preserve"> of </w:t>
      </w:r>
      <w:r w:rsidR="62C87D7F" w:rsidRPr="11041D9B">
        <w:rPr>
          <w:rFonts w:eastAsia="Calibri"/>
        </w:rPr>
        <w:t xml:space="preserve"> Core DA CCM</w:t>
      </w:r>
      <w:r w:rsidR="1F4AF160" w:rsidRPr="11041D9B">
        <w:rPr>
          <w:rFonts w:eastAsia="Calibri"/>
        </w:rPr>
        <w:t xml:space="preserve">, </w:t>
      </w:r>
      <w:r w:rsidR="3F19E67B" w:rsidRPr="11041D9B">
        <w:rPr>
          <w:rFonts w:eastAsia="Calibri"/>
        </w:rPr>
        <w:t xml:space="preserve"> therefore</w:t>
      </w:r>
      <w:r w:rsidR="1F4AF160" w:rsidRPr="11041D9B">
        <w:rPr>
          <w:rFonts w:eastAsia="Calibri"/>
        </w:rPr>
        <w:t xml:space="preserve"> a </w:t>
      </w:r>
      <w:r w:rsidR="1F4AF160" w:rsidRPr="2E04FF72">
        <w:rPr>
          <w:rFonts w:eastAsia="Calibri"/>
        </w:rPr>
        <w:t>h</w:t>
      </w:r>
      <w:r w:rsidR="2A55DEC6" w:rsidRPr="2E04FF72">
        <w:rPr>
          <w:rFonts w:eastAsia="Calibri"/>
        </w:rPr>
        <w:t>igh</w:t>
      </w:r>
      <w:r w:rsidR="1F4AF160" w:rsidRPr="11041D9B">
        <w:rPr>
          <w:rFonts w:eastAsia="Calibri"/>
        </w:rPr>
        <w:t xml:space="preserve"> number of Core-non-Core CNECs are part of the Core capacity calculation process at the following bidding zone borders: AT-IT, AT-CH, D4-CH, D7-CH, HR-BA, HR-RS, HU-RS, HU-UA, PL-UA, RO-RS, RO-UA, SK-UA.</w:t>
      </w:r>
    </w:p>
    <w:p w14:paraId="2761B328" w14:textId="4A55F12B" w:rsidR="613FAAE5" w:rsidRPr="00ED02A5" w:rsidRDefault="7CD9D03C" w:rsidP="11041D9B">
      <w:pPr>
        <w:spacing w:before="240" w:after="240"/>
        <w:jc w:val="both"/>
        <w:rPr>
          <w:rFonts w:eastAsia="Calibri"/>
        </w:rPr>
      </w:pPr>
      <w:r w:rsidRPr="11041D9B">
        <w:rPr>
          <w:rFonts w:eastAsia="Calibri"/>
        </w:rPr>
        <w:t xml:space="preserve">The </w:t>
      </w:r>
      <w:r w:rsidR="1F4AF160" w:rsidRPr="11041D9B">
        <w:rPr>
          <w:rFonts w:eastAsia="Calibri"/>
        </w:rPr>
        <w:t xml:space="preserve">Number of CNEs and CNECs included in operational Core </w:t>
      </w:r>
      <w:r w:rsidR="32CEB35C" w:rsidRPr="263B72E6">
        <w:rPr>
          <w:rFonts w:eastAsia="Calibri"/>
        </w:rPr>
        <w:t>Day</w:t>
      </w:r>
      <w:r w:rsidR="1F4AF160" w:rsidRPr="11041D9B">
        <w:rPr>
          <w:rFonts w:eastAsia="Calibri"/>
        </w:rPr>
        <w:t xml:space="preserve"> ahead capacity calculation process where those between Core CCR and WB6 are in Table below, marked in bold font:</w:t>
      </w:r>
    </w:p>
    <w:p w14:paraId="023D2DB7" w14:textId="76906840" w:rsidR="613FAAE5" w:rsidRPr="00ED02A5" w:rsidRDefault="192FAB59" w:rsidP="00ED02A5">
      <w:pPr>
        <w:spacing w:before="240" w:after="240"/>
        <w:jc w:val="both"/>
        <w:rPr>
          <w:rFonts w:eastAsia="Calibri" w:cstheme="minorHAnsi"/>
        </w:rPr>
      </w:pPr>
      <w:r w:rsidRPr="00ED02A5">
        <w:rPr>
          <w:rFonts w:eastAsia="Calibri" w:cstheme="minorHAnsi"/>
        </w:rPr>
        <w:t>Table. Number of CNEs and CNECs included in Core DA CC</w:t>
      </w:r>
    </w:p>
    <w:tbl>
      <w:tblPr>
        <w:tblW w:w="0" w:type="auto"/>
        <w:tblLayout w:type="fixed"/>
        <w:tblLook w:val="0020" w:firstRow="1" w:lastRow="0" w:firstColumn="0" w:lastColumn="0" w:noHBand="0" w:noVBand="0"/>
      </w:tblPr>
      <w:tblGrid>
        <w:gridCol w:w="945"/>
        <w:gridCol w:w="1013"/>
        <w:gridCol w:w="1115"/>
      </w:tblGrid>
      <w:tr w:rsidR="5D9EC2FC" w:rsidRPr="00ED02A5" w14:paraId="145180E1" w14:textId="77777777" w:rsidTr="5D9EC2FC">
        <w:trPr>
          <w:trHeight w:val="300"/>
        </w:trPr>
        <w:tc>
          <w:tcPr>
            <w:tcW w:w="94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bottom"/>
          </w:tcPr>
          <w:p w14:paraId="077D518E" w14:textId="4BB3C8B6" w:rsidR="5D9EC2FC" w:rsidRPr="00ED02A5" w:rsidRDefault="5D9EC2FC" w:rsidP="00ED02A5">
            <w:pPr>
              <w:spacing w:before="240" w:after="0"/>
              <w:jc w:val="both"/>
              <w:rPr>
                <w:rFonts w:cstheme="minorHAnsi"/>
              </w:rPr>
            </w:pPr>
            <w:r w:rsidRPr="00ED02A5">
              <w:rPr>
                <w:rFonts w:cstheme="minorHAnsi"/>
              </w:rPr>
              <w:t>BZB</w:t>
            </w:r>
          </w:p>
        </w:tc>
        <w:tc>
          <w:tcPr>
            <w:tcW w:w="1013"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bottom"/>
          </w:tcPr>
          <w:p w14:paraId="67F2DEA8" w14:textId="33850D16" w:rsidR="5D9EC2FC" w:rsidRPr="00ED02A5" w:rsidRDefault="5D9EC2FC" w:rsidP="00ED02A5">
            <w:pPr>
              <w:spacing w:before="240" w:after="0"/>
              <w:jc w:val="both"/>
              <w:rPr>
                <w:rFonts w:cstheme="minorHAnsi"/>
              </w:rPr>
            </w:pPr>
            <w:r w:rsidRPr="00ED02A5">
              <w:rPr>
                <w:rFonts w:cstheme="minorHAnsi"/>
              </w:rPr>
              <w:t>CNEs</w:t>
            </w:r>
          </w:p>
        </w:tc>
        <w:tc>
          <w:tcPr>
            <w:tcW w:w="111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bottom"/>
          </w:tcPr>
          <w:p w14:paraId="27D8B655" w14:textId="403D81D7" w:rsidR="5D9EC2FC" w:rsidRPr="00ED02A5" w:rsidRDefault="5D9EC2FC" w:rsidP="00ED02A5">
            <w:pPr>
              <w:spacing w:before="240" w:after="0"/>
              <w:jc w:val="both"/>
              <w:rPr>
                <w:rFonts w:cstheme="minorHAnsi"/>
              </w:rPr>
            </w:pPr>
            <w:r w:rsidRPr="00ED02A5">
              <w:rPr>
                <w:rFonts w:cstheme="minorHAnsi"/>
              </w:rPr>
              <w:t>CNECs</w:t>
            </w:r>
          </w:p>
        </w:tc>
      </w:tr>
      <w:tr w:rsidR="5D9EC2FC" w:rsidRPr="00ED02A5" w14:paraId="6FDEF51A" w14:textId="77777777" w:rsidTr="5D9EC2FC">
        <w:trPr>
          <w:trHeight w:val="300"/>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B323F40" w14:textId="6B058D62" w:rsidR="5D9EC2FC" w:rsidRPr="00ED02A5" w:rsidRDefault="5D9EC2FC" w:rsidP="00ED02A5">
            <w:pPr>
              <w:spacing w:before="240" w:after="0"/>
              <w:jc w:val="both"/>
              <w:rPr>
                <w:rFonts w:cstheme="minorHAnsi"/>
              </w:rPr>
            </w:pPr>
            <w:r w:rsidRPr="00ED02A5">
              <w:rPr>
                <w:rFonts w:cstheme="minorHAnsi"/>
              </w:rPr>
              <w:t>AT-IT</w:t>
            </w:r>
          </w:p>
        </w:tc>
        <w:tc>
          <w:tcPr>
            <w:tcW w:w="101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E4A8EB1" w14:textId="3640D32A" w:rsidR="5D9EC2FC" w:rsidRPr="00ED02A5" w:rsidRDefault="5D9EC2FC" w:rsidP="00ED02A5">
            <w:pPr>
              <w:spacing w:before="240" w:after="0"/>
              <w:jc w:val="both"/>
              <w:rPr>
                <w:rFonts w:cstheme="minorHAnsi"/>
              </w:rPr>
            </w:pPr>
            <w:r w:rsidRPr="00ED02A5">
              <w:rPr>
                <w:rFonts w:cstheme="minorHAnsi"/>
              </w:rPr>
              <w:t>1</w:t>
            </w:r>
          </w:p>
        </w:tc>
        <w:tc>
          <w:tcPr>
            <w:tcW w:w="111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5A8F715" w14:textId="01C9DCFD" w:rsidR="5D9EC2FC" w:rsidRPr="00ED02A5" w:rsidRDefault="5D9EC2FC" w:rsidP="00ED02A5">
            <w:pPr>
              <w:spacing w:before="240" w:after="0"/>
              <w:jc w:val="both"/>
              <w:rPr>
                <w:rFonts w:cstheme="minorHAnsi"/>
              </w:rPr>
            </w:pPr>
            <w:r w:rsidRPr="00ED02A5">
              <w:rPr>
                <w:rFonts w:cstheme="minorHAnsi"/>
              </w:rPr>
              <w:t>2</w:t>
            </w:r>
          </w:p>
        </w:tc>
      </w:tr>
      <w:tr w:rsidR="5D9EC2FC" w:rsidRPr="00ED02A5" w14:paraId="0540A7FE" w14:textId="77777777" w:rsidTr="5D9EC2FC">
        <w:trPr>
          <w:trHeight w:val="300"/>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9DD4BE6" w14:textId="766DB2CB" w:rsidR="5D9EC2FC" w:rsidRPr="00ED02A5" w:rsidRDefault="5D9EC2FC" w:rsidP="00ED02A5">
            <w:pPr>
              <w:spacing w:before="240" w:after="0"/>
              <w:jc w:val="both"/>
              <w:rPr>
                <w:rFonts w:cstheme="minorHAnsi"/>
              </w:rPr>
            </w:pPr>
            <w:r w:rsidRPr="00ED02A5">
              <w:rPr>
                <w:rFonts w:cstheme="minorHAnsi"/>
              </w:rPr>
              <w:t>AT-CH</w:t>
            </w:r>
          </w:p>
        </w:tc>
        <w:tc>
          <w:tcPr>
            <w:tcW w:w="101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E7EC17E" w14:textId="424F9FF8" w:rsidR="5D9EC2FC" w:rsidRPr="00ED02A5" w:rsidRDefault="5D9EC2FC" w:rsidP="00ED02A5">
            <w:pPr>
              <w:spacing w:before="240" w:after="0"/>
              <w:jc w:val="both"/>
              <w:rPr>
                <w:rFonts w:cstheme="minorHAnsi"/>
              </w:rPr>
            </w:pPr>
            <w:r w:rsidRPr="00ED02A5">
              <w:rPr>
                <w:rFonts w:cstheme="minorHAnsi"/>
              </w:rPr>
              <w:t>2</w:t>
            </w:r>
          </w:p>
        </w:tc>
        <w:tc>
          <w:tcPr>
            <w:tcW w:w="111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12C14F8" w14:textId="6FD11658" w:rsidR="5D9EC2FC" w:rsidRPr="00ED02A5" w:rsidRDefault="5D9EC2FC" w:rsidP="00ED02A5">
            <w:pPr>
              <w:spacing w:before="240" w:after="0"/>
              <w:jc w:val="both"/>
              <w:rPr>
                <w:rFonts w:cstheme="minorHAnsi"/>
              </w:rPr>
            </w:pPr>
            <w:r w:rsidRPr="00ED02A5">
              <w:rPr>
                <w:rFonts w:cstheme="minorHAnsi"/>
              </w:rPr>
              <w:t>8</w:t>
            </w:r>
          </w:p>
        </w:tc>
      </w:tr>
      <w:tr w:rsidR="5D9EC2FC" w:rsidRPr="00ED02A5" w14:paraId="7BF69A22" w14:textId="77777777" w:rsidTr="5D9EC2FC">
        <w:trPr>
          <w:trHeight w:val="300"/>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F52841A" w14:textId="634512DC" w:rsidR="5D9EC2FC" w:rsidRPr="00ED02A5" w:rsidRDefault="5D9EC2FC" w:rsidP="00ED02A5">
            <w:pPr>
              <w:spacing w:before="240" w:after="0"/>
              <w:jc w:val="both"/>
              <w:rPr>
                <w:rFonts w:cstheme="minorHAnsi"/>
              </w:rPr>
            </w:pPr>
            <w:r w:rsidRPr="00ED02A5">
              <w:rPr>
                <w:rFonts w:cstheme="minorHAnsi"/>
              </w:rPr>
              <w:t>D4-CH</w:t>
            </w:r>
          </w:p>
        </w:tc>
        <w:tc>
          <w:tcPr>
            <w:tcW w:w="101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8710B8E" w14:textId="596D173E" w:rsidR="5D9EC2FC" w:rsidRPr="00ED02A5" w:rsidRDefault="5D9EC2FC" w:rsidP="00ED02A5">
            <w:pPr>
              <w:spacing w:before="240" w:after="0"/>
              <w:jc w:val="both"/>
              <w:rPr>
                <w:rFonts w:cstheme="minorHAnsi"/>
              </w:rPr>
            </w:pPr>
            <w:r w:rsidRPr="00ED02A5">
              <w:rPr>
                <w:rFonts w:cstheme="minorHAnsi"/>
              </w:rPr>
              <w:t>9</w:t>
            </w:r>
          </w:p>
        </w:tc>
        <w:tc>
          <w:tcPr>
            <w:tcW w:w="111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18C91D0" w14:textId="724DE67B" w:rsidR="5D9EC2FC" w:rsidRPr="00ED02A5" w:rsidRDefault="5D9EC2FC" w:rsidP="00ED02A5">
            <w:pPr>
              <w:spacing w:before="240" w:after="0"/>
              <w:jc w:val="both"/>
              <w:rPr>
                <w:rFonts w:cstheme="minorHAnsi"/>
              </w:rPr>
            </w:pPr>
            <w:r w:rsidRPr="00ED02A5">
              <w:rPr>
                <w:rFonts w:cstheme="minorHAnsi"/>
              </w:rPr>
              <w:t>68</w:t>
            </w:r>
          </w:p>
        </w:tc>
      </w:tr>
      <w:tr w:rsidR="5D9EC2FC" w:rsidRPr="00ED02A5" w14:paraId="6FF66522" w14:textId="77777777" w:rsidTr="5D9EC2FC">
        <w:trPr>
          <w:trHeight w:val="300"/>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29F8DC0" w14:textId="00F7D562" w:rsidR="5D9EC2FC" w:rsidRPr="00ED02A5" w:rsidRDefault="5D9EC2FC" w:rsidP="00ED02A5">
            <w:pPr>
              <w:spacing w:before="240" w:after="0"/>
              <w:jc w:val="both"/>
              <w:rPr>
                <w:rFonts w:cstheme="minorHAnsi"/>
              </w:rPr>
            </w:pPr>
            <w:r w:rsidRPr="00ED02A5">
              <w:rPr>
                <w:rFonts w:cstheme="minorHAnsi"/>
              </w:rPr>
              <w:t>D7-CH</w:t>
            </w:r>
          </w:p>
        </w:tc>
        <w:tc>
          <w:tcPr>
            <w:tcW w:w="101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222DB57" w14:textId="1FB151C1" w:rsidR="5D9EC2FC" w:rsidRPr="00ED02A5" w:rsidRDefault="5D9EC2FC" w:rsidP="00ED02A5">
            <w:pPr>
              <w:spacing w:before="240" w:after="0"/>
              <w:jc w:val="both"/>
              <w:rPr>
                <w:rFonts w:cstheme="minorHAnsi"/>
              </w:rPr>
            </w:pPr>
            <w:r w:rsidRPr="00ED02A5">
              <w:rPr>
                <w:rFonts w:cstheme="minorHAnsi"/>
              </w:rPr>
              <w:t>3</w:t>
            </w:r>
          </w:p>
        </w:tc>
        <w:tc>
          <w:tcPr>
            <w:tcW w:w="111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9199F04" w14:textId="1899A48D" w:rsidR="5D9EC2FC" w:rsidRPr="00ED02A5" w:rsidRDefault="5D9EC2FC" w:rsidP="00ED02A5">
            <w:pPr>
              <w:spacing w:before="240" w:after="0"/>
              <w:jc w:val="both"/>
              <w:rPr>
                <w:rFonts w:cstheme="minorHAnsi"/>
              </w:rPr>
            </w:pPr>
            <w:r w:rsidRPr="00ED02A5">
              <w:rPr>
                <w:rFonts w:cstheme="minorHAnsi"/>
              </w:rPr>
              <w:t>34</w:t>
            </w:r>
          </w:p>
        </w:tc>
      </w:tr>
      <w:tr w:rsidR="5D9EC2FC" w:rsidRPr="00ED02A5" w14:paraId="28972579" w14:textId="77777777" w:rsidTr="5D9EC2FC">
        <w:trPr>
          <w:trHeight w:val="300"/>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A2F81EA" w14:textId="25A3C9FC" w:rsidR="5D9EC2FC" w:rsidRPr="00ED02A5" w:rsidRDefault="5D9EC2FC" w:rsidP="00ED02A5">
            <w:pPr>
              <w:spacing w:before="240" w:after="0"/>
              <w:jc w:val="both"/>
              <w:rPr>
                <w:rFonts w:cstheme="minorHAnsi"/>
                <w:b/>
                <w:bCs/>
              </w:rPr>
            </w:pPr>
            <w:r w:rsidRPr="00ED02A5">
              <w:rPr>
                <w:rFonts w:cstheme="minorHAnsi"/>
                <w:b/>
                <w:bCs/>
              </w:rPr>
              <w:t>HR-BA</w:t>
            </w:r>
          </w:p>
        </w:tc>
        <w:tc>
          <w:tcPr>
            <w:tcW w:w="101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4E3C063" w14:textId="2C02812B" w:rsidR="5D9EC2FC" w:rsidRPr="00ED02A5" w:rsidRDefault="5D9EC2FC" w:rsidP="00ED02A5">
            <w:pPr>
              <w:spacing w:before="240" w:after="0"/>
              <w:jc w:val="both"/>
              <w:rPr>
                <w:rFonts w:cstheme="minorHAnsi"/>
                <w:b/>
                <w:bCs/>
              </w:rPr>
            </w:pPr>
            <w:r w:rsidRPr="00ED02A5">
              <w:rPr>
                <w:rFonts w:cstheme="minorHAnsi"/>
                <w:b/>
                <w:bCs/>
              </w:rPr>
              <w:t>3</w:t>
            </w:r>
          </w:p>
        </w:tc>
        <w:tc>
          <w:tcPr>
            <w:tcW w:w="111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26DC72F" w14:textId="1CE93720" w:rsidR="5D9EC2FC" w:rsidRPr="00ED02A5" w:rsidRDefault="5D9EC2FC" w:rsidP="00ED02A5">
            <w:pPr>
              <w:spacing w:before="240" w:after="0"/>
              <w:jc w:val="both"/>
              <w:rPr>
                <w:rFonts w:cstheme="minorHAnsi"/>
                <w:b/>
                <w:bCs/>
              </w:rPr>
            </w:pPr>
            <w:r w:rsidRPr="00ED02A5">
              <w:rPr>
                <w:rFonts w:cstheme="minorHAnsi"/>
                <w:b/>
                <w:bCs/>
              </w:rPr>
              <w:t>14</w:t>
            </w:r>
          </w:p>
        </w:tc>
      </w:tr>
      <w:tr w:rsidR="5D9EC2FC" w:rsidRPr="00ED02A5" w14:paraId="2A6128DA" w14:textId="77777777" w:rsidTr="5D9EC2FC">
        <w:trPr>
          <w:trHeight w:val="300"/>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5B16B0B" w14:textId="60A35BA8" w:rsidR="5D9EC2FC" w:rsidRPr="00ED02A5" w:rsidRDefault="5D9EC2FC" w:rsidP="00ED02A5">
            <w:pPr>
              <w:spacing w:before="240" w:after="0"/>
              <w:jc w:val="both"/>
              <w:rPr>
                <w:rFonts w:cstheme="minorHAnsi"/>
                <w:b/>
                <w:bCs/>
              </w:rPr>
            </w:pPr>
            <w:r w:rsidRPr="00ED02A5">
              <w:rPr>
                <w:rFonts w:cstheme="minorHAnsi"/>
                <w:b/>
                <w:bCs/>
              </w:rPr>
              <w:t>HR-RS</w:t>
            </w:r>
          </w:p>
        </w:tc>
        <w:tc>
          <w:tcPr>
            <w:tcW w:w="101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A9F13C" w14:textId="0F6D0D40" w:rsidR="5D9EC2FC" w:rsidRPr="00ED02A5" w:rsidRDefault="5D9EC2FC" w:rsidP="00ED02A5">
            <w:pPr>
              <w:spacing w:before="240" w:after="0"/>
              <w:jc w:val="both"/>
              <w:rPr>
                <w:rFonts w:cstheme="minorHAnsi"/>
                <w:b/>
                <w:bCs/>
              </w:rPr>
            </w:pPr>
            <w:r w:rsidRPr="00ED02A5">
              <w:rPr>
                <w:rFonts w:cstheme="minorHAnsi"/>
                <w:b/>
                <w:bCs/>
              </w:rPr>
              <w:t>1</w:t>
            </w:r>
          </w:p>
        </w:tc>
        <w:tc>
          <w:tcPr>
            <w:tcW w:w="111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3FD54A8" w14:textId="6AB0DF40" w:rsidR="5D9EC2FC" w:rsidRPr="00ED02A5" w:rsidRDefault="5D9EC2FC" w:rsidP="00ED02A5">
            <w:pPr>
              <w:spacing w:before="240" w:after="0"/>
              <w:jc w:val="both"/>
              <w:rPr>
                <w:rFonts w:cstheme="minorHAnsi"/>
                <w:b/>
                <w:bCs/>
              </w:rPr>
            </w:pPr>
            <w:r w:rsidRPr="00ED02A5">
              <w:rPr>
                <w:rFonts w:cstheme="minorHAnsi"/>
                <w:b/>
                <w:bCs/>
              </w:rPr>
              <w:t>4</w:t>
            </w:r>
          </w:p>
        </w:tc>
      </w:tr>
      <w:tr w:rsidR="5D9EC2FC" w:rsidRPr="00ED02A5" w14:paraId="1CCD063D" w14:textId="77777777" w:rsidTr="5D9EC2FC">
        <w:trPr>
          <w:trHeight w:val="300"/>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F9FC334" w14:textId="7F8CD3B4" w:rsidR="5D9EC2FC" w:rsidRPr="00ED02A5" w:rsidRDefault="5D9EC2FC" w:rsidP="00ED02A5">
            <w:pPr>
              <w:spacing w:before="240" w:after="0"/>
              <w:jc w:val="both"/>
              <w:rPr>
                <w:rFonts w:cstheme="minorHAnsi"/>
                <w:b/>
                <w:bCs/>
              </w:rPr>
            </w:pPr>
            <w:r w:rsidRPr="00ED02A5">
              <w:rPr>
                <w:rFonts w:cstheme="minorHAnsi"/>
                <w:b/>
                <w:bCs/>
              </w:rPr>
              <w:t>HU-RS</w:t>
            </w:r>
          </w:p>
        </w:tc>
        <w:tc>
          <w:tcPr>
            <w:tcW w:w="101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F1DB2ED" w14:textId="62116E09" w:rsidR="5D9EC2FC" w:rsidRPr="00ED02A5" w:rsidRDefault="5D9EC2FC" w:rsidP="00ED02A5">
            <w:pPr>
              <w:spacing w:before="240" w:after="0"/>
              <w:jc w:val="both"/>
              <w:rPr>
                <w:rFonts w:cstheme="minorHAnsi"/>
                <w:b/>
                <w:bCs/>
              </w:rPr>
            </w:pPr>
            <w:r w:rsidRPr="00ED02A5">
              <w:rPr>
                <w:rFonts w:cstheme="minorHAnsi"/>
                <w:b/>
                <w:bCs/>
              </w:rPr>
              <w:t>1</w:t>
            </w:r>
          </w:p>
        </w:tc>
        <w:tc>
          <w:tcPr>
            <w:tcW w:w="111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B2BA159" w14:textId="0866921F" w:rsidR="5D9EC2FC" w:rsidRPr="00ED02A5" w:rsidRDefault="5D9EC2FC" w:rsidP="00ED02A5">
            <w:pPr>
              <w:spacing w:before="240" w:after="0"/>
              <w:jc w:val="both"/>
              <w:rPr>
                <w:rFonts w:cstheme="minorHAnsi"/>
                <w:b/>
                <w:bCs/>
              </w:rPr>
            </w:pPr>
            <w:r w:rsidRPr="00ED02A5">
              <w:rPr>
                <w:rFonts w:cstheme="minorHAnsi"/>
                <w:b/>
                <w:bCs/>
              </w:rPr>
              <w:t>21</w:t>
            </w:r>
          </w:p>
        </w:tc>
      </w:tr>
      <w:tr w:rsidR="5D9EC2FC" w:rsidRPr="00ED02A5" w14:paraId="0FD99973" w14:textId="77777777" w:rsidTr="5D9EC2FC">
        <w:trPr>
          <w:trHeight w:val="300"/>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D7C2E78" w14:textId="60D2BA79" w:rsidR="5D9EC2FC" w:rsidRPr="00ED02A5" w:rsidRDefault="5D9EC2FC" w:rsidP="00ED02A5">
            <w:pPr>
              <w:spacing w:before="240" w:after="0"/>
              <w:jc w:val="both"/>
              <w:rPr>
                <w:rFonts w:cstheme="minorHAnsi"/>
              </w:rPr>
            </w:pPr>
            <w:r w:rsidRPr="00ED02A5">
              <w:rPr>
                <w:rFonts w:cstheme="minorHAnsi"/>
              </w:rPr>
              <w:t>HU-UA</w:t>
            </w:r>
          </w:p>
        </w:tc>
        <w:tc>
          <w:tcPr>
            <w:tcW w:w="101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1450ECB" w14:textId="4263A58B" w:rsidR="5D9EC2FC" w:rsidRPr="00ED02A5" w:rsidRDefault="5D9EC2FC" w:rsidP="00ED02A5">
            <w:pPr>
              <w:spacing w:before="240" w:after="0"/>
              <w:jc w:val="both"/>
              <w:rPr>
                <w:rFonts w:cstheme="minorHAnsi"/>
              </w:rPr>
            </w:pPr>
            <w:r w:rsidRPr="00ED02A5">
              <w:rPr>
                <w:rFonts w:cstheme="minorHAnsi"/>
              </w:rPr>
              <w:t>4</w:t>
            </w:r>
          </w:p>
        </w:tc>
        <w:tc>
          <w:tcPr>
            <w:tcW w:w="111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9803E1E" w14:textId="6A24E3DB" w:rsidR="5D9EC2FC" w:rsidRPr="00ED02A5" w:rsidRDefault="5D9EC2FC" w:rsidP="00ED02A5">
            <w:pPr>
              <w:spacing w:before="240" w:after="0"/>
              <w:jc w:val="both"/>
              <w:rPr>
                <w:rFonts w:cstheme="minorHAnsi"/>
              </w:rPr>
            </w:pPr>
            <w:r w:rsidRPr="00ED02A5">
              <w:rPr>
                <w:rFonts w:cstheme="minorHAnsi"/>
              </w:rPr>
              <w:t>70</w:t>
            </w:r>
          </w:p>
        </w:tc>
      </w:tr>
      <w:tr w:rsidR="5D9EC2FC" w:rsidRPr="00ED02A5" w14:paraId="161A920A" w14:textId="77777777" w:rsidTr="5D9EC2FC">
        <w:trPr>
          <w:trHeight w:val="300"/>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BD6DBBA" w14:textId="65E285D5" w:rsidR="5D9EC2FC" w:rsidRPr="00ED02A5" w:rsidRDefault="5D9EC2FC" w:rsidP="00ED02A5">
            <w:pPr>
              <w:spacing w:before="240" w:after="0"/>
              <w:jc w:val="both"/>
              <w:rPr>
                <w:rFonts w:cstheme="minorHAnsi"/>
              </w:rPr>
            </w:pPr>
            <w:r w:rsidRPr="00ED02A5">
              <w:rPr>
                <w:rFonts w:cstheme="minorHAnsi"/>
              </w:rPr>
              <w:t>PL-UA</w:t>
            </w:r>
          </w:p>
        </w:tc>
        <w:tc>
          <w:tcPr>
            <w:tcW w:w="101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7B9B8BE" w14:textId="354ACEB1" w:rsidR="5D9EC2FC" w:rsidRPr="00ED02A5" w:rsidRDefault="5D9EC2FC" w:rsidP="00ED02A5">
            <w:pPr>
              <w:spacing w:before="240" w:after="0"/>
              <w:jc w:val="both"/>
              <w:rPr>
                <w:rFonts w:cstheme="minorHAnsi"/>
              </w:rPr>
            </w:pPr>
            <w:r w:rsidRPr="00ED02A5">
              <w:rPr>
                <w:rFonts w:cstheme="minorHAnsi"/>
              </w:rPr>
              <w:t>1</w:t>
            </w:r>
          </w:p>
        </w:tc>
        <w:tc>
          <w:tcPr>
            <w:tcW w:w="111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B591D89" w14:textId="3F81B905" w:rsidR="5D9EC2FC" w:rsidRPr="00ED02A5" w:rsidRDefault="5D9EC2FC" w:rsidP="00ED02A5">
            <w:pPr>
              <w:spacing w:before="240" w:after="0"/>
              <w:jc w:val="both"/>
              <w:rPr>
                <w:rFonts w:cstheme="minorHAnsi"/>
              </w:rPr>
            </w:pPr>
            <w:r w:rsidRPr="00ED02A5">
              <w:rPr>
                <w:rFonts w:cstheme="minorHAnsi"/>
              </w:rPr>
              <w:t>32</w:t>
            </w:r>
          </w:p>
        </w:tc>
      </w:tr>
      <w:tr w:rsidR="5D9EC2FC" w:rsidRPr="00ED02A5" w14:paraId="6D189AE9" w14:textId="77777777" w:rsidTr="5D9EC2FC">
        <w:trPr>
          <w:trHeight w:val="300"/>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795BC25" w14:textId="7811B567" w:rsidR="5D9EC2FC" w:rsidRPr="00ED02A5" w:rsidRDefault="5D9EC2FC" w:rsidP="00ED02A5">
            <w:pPr>
              <w:spacing w:before="240" w:after="0"/>
              <w:jc w:val="both"/>
              <w:rPr>
                <w:rFonts w:cstheme="minorHAnsi"/>
                <w:b/>
                <w:bCs/>
              </w:rPr>
            </w:pPr>
            <w:r w:rsidRPr="00ED02A5">
              <w:rPr>
                <w:rFonts w:cstheme="minorHAnsi"/>
                <w:b/>
                <w:bCs/>
              </w:rPr>
              <w:t>RO-RS</w:t>
            </w:r>
          </w:p>
        </w:tc>
        <w:tc>
          <w:tcPr>
            <w:tcW w:w="101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2618F7D" w14:textId="2CC7F617" w:rsidR="5D9EC2FC" w:rsidRPr="00ED02A5" w:rsidRDefault="5D9EC2FC" w:rsidP="00ED02A5">
            <w:pPr>
              <w:spacing w:before="240" w:after="0"/>
              <w:jc w:val="both"/>
              <w:rPr>
                <w:rFonts w:cstheme="minorHAnsi"/>
                <w:b/>
                <w:bCs/>
              </w:rPr>
            </w:pPr>
            <w:r w:rsidRPr="00ED02A5">
              <w:rPr>
                <w:rFonts w:cstheme="minorHAnsi"/>
                <w:b/>
                <w:bCs/>
              </w:rPr>
              <w:t>1</w:t>
            </w:r>
          </w:p>
        </w:tc>
        <w:tc>
          <w:tcPr>
            <w:tcW w:w="111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9E35E98" w14:textId="6BAC29BA" w:rsidR="5D9EC2FC" w:rsidRPr="00ED02A5" w:rsidRDefault="5D9EC2FC" w:rsidP="00ED02A5">
            <w:pPr>
              <w:spacing w:before="240" w:after="0"/>
              <w:jc w:val="both"/>
              <w:rPr>
                <w:rFonts w:cstheme="minorHAnsi"/>
                <w:b/>
                <w:bCs/>
              </w:rPr>
            </w:pPr>
            <w:r w:rsidRPr="00ED02A5">
              <w:rPr>
                <w:rFonts w:cstheme="minorHAnsi"/>
                <w:b/>
                <w:bCs/>
              </w:rPr>
              <w:t>26</w:t>
            </w:r>
          </w:p>
        </w:tc>
      </w:tr>
      <w:tr w:rsidR="5D9EC2FC" w:rsidRPr="00ED02A5" w14:paraId="0BAB01E2" w14:textId="77777777" w:rsidTr="5D9EC2FC">
        <w:trPr>
          <w:trHeight w:val="300"/>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4A33809" w14:textId="55F4D4C8" w:rsidR="5D9EC2FC" w:rsidRPr="00ED02A5" w:rsidRDefault="5D9EC2FC" w:rsidP="00ED02A5">
            <w:pPr>
              <w:spacing w:before="240" w:after="0"/>
              <w:jc w:val="both"/>
              <w:rPr>
                <w:rFonts w:cstheme="minorHAnsi"/>
              </w:rPr>
            </w:pPr>
            <w:r w:rsidRPr="00ED02A5">
              <w:rPr>
                <w:rFonts w:cstheme="minorHAnsi"/>
              </w:rPr>
              <w:t>RO-UA</w:t>
            </w:r>
          </w:p>
        </w:tc>
        <w:tc>
          <w:tcPr>
            <w:tcW w:w="101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23D07D2" w14:textId="23369D38" w:rsidR="5D9EC2FC" w:rsidRPr="00ED02A5" w:rsidRDefault="5D9EC2FC" w:rsidP="00ED02A5">
            <w:pPr>
              <w:spacing w:before="240" w:after="0"/>
              <w:jc w:val="both"/>
              <w:rPr>
                <w:rFonts w:cstheme="minorHAnsi"/>
              </w:rPr>
            </w:pPr>
            <w:r w:rsidRPr="00ED02A5">
              <w:rPr>
                <w:rFonts w:cstheme="minorHAnsi"/>
              </w:rPr>
              <w:t>1</w:t>
            </w:r>
          </w:p>
        </w:tc>
        <w:tc>
          <w:tcPr>
            <w:tcW w:w="111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4F0A4E" w14:textId="185E1E3F" w:rsidR="5D9EC2FC" w:rsidRPr="00ED02A5" w:rsidRDefault="5D9EC2FC" w:rsidP="00ED02A5">
            <w:pPr>
              <w:spacing w:before="240" w:after="0"/>
              <w:jc w:val="both"/>
              <w:rPr>
                <w:rFonts w:cstheme="minorHAnsi"/>
              </w:rPr>
            </w:pPr>
            <w:r w:rsidRPr="00ED02A5">
              <w:rPr>
                <w:rFonts w:cstheme="minorHAnsi"/>
              </w:rPr>
              <w:t>26</w:t>
            </w:r>
          </w:p>
        </w:tc>
      </w:tr>
      <w:tr w:rsidR="5D9EC2FC" w:rsidRPr="00ED02A5" w14:paraId="5CCC7575" w14:textId="77777777" w:rsidTr="5D9EC2FC">
        <w:trPr>
          <w:trHeight w:val="300"/>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8D915AA" w14:textId="1532CB42" w:rsidR="5D9EC2FC" w:rsidRPr="00ED02A5" w:rsidRDefault="5D9EC2FC" w:rsidP="00ED02A5">
            <w:pPr>
              <w:spacing w:before="240" w:after="0"/>
              <w:jc w:val="both"/>
              <w:rPr>
                <w:rFonts w:cstheme="minorHAnsi"/>
              </w:rPr>
            </w:pPr>
            <w:r w:rsidRPr="00ED02A5">
              <w:rPr>
                <w:rFonts w:cstheme="minorHAnsi"/>
              </w:rPr>
              <w:t>SK-UA</w:t>
            </w:r>
          </w:p>
        </w:tc>
        <w:tc>
          <w:tcPr>
            <w:tcW w:w="101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CF607C9" w14:textId="14597C64" w:rsidR="5D9EC2FC" w:rsidRPr="00ED02A5" w:rsidRDefault="5D9EC2FC" w:rsidP="00ED02A5">
            <w:pPr>
              <w:spacing w:before="240" w:after="0"/>
              <w:jc w:val="both"/>
              <w:rPr>
                <w:rFonts w:cstheme="minorHAnsi"/>
              </w:rPr>
            </w:pPr>
            <w:r w:rsidRPr="00ED02A5">
              <w:rPr>
                <w:rFonts w:cstheme="minorHAnsi"/>
              </w:rPr>
              <w:t>1</w:t>
            </w:r>
          </w:p>
        </w:tc>
        <w:tc>
          <w:tcPr>
            <w:tcW w:w="111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E36FCCB" w14:textId="0CBD0C49" w:rsidR="5D9EC2FC" w:rsidRPr="00ED02A5" w:rsidRDefault="5D9EC2FC" w:rsidP="00ED02A5">
            <w:pPr>
              <w:spacing w:before="240" w:after="0"/>
              <w:jc w:val="both"/>
              <w:rPr>
                <w:rFonts w:cstheme="minorHAnsi"/>
              </w:rPr>
            </w:pPr>
            <w:r w:rsidRPr="00ED02A5">
              <w:rPr>
                <w:rFonts w:cstheme="minorHAnsi"/>
              </w:rPr>
              <w:t>10</w:t>
            </w:r>
          </w:p>
        </w:tc>
      </w:tr>
    </w:tbl>
    <w:p w14:paraId="4D6361B2" w14:textId="12762698" w:rsidR="613FAAE5" w:rsidRPr="00ED02A5" w:rsidRDefault="192FAB59" w:rsidP="00ED02A5">
      <w:pPr>
        <w:spacing w:before="240" w:after="240"/>
        <w:jc w:val="both"/>
        <w:rPr>
          <w:rFonts w:eastAsia="Calibri" w:cstheme="minorHAnsi"/>
        </w:rPr>
      </w:pPr>
      <w:r w:rsidRPr="00ED02A5">
        <w:rPr>
          <w:rFonts w:eastAsia="Calibri" w:cstheme="minorHAnsi"/>
        </w:rPr>
        <w:lastRenderedPageBreak/>
        <w:t xml:space="preserve"> </w:t>
      </w:r>
    </w:p>
    <w:p w14:paraId="2C64D737" w14:textId="26AB23B2" w:rsidR="613FAAE5" w:rsidRPr="00ED02A5" w:rsidRDefault="1F4AF160" w:rsidP="11041D9B">
      <w:pPr>
        <w:spacing w:before="240" w:after="240"/>
        <w:jc w:val="both"/>
        <w:rPr>
          <w:rFonts w:ascii="Calibri" w:eastAsia="Calibri" w:hAnsi="Calibri" w:cs="Calibri"/>
        </w:rPr>
      </w:pPr>
      <w:r w:rsidRPr="11041D9B">
        <w:rPr>
          <w:rFonts w:eastAsia="Calibri"/>
        </w:rPr>
        <w:t>These CNE(C)s are significantly impacted by</w:t>
      </w:r>
      <w:r w:rsidR="58D6CE5D" w:rsidRPr="11041D9B">
        <w:rPr>
          <w:rFonts w:eastAsia="Calibri"/>
        </w:rPr>
        <w:t xml:space="preserve"> exchanges within</w:t>
      </w:r>
      <w:r w:rsidRPr="11041D9B">
        <w:rPr>
          <w:rFonts w:eastAsia="Calibri"/>
        </w:rPr>
        <w:t xml:space="preserve"> Core CCR</w:t>
      </w:r>
      <w:r w:rsidRPr="2E04FF72">
        <w:rPr>
          <w:rFonts w:eastAsia="Calibri"/>
        </w:rPr>
        <w:t>.</w:t>
      </w:r>
      <w:r w:rsidR="632A7DD1" w:rsidRPr="11041D9B">
        <w:rPr>
          <w:rFonts w:ascii="Calibri" w:eastAsia="Calibri" w:hAnsi="Calibri" w:cs="Calibri"/>
        </w:rPr>
        <w:t xml:space="preserve"> Some interconnectors toward non-Core bidding zones exhibit the highest zone-to-zone PTDF values.</w:t>
      </w:r>
    </w:p>
    <w:p w14:paraId="68192381" w14:textId="28EC4890" w:rsidR="613FAAE5" w:rsidRPr="00ED02A5" w:rsidRDefault="6C86AEA9" w:rsidP="00ED02A5">
      <w:pPr>
        <w:spacing w:before="240" w:after="240"/>
        <w:jc w:val="both"/>
        <w:rPr>
          <w:rFonts w:eastAsia="Calibri"/>
        </w:rPr>
      </w:pPr>
      <w:r w:rsidRPr="11041D9B">
        <w:rPr>
          <w:rFonts w:eastAsia="Calibri"/>
        </w:rPr>
        <w:t xml:space="preserve">Between </w:t>
      </w:r>
      <w:r w:rsidR="1F4AF160" w:rsidRPr="11041D9B">
        <w:rPr>
          <w:rFonts w:eastAsia="Calibri"/>
        </w:rPr>
        <w:t xml:space="preserve">the Western Balkan bidding zones, </w:t>
      </w:r>
      <w:r w:rsidR="7DF40A44" w:rsidRPr="11041D9B">
        <w:rPr>
          <w:rFonts w:ascii="Calibri" w:eastAsia="Calibri" w:hAnsi="Calibri" w:cs="Calibri"/>
        </w:rPr>
        <w:t xml:space="preserve">several transmission lines exhibit a strong influence from cross-zonal exchanges </w:t>
      </w:r>
      <w:r w:rsidR="7DF40A44" w:rsidRPr="2E04FF72">
        <w:rPr>
          <w:rFonts w:ascii="Calibri" w:eastAsia="Calibri" w:hAnsi="Calibri" w:cs="Calibri"/>
        </w:rPr>
        <w:t>with</w:t>
      </w:r>
      <w:r w:rsidR="4F90B609" w:rsidRPr="2E04FF72">
        <w:rPr>
          <w:rFonts w:ascii="Calibri" w:eastAsia="Calibri" w:hAnsi="Calibri" w:cs="Calibri"/>
        </w:rPr>
        <w:t>in</w:t>
      </w:r>
      <w:r w:rsidR="7DF40A44" w:rsidRPr="11041D9B">
        <w:rPr>
          <w:rFonts w:ascii="Calibri" w:eastAsia="Calibri" w:hAnsi="Calibri" w:cs="Calibri"/>
        </w:rPr>
        <w:t xml:space="preserve"> the Core region</w:t>
      </w:r>
      <w:r w:rsidR="1F4AF160" w:rsidRPr="263B72E6">
        <w:rPr>
          <w:rFonts w:ascii="Calibri" w:eastAsia="Calibri" w:hAnsi="Calibri" w:cs="Calibri"/>
        </w:rPr>
        <w:t>,</w:t>
      </w:r>
      <w:r w:rsidR="1F4AF160" w:rsidRPr="2E04FF72">
        <w:rPr>
          <w:rFonts w:eastAsia="Calibri"/>
        </w:rPr>
        <w:t xml:space="preserve"> </w:t>
      </w:r>
      <w:r w:rsidR="476BE3E5" w:rsidRPr="2E04FF72">
        <w:rPr>
          <w:rFonts w:eastAsia="Calibri"/>
        </w:rPr>
        <w:t>therefore</w:t>
      </w:r>
      <w:r w:rsidR="1F4AF160" w:rsidRPr="11041D9B">
        <w:rPr>
          <w:rFonts w:eastAsia="Calibri"/>
        </w:rPr>
        <w:t xml:space="preserve"> it </w:t>
      </w:r>
      <w:r w:rsidR="45B67540" w:rsidRPr="11041D9B">
        <w:rPr>
          <w:rFonts w:eastAsia="Calibri"/>
        </w:rPr>
        <w:t xml:space="preserve">would </w:t>
      </w:r>
      <w:r w:rsidR="45B67540" w:rsidRPr="2E04FF72">
        <w:rPr>
          <w:rFonts w:eastAsia="Calibri"/>
        </w:rPr>
        <w:t>be</w:t>
      </w:r>
      <w:r w:rsidR="1F4AF160" w:rsidRPr="11041D9B">
        <w:rPr>
          <w:rFonts w:eastAsia="Calibri"/>
        </w:rPr>
        <w:t xml:space="preserve"> logical to include </w:t>
      </w:r>
      <w:r w:rsidR="57C39814" w:rsidRPr="263B72E6">
        <w:rPr>
          <w:rFonts w:eastAsia="Calibri"/>
        </w:rPr>
        <w:t>them</w:t>
      </w:r>
      <w:r w:rsidR="57C39814" w:rsidRPr="11041D9B">
        <w:rPr>
          <w:rFonts w:ascii="Calibri" w:eastAsia="Calibri" w:hAnsi="Calibri" w:cs="Calibri"/>
        </w:rPr>
        <w:t xml:space="preserve"> in the Core CCR capacity calculation process.</w:t>
      </w:r>
      <w:r w:rsidR="6D864575" w:rsidRPr="2E04FF72">
        <w:rPr>
          <w:rFonts w:ascii="Calibri" w:eastAsia="Calibri" w:hAnsi="Calibri" w:cs="Calibri"/>
        </w:rPr>
        <w:t xml:space="preserve"> </w:t>
      </w:r>
      <w:r w:rsidR="192FAB59" w:rsidRPr="2E04FF72">
        <w:rPr>
          <w:rFonts w:eastAsia="Calibri"/>
        </w:rPr>
        <w:t>For example, those are:</w:t>
      </w:r>
    </w:p>
    <w:p w14:paraId="3F6B8E9F" w14:textId="27244F88" w:rsidR="613FAAE5" w:rsidRPr="00ED02A5" w:rsidRDefault="192FAB59" w:rsidP="00ED02A5">
      <w:pPr>
        <w:pStyle w:val="ListParagraph"/>
        <w:numPr>
          <w:ilvl w:val="0"/>
          <w:numId w:val="6"/>
        </w:numPr>
        <w:spacing w:after="0"/>
        <w:jc w:val="both"/>
        <w:rPr>
          <w:rFonts w:eastAsia="Calibri" w:cstheme="minorHAnsi"/>
        </w:rPr>
      </w:pPr>
      <w:r w:rsidRPr="00ED02A5">
        <w:rPr>
          <w:rFonts w:eastAsia="Calibri" w:cstheme="minorHAnsi"/>
        </w:rPr>
        <w:t>DV 400kV Ugljevik – Mitrovica with an average z2z PTDF value equal to 13%,</w:t>
      </w:r>
    </w:p>
    <w:p w14:paraId="57280FD7" w14:textId="2C41A7C6" w:rsidR="613FAAE5" w:rsidRPr="00ED02A5" w:rsidRDefault="192FAB59" w:rsidP="00ED02A5">
      <w:pPr>
        <w:pStyle w:val="ListParagraph"/>
        <w:numPr>
          <w:ilvl w:val="0"/>
          <w:numId w:val="6"/>
        </w:numPr>
        <w:spacing w:after="0"/>
        <w:jc w:val="both"/>
        <w:rPr>
          <w:rFonts w:eastAsia="Calibri"/>
        </w:rPr>
      </w:pPr>
      <w:r w:rsidRPr="5064FC44">
        <w:rPr>
          <w:rFonts w:eastAsia="Calibri"/>
        </w:rPr>
        <w:t>DV 400kV Trebinje – Lastva with an average z2z PTDF value equal to 13%,</w:t>
      </w:r>
    </w:p>
    <w:p w14:paraId="5C203E11" w14:textId="72A73598" w:rsidR="613FAAE5" w:rsidRPr="00ED02A5" w:rsidRDefault="613FAAE5" w:rsidP="11041D9B">
      <w:pPr>
        <w:spacing w:before="240" w:after="240"/>
        <w:jc w:val="both"/>
        <w:rPr>
          <w:rFonts w:eastAsia="Calibri"/>
        </w:rPr>
      </w:pPr>
    </w:p>
    <w:p w14:paraId="0F9DC617" w14:textId="4E6FC87B" w:rsidR="53AB7427" w:rsidRDefault="01C098DE" w:rsidP="4E8458CF">
      <w:pPr>
        <w:spacing w:before="240" w:after="240"/>
        <w:jc w:val="both"/>
        <w:rPr>
          <w:rFonts w:eastAsia="Calibri"/>
        </w:rPr>
      </w:pPr>
      <w:r w:rsidRPr="4E8458CF">
        <w:rPr>
          <w:rFonts w:ascii="Calibri" w:eastAsia="Calibri" w:hAnsi="Calibri" w:cs="Calibri"/>
        </w:rPr>
        <w:t>These values indicate significant interdependencies between the Core CCR and the EMS, CGES, and NOSBiH bidding zones. Such influences must be taken into account to ensure that available capacities are accurately reflected in the market.</w:t>
      </w:r>
      <w:r w:rsidR="1F4AF160" w:rsidRPr="4E8458CF">
        <w:rPr>
          <w:rFonts w:eastAsia="Calibri"/>
        </w:rPr>
        <w:t xml:space="preserve"> Additionally,</w:t>
      </w:r>
      <w:r w:rsidR="5A2BB96D" w:rsidRPr="4E8458CF">
        <w:rPr>
          <w:rFonts w:eastAsia="Calibri"/>
        </w:rPr>
        <w:t xml:space="preserve"> </w:t>
      </w:r>
      <w:r w:rsidR="5A2BB96D" w:rsidRPr="4E8458CF">
        <w:rPr>
          <w:rFonts w:ascii="Calibri" w:eastAsia="Calibri" w:hAnsi="Calibri" w:cs="Calibri"/>
        </w:rPr>
        <w:t xml:space="preserve">within the highly meshed and flow-interdependent region consisting of the SLO–AT–HU–HR–BA–RO–RS–ME bidding zones, use of a flow-based as a </w:t>
      </w:r>
      <w:r w:rsidR="5AC77804" w:rsidRPr="4E8458CF">
        <w:rPr>
          <w:rFonts w:ascii="Calibri" w:eastAsia="Calibri" w:hAnsi="Calibri" w:cs="Calibri"/>
        </w:rPr>
        <w:t>target solution</w:t>
      </w:r>
      <w:r w:rsidR="5A2BB96D" w:rsidRPr="4E8458CF">
        <w:rPr>
          <w:rFonts w:ascii="Calibri" w:eastAsia="Calibri" w:hAnsi="Calibri" w:cs="Calibri"/>
        </w:rPr>
        <w:t xml:space="preserve"> is justified.</w:t>
      </w:r>
      <w:r w:rsidR="1F4AF160" w:rsidRPr="4E8458CF">
        <w:rPr>
          <w:rFonts w:eastAsia="Calibri"/>
        </w:rPr>
        <w:t xml:space="preserve"> </w:t>
      </w:r>
    </w:p>
    <w:p w14:paraId="5C98679D" w14:textId="49614B25" w:rsidR="613FAAE5" w:rsidRPr="00ED02A5" w:rsidRDefault="60E0375B" w:rsidP="11041D9B">
      <w:pPr>
        <w:tabs>
          <w:tab w:val="left" w:pos="2325"/>
        </w:tabs>
        <w:spacing w:before="240" w:after="0"/>
        <w:jc w:val="both"/>
        <w:rPr>
          <w:rFonts w:ascii="Calibri" w:eastAsia="Calibri" w:hAnsi="Calibri" w:cs="Calibri"/>
        </w:rPr>
      </w:pPr>
      <w:r w:rsidRPr="11041D9B">
        <w:rPr>
          <w:rFonts w:ascii="Calibri" w:eastAsia="Calibri" w:hAnsi="Calibri" w:cs="Calibri"/>
        </w:rPr>
        <w:t>On the other hand, considering both the ongoing merger of the CE CCR in the day-ahead timeframe and the future CE merger activities proposed by this amendment, as well as the uncertainties coming from</w:t>
      </w:r>
      <w:r w:rsidR="61B8B377" w:rsidRPr="11041D9B">
        <w:rPr>
          <w:rFonts w:ascii="Calibri" w:eastAsia="Calibri" w:hAnsi="Calibri" w:cs="Calibri"/>
        </w:rPr>
        <w:t xml:space="preserve"> </w:t>
      </w:r>
      <w:r w:rsidRPr="11041D9B">
        <w:rPr>
          <w:rFonts w:ascii="Calibri" w:eastAsia="Calibri" w:hAnsi="Calibri" w:cs="Calibri"/>
        </w:rPr>
        <w:t xml:space="preserve">the </w:t>
      </w:r>
      <w:r w:rsidR="013DACAE" w:rsidRPr="2E04FF72">
        <w:rPr>
          <w:rFonts w:ascii="Calibri" w:eastAsia="Calibri" w:hAnsi="Calibri" w:cs="Calibri"/>
        </w:rPr>
        <w:t>ongoing</w:t>
      </w:r>
      <w:r w:rsidRPr="11041D9B">
        <w:rPr>
          <w:rFonts w:ascii="Calibri" w:eastAsia="Calibri" w:hAnsi="Calibri" w:cs="Calibri"/>
        </w:rPr>
        <w:t xml:space="preserve"> transposition of the Electricity Integration Package into the national legislation of the WB3 countrie</w:t>
      </w:r>
      <w:r w:rsidR="0EF0FA53" w:rsidRPr="11041D9B">
        <w:rPr>
          <w:rFonts w:ascii="Calibri" w:eastAsia="Calibri" w:hAnsi="Calibri" w:cs="Calibri"/>
        </w:rPr>
        <w:t>s</w:t>
      </w:r>
      <w:r w:rsidR="613FAAE5" w:rsidRPr="11041D9B" w:rsidDel="0EF0FA53">
        <w:rPr>
          <w:rFonts w:ascii="Calibri" w:eastAsia="Calibri" w:hAnsi="Calibri" w:cs="Calibri"/>
        </w:rPr>
        <w:t xml:space="preserve"> </w:t>
      </w:r>
      <w:r w:rsidRPr="11041D9B">
        <w:rPr>
          <w:rFonts w:ascii="Calibri" w:eastAsia="Calibri" w:hAnsi="Calibri" w:cs="Calibri"/>
        </w:rPr>
        <w:t>and the</w:t>
      </w:r>
      <w:r w:rsidR="4417D174" w:rsidRPr="11041D9B">
        <w:rPr>
          <w:rFonts w:ascii="Calibri" w:eastAsia="Calibri" w:hAnsi="Calibri" w:cs="Calibri"/>
        </w:rPr>
        <w:t xml:space="preserve">ir </w:t>
      </w:r>
      <w:r w:rsidR="7C8621AD" w:rsidRPr="11041D9B">
        <w:rPr>
          <w:rFonts w:ascii="Calibri" w:eastAsia="Calibri" w:hAnsi="Calibri" w:cs="Calibri"/>
        </w:rPr>
        <w:t>technical</w:t>
      </w:r>
      <w:r w:rsidRPr="11041D9B">
        <w:rPr>
          <w:rFonts w:ascii="Calibri" w:eastAsia="Calibri" w:hAnsi="Calibri" w:cs="Calibri"/>
        </w:rPr>
        <w:t xml:space="preserve"> readine</w:t>
      </w:r>
      <w:r w:rsidR="39C7E82A" w:rsidRPr="11041D9B">
        <w:rPr>
          <w:rFonts w:ascii="Calibri" w:eastAsia="Calibri" w:hAnsi="Calibri" w:cs="Calibri"/>
        </w:rPr>
        <w:t>ss</w:t>
      </w:r>
      <w:r w:rsidRPr="11041D9B">
        <w:rPr>
          <w:rFonts w:ascii="Calibri" w:eastAsia="Calibri" w:hAnsi="Calibri" w:cs="Calibri"/>
        </w:rPr>
        <w:t>, the immediate accession of WB3 TSOs would risk delaying the CE merger timeline</w:t>
      </w:r>
      <w:r w:rsidR="67649E11" w:rsidRPr="11041D9B">
        <w:rPr>
          <w:rFonts w:ascii="Calibri" w:eastAsia="Calibri" w:hAnsi="Calibri" w:cs="Calibri"/>
        </w:rPr>
        <w:t>.</w:t>
      </w:r>
    </w:p>
    <w:p w14:paraId="6E9E1A5D" w14:textId="4A625878" w:rsidR="613FAAE5" w:rsidRPr="00ED02A5" w:rsidRDefault="67649E11" w:rsidP="11041D9B">
      <w:pPr>
        <w:tabs>
          <w:tab w:val="left" w:pos="2325"/>
        </w:tabs>
        <w:spacing w:before="240" w:after="0"/>
        <w:jc w:val="both"/>
        <w:rPr>
          <w:rFonts w:ascii="Calibri" w:eastAsia="Calibri" w:hAnsi="Calibri" w:cs="Calibri"/>
        </w:rPr>
      </w:pPr>
      <w:r w:rsidRPr="11041D9B">
        <w:rPr>
          <w:rFonts w:ascii="Calibri" w:eastAsia="Calibri" w:hAnsi="Calibri" w:cs="Calibri"/>
        </w:rPr>
        <w:t>Therefore, the following agreement was reached between CE and WB3 TS</w:t>
      </w:r>
      <w:r w:rsidR="3EC39418" w:rsidRPr="11041D9B">
        <w:rPr>
          <w:rFonts w:ascii="Calibri" w:eastAsia="Calibri" w:hAnsi="Calibri" w:cs="Calibri"/>
        </w:rPr>
        <w:t>Os:</w:t>
      </w:r>
    </w:p>
    <w:p w14:paraId="748B21C7" w14:textId="5FB0D7EC" w:rsidR="613FAAE5" w:rsidRPr="00ED02A5" w:rsidRDefault="3F1ED54F" w:rsidP="11041D9B">
      <w:pPr>
        <w:tabs>
          <w:tab w:val="left" w:pos="2325"/>
        </w:tabs>
        <w:spacing w:before="240" w:after="0"/>
        <w:jc w:val="both"/>
      </w:pPr>
      <w:r w:rsidRPr="11041D9B">
        <w:t>As a first step, WB3 TSOs</w:t>
      </w:r>
      <w:r w:rsidR="3054F4FE">
        <w:t xml:space="preserve"> together with neighbouring EU TSOs</w:t>
      </w:r>
      <w:r w:rsidRPr="11041D9B">
        <w:t>, will establish a interim ECE CCR with scope limited to coordinated day ahead capacity cal</w:t>
      </w:r>
      <w:r w:rsidR="3C0D18A7" w:rsidRPr="11041D9B">
        <w:t>culation</w:t>
      </w:r>
      <w:r w:rsidR="3BBDFF05" w:rsidRPr="11041D9B">
        <w:t xml:space="preserve"> </w:t>
      </w:r>
      <w:r w:rsidR="3BBDFF05">
        <w:t>-</w:t>
      </w:r>
      <w:r w:rsidR="3C0D18A7" w:rsidRPr="11041D9B">
        <w:t xml:space="preserve"> which will be implemented once EIP has been fully transposed into national legislation by all WB3 cou</w:t>
      </w:r>
      <w:r w:rsidR="0E1AB5C4" w:rsidRPr="11041D9B">
        <w:t>ntries.</w:t>
      </w:r>
    </w:p>
    <w:p w14:paraId="5F367F24" w14:textId="5AEFC1CD" w:rsidR="0E1AB5C4" w:rsidRDefault="0E1AB5C4" w:rsidP="11041D9B">
      <w:pPr>
        <w:pStyle w:val="ListParagraph"/>
        <w:ind w:left="0"/>
        <w:jc w:val="both"/>
      </w:pPr>
      <w:r w:rsidRPr="11041D9B">
        <w:t xml:space="preserve">Following the go-live of the CE Day-Ahead Capacity Calculation process, and once the ECE CCR </w:t>
      </w:r>
      <w:r w:rsidR="3F5D7C69" w:rsidRPr="11041D9B">
        <w:t>fulfils</w:t>
      </w:r>
      <w:r w:rsidRPr="11041D9B">
        <w:t xml:space="preserve"> all necessary conditions:</w:t>
      </w:r>
    </w:p>
    <w:p w14:paraId="037670B0" w14:textId="62FC3703" w:rsidR="11041D9B" w:rsidRDefault="11041D9B" w:rsidP="11041D9B">
      <w:pPr>
        <w:pStyle w:val="ListParagraph"/>
        <w:ind w:left="0"/>
        <w:jc w:val="both"/>
      </w:pPr>
    </w:p>
    <w:p w14:paraId="7ADE3D50" w14:textId="335EF53D" w:rsidR="0E1AB5C4" w:rsidRDefault="0E1AB5C4" w:rsidP="11041D9B">
      <w:pPr>
        <w:pStyle w:val="ListParagraph"/>
        <w:numPr>
          <w:ilvl w:val="0"/>
          <w:numId w:val="1"/>
        </w:numPr>
        <w:jc w:val="both"/>
      </w:pPr>
      <w:r w:rsidRPr="11041D9B">
        <w:t>Full transposition of the EIP into national legislation,</w:t>
      </w:r>
    </w:p>
    <w:p w14:paraId="18050176" w14:textId="5C966D7D" w:rsidR="0E1AB5C4" w:rsidRDefault="0E1AB5C4" w:rsidP="11041D9B">
      <w:pPr>
        <w:pStyle w:val="ListParagraph"/>
        <w:numPr>
          <w:ilvl w:val="0"/>
          <w:numId w:val="1"/>
        </w:numPr>
        <w:jc w:val="both"/>
      </w:pPr>
      <w:r w:rsidRPr="11041D9B">
        <w:t>Full implementation of</w:t>
      </w:r>
      <w:r w:rsidR="1595A6BA" w:rsidRPr="11041D9B">
        <w:t xml:space="preserve"> ECE</w:t>
      </w:r>
      <w:r w:rsidRPr="11041D9B">
        <w:t xml:space="preserve"> day-ahead capacity calculation processes, and</w:t>
      </w:r>
    </w:p>
    <w:p w14:paraId="449AAA8A" w14:textId="563AEA18" w:rsidR="0E1AB5C4" w:rsidRDefault="0E1AB5C4" w:rsidP="11041D9B">
      <w:pPr>
        <w:pStyle w:val="ListParagraph"/>
        <w:numPr>
          <w:ilvl w:val="0"/>
          <w:numId w:val="1"/>
        </w:numPr>
        <w:jc w:val="both"/>
      </w:pPr>
      <w:r w:rsidRPr="11041D9B">
        <w:t xml:space="preserve">Active participation in the Single Day-Ahead Coupling </w:t>
      </w:r>
    </w:p>
    <w:p w14:paraId="6196E0FC" w14:textId="1784B862" w:rsidR="2E04FF72" w:rsidRDefault="2E04FF72" w:rsidP="2E04FF72">
      <w:pPr>
        <w:pStyle w:val="ListParagraph"/>
        <w:jc w:val="both"/>
      </w:pPr>
    </w:p>
    <w:p w14:paraId="1DC242CB" w14:textId="7F22D7F0" w:rsidR="0E1AB5C4" w:rsidRDefault="00CD2981" w:rsidP="11041D9B">
      <w:pPr>
        <w:pStyle w:val="ListParagraph"/>
        <w:ind w:left="0"/>
        <w:jc w:val="both"/>
      </w:pPr>
      <w:r>
        <w:t>A</w:t>
      </w:r>
      <w:r w:rsidR="0E1AB5C4">
        <w:t>ccession</w:t>
      </w:r>
      <w:r w:rsidR="0E1AB5C4" w:rsidRPr="11041D9B">
        <w:t xml:space="preserve"> of the ECE CCR to the CE CCR can be initiated.</w:t>
      </w:r>
    </w:p>
    <w:p w14:paraId="6CFE74E2" w14:textId="23207C73" w:rsidR="11041D9B" w:rsidRDefault="11041D9B" w:rsidP="11041D9B">
      <w:pPr>
        <w:pStyle w:val="ListParagraph"/>
        <w:jc w:val="both"/>
      </w:pPr>
    </w:p>
    <w:p w14:paraId="7598A3D9" w14:textId="71234FC8" w:rsidR="00F11664" w:rsidRPr="00ED02A5" w:rsidRDefault="00F11664" w:rsidP="00ED02A5">
      <w:pPr>
        <w:pStyle w:val="Heading1"/>
        <w:numPr>
          <w:ilvl w:val="2"/>
          <w:numId w:val="8"/>
        </w:numPr>
        <w:ind w:left="426"/>
        <w:jc w:val="both"/>
        <w:rPr>
          <w:rFonts w:asciiTheme="minorHAnsi" w:hAnsiTheme="minorHAnsi" w:cstheme="minorBidi"/>
        </w:rPr>
      </w:pPr>
      <w:r w:rsidRPr="2E04FF72">
        <w:rPr>
          <w:rFonts w:asciiTheme="minorHAnsi" w:hAnsiTheme="minorHAnsi" w:cstheme="minorBidi"/>
        </w:rPr>
        <w:t xml:space="preserve">Chronology </w:t>
      </w:r>
    </w:p>
    <w:p w14:paraId="2838F167" w14:textId="38B9C978" w:rsidR="00EE1B8A" w:rsidRPr="00ED02A5" w:rsidRDefault="00EE1B8A" w:rsidP="00ED02A5">
      <w:pPr>
        <w:jc w:val="both"/>
      </w:pPr>
      <w:r w:rsidRPr="5064FC44">
        <w:t>Hereunder the steps that initiated the amendment of the CCR determination proposal are summarized:</w:t>
      </w:r>
    </w:p>
    <w:p w14:paraId="117EC932" w14:textId="19740811" w:rsidR="6C1D1485" w:rsidRPr="00ED02A5" w:rsidRDefault="6C1D1485" w:rsidP="00ED02A5">
      <w:pPr>
        <w:spacing w:line="257" w:lineRule="auto"/>
        <w:jc w:val="both"/>
        <w:rPr>
          <w:rFonts w:eastAsia="Calibri"/>
        </w:rPr>
      </w:pPr>
      <w:r w:rsidRPr="5064FC44">
        <w:rPr>
          <w:rFonts w:eastAsia="Calibri"/>
        </w:rPr>
        <w:t>(a) Regional coordination process (WB EnC TSO and neighbouring EU TSOs) has been finalised upon issuing of Joint Declaration on Regional Coordination in Southeast Europe, 03.12.2024;</w:t>
      </w:r>
    </w:p>
    <w:p w14:paraId="4BF1E609" w14:textId="30B344CA" w:rsidR="6C1D1485" w:rsidRPr="00ED02A5" w:rsidRDefault="6C1D1485" w:rsidP="00ED02A5">
      <w:pPr>
        <w:spacing w:line="257" w:lineRule="auto"/>
        <w:ind w:left="720"/>
        <w:jc w:val="both"/>
        <w:rPr>
          <w:rFonts w:eastAsia="Calibri"/>
          <w:color w:val="008080"/>
          <w:u w:val="single"/>
        </w:rPr>
      </w:pPr>
      <w:r w:rsidRPr="5064FC44">
        <w:rPr>
          <w:rFonts w:eastAsia="Calibri"/>
        </w:rPr>
        <w:t xml:space="preserve">• Principles of a reconfiguration of the default Shadow SEE CCR (as defined in Annex I of EnC CACM) has been discussed on several meetings on regional level between ENTSO-E, WB EnC </w:t>
      </w:r>
      <w:r w:rsidRPr="5064FC44">
        <w:rPr>
          <w:rFonts w:eastAsia="Calibri"/>
        </w:rPr>
        <w:lastRenderedPageBreak/>
        <w:t>TSO and neighbouring EU TSOs and were practically concluded on the workshop in Athens, 02.10.2024;</w:t>
      </w:r>
    </w:p>
    <w:p w14:paraId="2CEB22D8" w14:textId="799BA918" w:rsidR="6C1D1485" w:rsidRPr="00ED02A5" w:rsidRDefault="6C1D1485" w:rsidP="00ED02A5">
      <w:pPr>
        <w:spacing w:line="257" w:lineRule="auto"/>
        <w:ind w:left="720"/>
        <w:jc w:val="both"/>
        <w:rPr>
          <w:rFonts w:eastAsia="Calibri" w:cstheme="minorHAnsi"/>
        </w:rPr>
      </w:pPr>
      <w:r w:rsidRPr="00ED02A5">
        <w:rPr>
          <w:rFonts w:eastAsia="Calibri" w:cstheme="minorHAnsi"/>
        </w:rPr>
        <w:t xml:space="preserve"> </w:t>
      </w:r>
    </w:p>
    <w:p w14:paraId="2746F7FE" w14:textId="12A03186" w:rsidR="6C1D1485" w:rsidRPr="00ED02A5" w:rsidRDefault="6C1D1485" w:rsidP="00ED02A5">
      <w:pPr>
        <w:spacing w:line="257" w:lineRule="auto"/>
        <w:ind w:left="720"/>
        <w:jc w:val="both"/>
        <w:rPr>
          <w:rFonts w:eastAsia="Calibri"/>
        </w:rPr>
      </w:pPr>
      <w:r w:rsidRPr="5064FC44">
        <w:rPr>
          <w:rFonts w:eastAsia="Calibri"/>
        </w:rPr>
        <w:t>• Additionally, multiple coordination and discussion meetings between ENTSO-E, WB EnC TSO, neighbouring EU TSOs, ACER and EnC took place;</w:t>
      </w:r>
    </w:p>
    <w:p w14:paraId="615E5096" w14:textId="4CC35F11" w:rsidR="6C1D1485" w:rsidRPr="00ED02A5" w:rsidRDefault="6C1D1485" w:rsidP="00ED02A5">
      <w:pPr>
        <w:spacing w:line="257" w:lineRule="auto"/>
        <w:jc w:val="both"/>
        <w:rPr>
          <w:rFonts w:eastAsia="Calibri" w:cstheme="minorHAnsi"/>
        </w:rPr>
      </w:pPr>
      <w:r w:rsidRPr="00ED02A5">
        <w:rPr>
          <w:rFonts w:eastAsia="Calibri" w:cstheme="minorHAnsi"/>
        </w:rPr>
        <w:t xml:space="preserve"> (b) Formal request of ACER, 30.01.2025</w:t>
      </w:r>
    </w:p>
    <w:p w14:paraId="0CB2F4FA" w14:textId="00E1E66C" w:rsidR="6C1D1485" w:rsidRPr="00ED02A5" w:rsidRDefault="6C1D1485" w:rsidP="00ED02A5">
      <w:pPr>
        <w:spacing w:after="0"/>
        <w:jc w:val="both"/>
        <w:rPr>
          <w:rFonts w:eastAsia="Calibri"/>
        </w:rPr>
      </w:pPr>
      <w:r w:rsidRPr="5064FC44">
        <w:rPr>
          <w:rFonts w:eastAsia="Calibri"/>
        </w:rPr>
        <w:t>• ACER requested in a letter that all TSOs develop an amendment of the Determination of CCRs in order to include the capacity calculation regions of the Energy Community;</w:t>
      </w:r>
    </w:p>
    <w:p w14:paraId="2C6AC34E" w14:textId="3B14CAEC" w:rsidR="6C1D1485" w:rsidRPr="00ED02A5" w:rsidRDefault="6C1D1485" w:rsidP="00ED02A5">
      <w:pPr>
        <w:spacing w:after="0"/>
        <w:jc w:val="both"/>
        <w:rPr>
          <w:rFonts w:eastAsia="Calibri" w:cstheme="minorHAnsi"/>
        </w:rPr>
      </w:pPr>
      <w:r w:rsidRPr="00ED02A5">
        <w:rPr>
          <w:rFonts w:eastAsia="Calibri" w:cstheme="minorHAnsi"/>
        </w:rPr>
        <w:t xml:space="preserve"> </w:t>
      </w:r>
    </w:p>
    <w:p w14:paraId="092FE2AD" w14:textId="17C6679E" w:rsidR="6C1D1485" w:rsidRPr="00ED02A5" w:rsidRDefault="6C1D1485" w:rsidP="00ED02A5">
      <w:pPr>
        <w:spacing w:line="257" w:lineRule="auto"/>
        <w:jc w:val="both"/>
        <w:rPr>
          <w:rFonts w:eastAsia="Calibri"/>
        </w:rPr>
      </w:pPr>
      <w:r w:rsidRPr="5064FC44">
        <w:rPr>
          <w:rFonts w:eastAsia="Calibri"/>
        </w:rPr>
        <w:t>• ACER requested to submit the amendment proposal by 31.07.2025.</w:t>
      </w:r>
    </w:p>
    <w:p w14:paraId="6B4AAC7C" w14:textId="409E8262" w:rsidR="6C1D1485" w:rsidRPr="00ED02A5" w:rsidRDefault="6C1D1485" w:rsidP="00ED02A5">
      <w:pPr>
        <w:spacing w:line="257" w:lineRule="auto"/>
        <w:jc w:val="both"/>
        <w:rPr>
          <w:rFonts w:eastAsia="Calibri"/>
        </w:rPr>
      </w:pPr>
      <w:r w:rsidRPr="5064FC44">
        <w:rPr>
          <w:rFonts w:eastAsia="Calibri"/>
        </w:rPr>
        <w:t>(c) Drafting a proposal to amend the Determination of CCRs Methodology in order to include the capacity calculation regions of the Energy Community.</w:t>
      </w:r>
    </w:p>
    <w:p w14:paraId="29CFF6AC" w14:textId="582364B4" w:rsidR="6C1D1485" w:rsidRPr="00ED02A5" w:rsidRDefault="7551AF0A" w:rsidP="6D2D7300">
      <w:pPr>
        <w:pStyle w:val="ListParagraph"/>
        <w:numPr>
          <w:ilvl w:val="0"/>
          <w:numId w:val="20"/>
        </w:numPr>
        <w:spacing w:line="257" w:lineRule="auto"/>
        <w:jc w:val="both"/>
        <w:rPr>
          <w:rFonts w:eastAsia="Calibri"/>
        </w:rPr>
      </w:pPr>
      <w:r w:rsidRPr="6A6716CC">
        <w:rPr>
          <w:rFonts w:eastAsia="Calibri"/>
        </w:rPr>
        <w:t xml:space="preserve">By 14.4.2025 WB3 TSOs and CE </w:t>
      </w:r>
      <w:r w:rsidR="75356C46" w:rsidRPr="6A6716CC">
        <w:rPr>
          <w:rFonts w:eastAsia="Calibri"/>
        </w:rPr>
        <w:t>TSOs</w:t>
      </w:r>
      <w:r w:rsidRPr="6A6716CC">
        <w:rPr>
          <w:rFonts w:eastAsia="Calibri"/>
        </w:rPr>
        <w:t xml:space="preserve"> </w:t>
      </w:r>
      <w:r w:rsidR="5238C283" w:rsidRPr="6A6716CC">
        <w:rPr>
          <w:rFonts w:eastAsia="Calibri"/>
        </w:rPr>
        <w:t>agreed on</w:t>
      </w:r>
      <w:r w:rsidR="56B2E675" w:rsidRPr="6A6716CC">
        <w:rPr>
          <w:rFonts w:eastAsia="Calibri"/>
        </w:rPr>
        <w:t xml:space="preserve"> creation of interim ECE CCR and</w:t>
      </w:r>
      <w:r w:rsidR="5238C283" w:rsidRPr="6A6716CC">
        <w:rPr>
          <w:rFonts w:eastAsia="Calibri"/>
        </w:rPr>
        <w:t xml:space="preserve"> conditions for </w:t>
      </w:r>
      <w:r w:rsidR="3D81324E" w:rsidRPr="6A6716CC">
        <w:rPr>
          <w:rFonts w:eastAsia="Calibri"/>
        </w:rPr>
        <w:t xml:space="preserve"> </w:t>
      </w:r>
      <w:r w:rsidR="75422E30" w:rsidRPr="6A6716CC">
        <w:rPr>
          <w:rFonts w:eastAsia="Calibri"/>
        </w:rPr>
        <w:t>ECE CCR</w:t>
      </w:r>
      <w:r w:rsidR="43D5F336" w:rsidRPr="6A6716CC">
        <w:rPr>
          <w:rFonts w:eastAsia="Calibri"/>
        </w:rPr>
        <w:t xml:space="preserve"> </w:t>
      </w:r>
      <w:r w:rsidR="2F617814" w:rsidRPr="6A6716CC">
        <w:rPr>
          <w:rFonts w:eastAsia="Calibri"/>
        </w:rPr>
        <w:t>accession</w:t>
      </w:r>
      <w:r w:rsidR="14E22EC7" w:rsidRPr="6A6716CC">
        <w:rPr>
          <w:rFonts w:eastAsia="Calibri"/>
        </w:rPr>
        <w:t xml:space="preserve"> to CE CCR </w:t>
      </w:r>
      <w:r w:rsidR="5A8F6127" w:rsidRPr="6A6716CC">
        <w:rPr>
          <w:rFonts w:eastAsia="Calibri"/>
        </w:rPr>
        <w:t xml:space="preserve"> </w:t>
      </w:r>
      <w:r w:rsidR="5A8F6127">
        <w:t>and initiated the finalization of the CCR determination amendment</w:t>
      </w:r>
      <w:r w:rsidR="764793F0">
        <w:t>.</w:t>
      </w:r>
    </w:p>
    <w:p w14:paraId="553F8BE4" w14:textId="048A28AB" w:rsidR="00B54CE1" w:rsidRPr="00ED02A5" w:rsidRDefault="0081081F" w:rsidP="263B72E6">
      <w:pPr>
        <w:pStyle w:val="Heading1"/>
        <w:numPr>
          <w:ilvl w:val="2"/>
          <w:numId w:val="8"/>
        </w:numPr>
        <w:spacing w:line="257" w:lineRule="auto"/>
        <w:ind w:left="540" w:hanging="450"/>
        <w:jc w:val="both"/>
        <w:rPr>
          <w:rFonts w:asciiTheme="minorHAnsi" w:hAnsiTheme="minorHAnsi" w:cstheme="minorBidi"/>
        </w:rPr>
      </w:pPr>
      <w:r>
        <w:rPr>
          <w:rFonts w:asciiTheme="minorHAnsi" w:hAnsiTheme="minorHAnsi" w:cstheme="minorBidi"/>
        </w:rPr>
        <w:t>O</w:t>
      </w:r>
      <w:r w:rsidR="00B54CE1" w:rsidRPr="263B72E6">
        <w:rPr>
          <w:rFonts w:asciiTheme="minorHAnsi" w:hAnsiTheme="minorHAnsi" w:cstheme="minorBidi"/>
        </w:rPr>
        <w:t>ptions considered and motivations</w:t>
      </w:r>
    </w:p>
    <w:p w14:paraId="54615962" w14:textId="77777777" w:rsidR="0065228B" w:rsidRPr="00ED02A5" w:rsidRDefault="0065228B" w:rsidP="00ED02A5">
      <w:pPr>
        <w:jc w:val="both"/>
        <w:rPr>
          <w:rFonts w:cstheme="minorHAnsi"/>
        </w:rPr>
      </w:pPr>
    </w:p>
    <w:p w14:paraId="744FC470" w14:textId="05A6BC2D" w:rsidR="1AFC321E" w:rsidRPr="00ED02A5" w:rsidRDefault="1AFC321E" w:rsidP="00ED02A5">
      <w:pPr>
        <w:spacing w:line="257" w:lineRule="auto"/>
        <w:jc w:val="both"/>
        <w:rPr>
          <w:rFonts w:eastAsia="Calibri"/>
        </w:rPr>
      </w:pPr>
      <w:r w:rsidRPr="2E04FF72">
        <w:rPr>
          <w:rFonts w:eastAsia="Calibri"/>
        </w:rPr>
        <w:t>First considered option is default configuration of the Shadow SEE CCR as defined in Annex I of the EnC Regulation (EU) 2015/1222 (CACM GL). As TSOs identif</w:t>
      </w:r>
      <w:r w:rsidR="28A1C066" w:rsidRPr="2E04FF72">
        <w:rPr>
          <w:rFonts w:eastAsia="Calibri"/>
        </w:rPr>
        <w:t>ied</w:t>
      </w:r>
      <w:r w:rsidRPr="2E04FF72">
        <w:rPr>
          <w:rFonts w:eastAsia="Calibri"/>
        </w:rPr>
        <w:t xml:space="preserve"> significant challenges to its implementation, </w:t>
      </w:r>
      <w:r w:rsidRPr="263B72E6">
        <w:rPr>
          <w:rFonts w:eastAsia="Calibri"/>
        </w:rPr>
        <w:t>alternative</w:t>
      </w:r>
      <w:r w:rsidRPr="2E04FF72">
        <w:rPr>
          <w:rFonts w:eastAsia="Calibri"/>
        </w:rPr>
        <w:t xml:space="preserve"> have been identified</w:t>
      </w:r>
      <w:r w:rsidR="4A16E77D" w:rsidRPr="2E04FF72">
        <w:rPr>
          <w:rFonts w:eastAsia="Calibri"/>
        </w:rPr>
        <w:t xml:space="preserve"> – </w:t>
      </w:r>
      <w:r w:rsidR="76AD6179" w:rsidRPr="263B72E6">
        <w:rPr>
          <w:rFonts w:eastAsia="Calibri"/>
        </w:rPr>
        <w:t>imm</w:t>
      </w:r>
      <w:r w:rsidR="349F3AA7" w:rsidRPr="263B72E6">
        <w:rPr>
          <w:rFonts w:eastAsia="Calibri"/>
        </w:rPr>
        <w:t>e</w:t>
      </w:r>
      <w:r w:rsidR="76AD6179" w:rsidRPr="263B72E6">
        <w:rPr>
          <w:rFonts w:eastAsia="Calibri"/>
        </w:rPr>
        <w:t>diate</w:t>
      </w:r>
      <w:r w:rsidR="76AD6179" w:rsidRPr="2E04FF72">
        <w:rPr>
          <w:rFonts w:eastAsia="Calibri"/>
        </w:rPr>
        <w:t xml:space="preserve"> </w:t>
      </w:r>
      <w:r w:rsidR="4A16E77D" w:rsidRPr="2E04FF72">
        <w:rPr>
          <w:rFonts w:eastAsia="Calibri"/>
        </w:rPr>
        <w:t xml:space="preserve">WB3 TSOs </w:t>
      </w:r>
      <w:r w:rsidR="36357033" w:rsidRPr="2E04FF72">
        <w:rPr>
          <w:rFonts w:eastAsia="Calibri"/>
        </w:rPr>
        <w:t>accession</w:t>
      </w:r>
      <w:r w:rsidR="4A16E77D" w:rsidRPr="2E04FF72">
        <w:rPr>
          <w:rFonts w:eastAsia="Calibri"/>
        </w:rPr>
        <w:t xml:space="preserve"> to Core/CE</w:t>
      </w:r>
      <w:r w:rsidRPr="2E04FF72">
        <w:rPr>
          <w:rFonts w:eastAsia="Calibri"/>
        </w:rPr>
        <w:t>. Detailed analysis of the alternatives suggested that there are more suitable solutions than the default configuration. In addition to already described technical advantages, advantage of the proposal is that overall number of CCRs will be reduced if Shadow SEE CCR is not established</w:t>
      </w:r>
      <w:r w:rsidR="3CDD4F99" w:rsidRPr="263B72E6">
        <w:rPr>
          <w:rFonts w:eastAsia="Calibri"/>
        </w:rPr>
        <w:t>,</w:t>
      </w:r>
      <w:r w:rsidRPr="2E04FF72">
        <w:rPr>
          <w:rFonts w:eastAsia="Calibri"/>
        </w:rPr>
        <w:t xml:space="preserve"> and its borders are attributed to the existing CCRs. </w:t>
      </w:r>
    </w:p>
    <w:p w14:paraId="0AF592D1" w14:textId="25C82E09" w:rsidR="1AFC321E" w:rsidRPr="00ED02A5" w:rsidRDefault="616C4469" w:rsidP="008E4EE4">
      <w:pPr>
        <w:spacing w:line="257" w:lineRule="auto"/>
        <w:jc w:val="both"/>
        <w:rPr>
          <w:rFonts w:eastAsia="Calibri"/>
        </w:rPr>
      </w:pPr>
      <w:r w:rsidRPr="2E04FF72">
        <w:rPr>
          <w:rFonts w:ascii="Calibri" w:eastAsia="Calibri" w:hAnsi="Calibri" w:cs="Calibri"/>
        </w:rPr>
        <w:t xml:space="preserve">The second option—immediate accession of WB3 TSOs—was deemed unfeasible for the reasons outlined above. Consequently, </w:t>
      </w:r>
      <w:r w:rsidR="725D7EBE" w:rsidRPr="59B1323C">
        <w:rPr>
          <w:rFonts w:ascii="Calibri" w:eastAsia="Calibri" w:hAnsi="Calibri" w:cs="Calibri"/>
        </w:rPr>
        <w:t xml:space="preserve">as a </w:t>
      </w:r>
      <w:r w:rsidR="725D7EBE" w:rsidRPr="5DB86578">
        <w:rPr>
          <w:rFonts w:ascii="Calibri" w:eastAsia="Calibri" w:hAnsi="Calibri" w:cs="Calibri"/>
        </w:rPr>
        <w:t>third option</w:t>
      </w:r>
      <w:r w:rsidR="725D7EBE" w:rsidRPr="59B1323C">
        <w:rPr>
          <w:rFonts w:ascii="Calibri" w:eastAsia="Calibri" w:hAnsi="Calibri" w:cs="Calibri"/>
        </w:rPr>
        <w:t xml:space="preserve"> </w:t>
      </w:r>
      <w:r w:rsidRPr="59B1323C">
        <w:rPr>
          <w:rFonts w:ascii="Calibri" w:eastAsia="Calibri" w:hAnsi="Calibri" w:cs="Calibri"/>
        </w:rPr>
        <w:t>WB3</w:t>
      </w:r>
      <w:r w:rsidRPr="2E04FF72">
        <w:rPr>
          <w:rFonts w:ascii="Calibri" w:eastAsia="Calibri" w:hAnsi="Calibri" w:cs="Calibri"/>
        </w:rPr>
        <w:t xml:space="preserve"> and CE TSOs agreed to establish an interim ECE CCR with a limited day-ahead scope and jointly defined conditions for the future accession of the ECE CCR to the CE CCR.</w:t>
      </w:r>
      <w:r w:rsidR="1025607E" w:rsidRPr="2E04FF72">
        <w:rPr>
          <w:rFonts w:eastAsia="Calibri"/>
        </w:rPr>
        <w:t xml:space="preserve"> </w:t>
      </w:r>
      <w:r w:rsidR="5E9E2281" w:rsidRPr="11041D9B">
        <w:rPr>
          <w:rFonts w:eastAsia="Calibri"/>
        </w:rPr>
        <w:t>EnC TSOs are committed to the application of the existing TCMs and already established processes in CORE/CE CCR</w:t>
      </w:r>
      <w:r w:rsidR="0755DCDC" w:rsidRPr="11041D9B">
        <w:rPr>
          <w:rFonts w:eastAsia="Calibri"/>
        </w:rPr>
        <w:t xml:space="preserve">, once accession conditions are </w:t>
      </w:r>
      <w:r w:rsidR="14A9ED96" w:rsidRPr="263B72E6">
        <w:rPr>
          <w:rFonts w:eastAsia="Calibri"/>
        </w:rPr>
        <w:t>fulfilled</w:t>
      </w:r>
      <w:r w:rsidR="5E9E2281" w:rsidRPr="263B72E6">
        <w:rPr>
          <w:rFonts w:eastAsia="Calibri"/>
        </w:rPr>
        <w:t>.</w:t>
      </w:r>
      <w:r w:rsidR="5E9E2281" w:rsidRPr="11041D9B">
        <w:rPr>
          <w:rFonts w:eastAsia="Calibri"/>
        </w:rPr>
        <w:t xml:space="preserve"> Together with the reduction of total number of CCRs, this approach enables faster operationalisation of the coordinated capacity calculation, as adherence to the operational processes is, in principle, faster than establishment of the new ones.</w:t>
      </w:r>
    </w:p>
    <w:p w14:paraId="14482D9B" w14:textId="06D1FEA5" w:rsidR="1AFC321E" w:rsidRPr="00ED02A5" w:rsidRDefault="1AFC321E" w:rsidP="00ED02A5">
      <w:pPr>
        <w:jc w:val="both"/>
        <w:rPr>
          <w:rFonts w:eastAsia="Calibri"/>
        </w:rPr>
      </w:pPr>
      <w:r w:rsidRPr="5F8F6921">
        <w:rPr>
          <w:rFonts w:eastAsia="Calibri"/>
        </w:rPr>
        <w:t xml:space="preserve"> </w:t>
      </w:r>
    </w:p>
    <w:p w14:paraId="5DD89B7C" w14:textId="1C4D9554" w:rsidR="00706D9E" w:rsidRPr="00ED02A5" w:rsidRDefault="00706D9E" w:rsidP="263B72E6">
      <w:pPr>
        <w:pStyle w:val="Heading1"/>
        <w:numPr>
          <w:ilvl w:val="1"/>
          <w:numId w:val="8"/>
        </w:numPr>
        <w:ind w:left="630"/>
        <w:jc w:val="both"/>
        <w:rPr>
          <w:rFonts w:asciiTheme="minorHAnsi" w:hAnsiTheme="minorHAnsi" w:cstheme="minorBidi"/>
        </w:rPr>
      </w:pPr>
      <w:r w:rsidRPr="263B72E6">
        <w:rPr>
          <w:rFonts w:asciiTheme="minorHAnsi" w:hAnsiTheme="minorHAnsi" w:cstheme="minorBidi"/>
        </w:rPr>
        <w:t>SEE CCR</w:t>
      </w:r>
    </w:p>
    <w:p w14:paraId="7F03D803" w14:textId="0D459B23" w:rsidR="00706D9E" w:rsidRPr="00ED02A5" w:rsidRDefault="6E754164" w:rsidP="00ED02A5">
      <w:pPr>
        <w:pStyle w:val="Heading1"/>
        <w:numPr>
          <w:ilvl w:val="2"/>
          <w:numId w:val="8"/>
        </w:numPr>
        <w:ind w:left="426"/>
        <w:jc w:val="both"/>
        <w:rPr>
          <w:rFonts w:asciiTheme="minorHAnsi" w:hAnsiTheme="minorHAnsi" w:cstheme="minorHAnsi"/>
        </w:rPr>
      </w:pPr>
      <w:r w:rsidRPr="00ED02A5">
        <w:rPr>
          <w:rFonts w:asciiTheme="minorHAnsi" w:hAnsiTheme="minorHAnsi" w:cstheme="minorHAnsi"/>
        </w:rPr>
        <w:t xml:space="preserve">Background </w:t>
      </w:r>
    </w:p>
    <w:p w14:paraId="4F204F77" w14:textId="6FF2CE93" w:rsidR="0D512522" w:rsidRPr="00ED02A5" w:rsidRDefault="593AC2A9" w:rsidP="15642708">
      <w:pPr>
        <w:jc w:val="both"/>
        <w:rPr>
          <w:rFonts w:eastAsia="Calibri"/>
          <w:color w:val="000000" w:themeColor="text1"/>
          <w:lang w:val="en-US"/>
        </w:rPr>
      </w:pPr>
      <w:r w:rsidRPr="11041D9B">
        <w:rPr>
          <w:rFonts w:eastAsia="Calibri"/>
          <w:color w:val="000000" w:themeColor="text1"/>
          <w:lang w:val="en-US"/>
        </w:rPr>
        <w:t xml:space="preserve">By Decision 2022/03/MC-EnC the Ministerial Council of the Energy Community incorporated a legislative package comprising the latest EU electricity acquis binding for the Energy Community. The Decision adapted and adopted Regulation (EU) 2019/943, Regulation (EU) 2019/942, the Guidelines  on Forward Capacity Allocation (FCA GL), Capacity Allocation and Congestion Management (CACM GL), </w:t>
      </w:r>
      <w:r w:rsidRPr="11041D9B">
        <w:rPr>
          <w:rFonts w:eastAsia="Calibri"/>
          <w:color w:val="000000" w:themeColor="text1"/>
          <w:lang w:val="en-US"/>
        </w:rPr>
        <w:lastRenderedPageBreak/>
        <w:t xml:space="preserve">Electricity Balancing (EBGL), System Operation </w:t>
      </w:r>
      <w:r w:rsidR="6F91BEF8" w:rsidRPr="11041D9B">
        <w:rPr>
          <w:rFonts w:eastAsia="Calibri"/>
          <w:color w:val="000000" w:themeColor="text1"/>
          <w:lang w:val="en-US"/>
        </w:rPr>
        <w:t xml:space="preserve">Guideline </w:t>
      </w:r>
      <w:r w:rsidRPr="11041D9B">
        <w:rPr>
          <w:rFonts w:eastAsia="Calibri"/>
          <w:color w:val="000000" w:themeColor="text1"/>
          <w:lang w:val="en-US"/>
        </w:rPr>
        <w:t>(SOGL), and the Network Code  on Emergency and Restoration (ERNC).This Decision, also, involved  establishment of  Shadow SEE CCR including specific bidding zone borders that are defined in EnC Regulation (EU) 2015/1222 (</w:t>
      </w:r>
      <w:r w:rsidR="79B23B25" w:rsidRPr="11041D9B">
        <w:rPr>
          <w:rFonts w:eastAsia="Calibri"/>
          <w:color w:val="000000" w:themeColor="text1"/>
          <w:lang w:val="en-US"/>
        </w:rPr>
        <w:t xml:space="preserve">Enc </w:t>
      </w:r>
      <w:r w:rsidRPr="11041D9B">
        <w:rPr>
          <w:rFonts w:eastAsia="Calibri"/>
          <w:color w:val="000000" w:themeColor="text1"/>
          <w:lang w:val="en-US"/>
        </w:rPr>
        <w:t>CACM)</w:t>
      </w:r>
      <w:r w:rsidR="64EF7F44" w:rsidRPr="11041D9B">
        <w:rPr>
          <w:rFonts w:eastAsia="Calibri"/>
          <w:color w:val="000000" w:themeColor="text1"/>
          <w:lang w:val="en-US"/>
        </w:rPr>
        <w:t xml:space="preserve"> (</w:t>
      </w:r>
      <w:r w:rsidR="64EF7F44" w:rsidRPr="11041D9B">
        <w:rPr>
          <w:rFonts w:eastAsia="Calibri"/>
        </w:rPr>
        <w:t>bidding zone border between Romania, Bulgaria and Greece, attributed respectively to: Transelectrica - Compania Nationala de Transport al Energiei Electrice S.A., ESO – Electroenergien Sistemen Operator EAD and IPTO - Independent Power Transmission Operator S.A.</w:t>
      </w:r>
      <w:r w:rsidR="64EF7F44" w:rsidRPr="11041D9B">
        <w:rPr>
          <w:rFonts w:eastAsia="Calibri"/>
          <w:color w:val="000000" w:themeColor="text1"/>
          <w:lang w:val="en-US"/>
        </w:rPr>
        <w:t>)</w:t>
      </w:r>
      <w:r w:rsidRPr="11041D9B">
        <w:rPr>
          <w:rFonts w:eastAsia="Calibri"/>
          <w:color w:val="000000" w:themeColor="text1"/>
          <w:lang w:val="en-US"/>
        </w:rPr>
        <w:t xml:space="preserve">. According to Article 1(2) of Annex I of this Regulation, it is possible, also, to propose adjustments of the configuration of the proposed Shadow SEE CCR. </w:t>
      </w:r>
    </w:p>
    <w:p w14:paraId="630F822B" w14:textId="53319F6C" w:rsidR="0D512522" w:rsidRPr="00ED02A5" w:rsidRDefault="0D512522" w:rsidP="00471ACF">
      <w:pPr>
        <w:jc w:val="both"/>
      </w:pPr>
      <w:r w:rsidRPr="263B72E6">
        <w:rPr>
          <w:rFonts w:eastAsia="Calibri"/>
          <w:color w:val="000000" w:themeColor="text1"/>
          <w:lang w:val="en-US"/>
        </w:rPr>
        <w:t>Based on practical experience and regional system security developments, Western Balkan</w:t>
      </w:r>
      <w:r w:rsidR="1F832821" w:rsidRPr="263B72E6">
        <w:rPr>
          <w:rFonts w:eastAsia="Calibri"/>
          <w:color w:val="000000" w:themeColor="text1"/>
          <w:lang w:val="en-US"/>
        </w:rPr>
        <w:t>s</w:t>
      </w:r>
      <w:r w:rsidRPr="263B72E6">
        <w:rPr>
          <w:rFonts w:eastAsia="Calibri"/>
          <w:color w:val="000000" w:themeColor="text1"/>
          <w:lang w:val="en-US"/>
        </w:rPr>
        <w:t xml:space="preserve"> TSOs</w:t>
      </w:r>
      <w:r w:rsidR="1AEA7FD1" w:rsidRPr="263B72E6">
        <w:rPr>
          <w:rFonts w:eastAsia="Calibri"/>
          <w:color w:val="000000" w:themeColor="text1"/>
          <w:lang w:val="en-US"/>
        </w:rPr>
        <w:t>,</w:t>
      </w:r>
      <w:r w:rsidRPr="263B72E6">
        <w:rPr>
          <w:rFonts w:eastAsia="Calibri"/>
          <w:color w:val="000000" w:themeColor="text1"/>
          <w:lang w:val="en-US"/>
        </w:rPr>
        <w:t xml:space="preserve"> together with neighboring EU TSOs (further refer to as “the TSOs”) proposed a reconfiguration of the SEE CCR, which they consider technically justified and </w:t>
      </w:r>
      <w:r w:rsidR="165F98BC" w:rsidRPr="263B72E6">
        <w:rPr>
          <w:rFonts w:eastAsia="Calibri"/>
          <w:color w:val="000000" w:themeColor="text1"/>
          <w:lang w:val="en-US"/>
        </w:rPr>
        <w:t>targeted towards</w:t>
      </w:r>
      <w:r w:rsidRPr="263B72E6">
        <w:rPr>
          <w:rFonts w:eastAsia="Calibri"/>
          <w:color w:val="000000" w:themeColor="text1"/>
          <w:lang w:val="en-US"/>
        </w:rPr>
        <w:t xml:space="preserve"> accelerating the integration of non-EU TSOs </w:t>
      </w:r>
      <w:r w:rsidR="666EEDDD" w:rsidRPr="263B72E6">
        <w:rPr>
          <w:rFonts w:eastAsia="Calibri"/>
          <w:color w:val="000000" w:themeColor="text1"/>
          <w:lang w:val="en-US"/>
        </w:rPr>
        <w:t>to</w:t>
      </w:r>
      <w:r w:rsidRPr="263B72E6">
        <w:rPr>
          <w:rFonts w:eastAsia="Calibri"/>
          <w:color w:val="000000" w:themeColor="text1"/>
          <w:lang w:val="en-US"/>
        </w:rPr>
        <w:t xml:space="preserve"> the EU regulatory framework</w:t>
      </w:r>
      <w:r w:rsidR="33793104" w:rsidRPr="263B72E6">
        <w:rPr>
          <w:rFonts w:eastAsia="Calibri"/>
          <w:color w:val="000000" w:themeColor="text1"/>
          <w:lang w:val="en-US"/>
        </w:rPr>
        <w:t xml:space="preserve">. </w:t>
      </w:r>
      <w:r w:rsidR="0B3F4BFE" w:rsidRPr="263B72E6">
        <w:rPr>
          <w:rFonts w:eastAsia="Calibri"/>
          <w:color w:val="000000" w:themeColor="text1"/>
          <w:lang w:val="en-US"/>
        </w:rPr>
        <w:t xml:space="preserve">By </w:t>
      </w:r>
      <w:r w:rsidRPr="263B72E6">
        <w:rPr>
          <w:rFonts w:eastAsia="Calibri"/>
          <w:color w:val="000000" w:themeColor="text1"/>
          <w:lang w:val="en-US"/>
        </w:rPr>
        <w:t>reducing the total number of CCRs</w:t>
      </w:r>
      <w:r w:rsidR="7DB3E1A2" w:rsidRPr="263B72E6">
        <w:rPr>
          <w:rFonts w:eastAsia="Calibri"/>
          <w:color w:val="000000" w:themeColor="text1"/>
          <w:lang w:val="en-US"/>
        </w:rPr>
        <w:t xml:space="preserve"> – </w:t>
      </w:r>
      <w:r w:rsidRPr="263B72E6">
        <w:rPr>
          <w:rFonts w:eastAsia="Calibri"/>
          <w:color w:val="000000" w:themeColor="text1"/>
          <w:lang w:val="en-US"/>
        </w:rPr>
        <w:t xml:space="preserve">in line with ACER’s strategic guidance, network security and capacity calculation efficiency </w:t>
      </w:r>
      <w:r w:rsidR="5BC2F901" w:rsidRPr="263B72E6">
        <w:rPr>
          <w:rFonts w:eastAsia="Calibri"/>
          <w:color w:val="000000" w:themeColor="text1"/>
          <w:lang w:val="en-US"/>
        </w:rPr>
        <w:t xml:space="preserve">would be enhanced </w:t>
      </w:r>
      <w:r w:rsidRPr="263B72E6">
        <w:rPr>
          <w:rFonts w:eastAsia="Calibri"/>
          <w:color w:val="000000" w:themeColor="text1"/>
          <w:lang w:val="en-US"/>
        </w:rPr>
        <w:t>and fragmentation of highly interdependent bidding zone borders across different CCRs</w:t>
      </w:r>
      <w:r w:rsidR="6F3E1E45" w:rsidRPr="263B72E6">
        <w:rPr>
          <w:rFonts w:eastAsia="Calibri"/>
          <w:color w:val="000000" w:themeColor="text1"/>
          <w:lang w:val="en-US"/>
        </w:rPr>
        <w:t>,</w:t>
      </w:r>
      <w:r w:rsidR="0C97C237" w:rsidRPr="263B72E6">
        <w:rPr>
          <w:rFonts w:eastAsia="Calibri"/>
          <w:color w:val="000000" w:themeColor="text1"/>
          <w:lang w:val="en-US"/>
        </w:rPr>
        <w:t xml:space="preserve"> would be also avoided</w:t>
      </w:r>
      <w:r w:rsidRPr="263B72E6">
        <w:rPr>
          <w:rFonts w:eastAsia="Calibri"/>
          <w:color w:val="000000" w:themeColor="text1"/>
          <w:lang w:val="en-US"/>
        </w:rPr>
        <w:t>.</w:t>
      </w:r>
    </w:p>
    <w:p w14:paraId="21E8F5E4" w14:textId="29F180CB" w:rsidR="0D512522" w:rsidRPr="00ED02A5" w:rsidRDefault="0D512522" w:rsidP="00471ACF">
      <w:pPr>
        <w:jc w:val="both"/>
      </w:pPr>
      <w:r w:rsidRPr="5064FC44">
        <w:rPr>
          <w:rFonts w:eastAsia="Calibri"/>
          <w:color w:val="000000" w:themeColor="text1"/>
          <w:lang w:val="en-US"/>
        </w:rPr>
        <w:t>The proposal includes terminating the Shadow SEE CCR and redistributing its borders into existing CCRs (primarily SEE CCR and CORE/CE CCR), adhering to the principle that strongly interdependent borders should belong to the same CCR.</w:t>
      </w:r>
    </w:p>
    <w:p w14:paraId="7BFC80B7" w14:textId="659396B0" w:rsidR="00706D9E" w:rsidRPr="00ED02A5" w:rsidRDefault="6E754164" w:rsidP="00ED02A5">
      <w:pPr>
        <w:pStyle w:val="Heading1"/>
        <w:numPr>
          <w:ilvl w:val="2"/>
          <w:numId w:val="8"/>
        </w:numPr>
        <w:ind w:left="426"/>
        <w:jc w:val="both"/>
        <w:rPr>
          <w:rFonts w:asciiTheme="minorHAnsi" w:hAnsiTheme="minorHAnsi" w:cstheme="minorHAnsi"/>
        </w:rPr>
      </w:pPr>
      <w:r w:rsidRPr="00ED02A5">
        <w:rPr>
          <w:rFonts w:asciiTheme="minorHAnsi" w:hAnsiTheme="minorHAnsi" w:cstheme="minorHAnsi"/>
        </w:rPr>
        <w:t xml:space="preserve">Options considered and motivations </w:t>
      </w:r>
    </w:p>
    <w:p w14:paraId="23735530" w14:textId="08FE63D1" w:rsidR="004C753A" w:rsidRPr="00ED02A5" w:rsidRDefault="004C753A">
      <w:pPr>
        <w:jc w:val="both"/>
        <w:rPr>
          <w:rFonts w:eastAsia="Calibri" w:cstheme="minorHAnsi"/>
          <w:color w:val="000000" w:themeColor="text1"/>
        </w:rPr>
      </w:pPr>
    </w:p>
    <w:p w14:paraId="29ED9BF1" w14:textId="4BE0D03F" w:rsidR="34D00B6C" w:rsidRPr="00ED02A5" w:rsidRDefault="3A785E47" w:rsidP="47762F1C">
      <w:pPr>
        <w:jc w:val="both"/>
        <w:rPr>
          <w:rFonts w:eastAsia="Calibri"/>
          <w:color w:val="000000" w:themeColor="text1"/>
        </w:rPr>
      </w:pPr>
      <w:r w:rsidRPr="47762F1C">
        <w:rPr>
          <w:rFonts w:eastAsia="Calibri"/>
        </w:rPr>
        <w:t xml:space="preserve">While the default configuration of the Shadow SEE CCR is defined </w:t>
      </w:r>
      <w:r w:rsidR="4FA7E31E" w:rsidRPr="47762F1C">
        <w:rPr>
          <w:rFonts w:eastAsia="Calibri"/>
        </w:rPr>
        <w:t>under</w:t>
      </w:r>
      <w:r w:rsidRPr="47762F1C">
        <w:rPr>
          <w:rFonts w:eastAsia="Calibri"/>
        </w:rPr>
        <w:t xml:space="preserve"> Annex I of the EnC Regulation (EU) 2015/1222 (CACM GL), </w:t>
      </w:r>
      <w:r w:rsidR="7F719AB2" w:rsidRPr="47762F1C">
        <w:rPr>
          <w:rFonts w:eastAsia="Calibri"/>
        </w:rPr>
        <w:t xml:space="preserve">SEE </w:t>
      </w:r>
      <w:r w:rsidRPr="47762F1C">
        <w:rPr>
          <w:rFonts w:eastAsia="Calibri"/>
        </w:rPr>
        <w:t>TSOs identify significant challenges to its implementation. T</w:t>
      </w:r>
      <w:r w:rsidRPr="47762F1C">
        <w:rPr>
          <w:rFonts w:eastAsia="Calibri"/>
          <w:lang w:val="en-US"/>
        </w:rPr>
        <w:t>he</w:t>
      </w:r>
      <w:r w:rsidRPr="47762F1C">
        <w:rPr>
          <w:rFonts w:eastAsia="Calibri"/>
        </w:rPr>
        <w:t xml:space="preserve"> proposal of terminating Shadow SEE CCR seems the best way forward and is in accordance with the ACER Decision 6/2016 on the definition of the capacity calculation regions, which</w:t>
      </w:r>
      <w:r w:rsidR="6F6F343D" w:rsidRPr="47762F1C">
        <w:rPr>
          <w:rFonts w:eastAsia="Calibri"/>
        </w:rPr>
        <w:t>,</w:t>
      </w:r>
      <w:r w:rsidRPr="47762F1C">
        <w:rPr>
          <w:rFonts w:eastAsia="Calibri"/>
        </w:rPr>
        <w:t xml:space="preserve"> </w:t>
      </w:r>
      <w:r w:rsidR="325E619D" w:rsidRPr="47762F1C">
        <w:rPr>
          <w:rFonts w:eastAsia="Calibri"/>
        </w:rPr>
        <w:t>under</w:t>
      </w:r>
      <w:r w:rsidRPr="47762F1C">
        <w:rPr>
          <w:rFonts w:eastAsia="Calibri"/>
        </w:rPr>
        <w:t xml:space="preserve"> </w:t>
      </w:r>
      <w:r w:rsidR="1244CA2C" w:rsidRPr="47762F1C">
        <w:rPr>
          <w:rFonts w:eastAsia="Calibri"/>
        </w:rPr>
        <w:t>C</w:t>
      </w:r>
      <w:r w:rsidRPr="47762F1C">
        <w:rPr>
          <w:rFonts w:eastAsia="Calibri"/>
        </w:rPr>
        <w:t xml:space="preserve">hapter 5.8 </w:t>
      </w:r>
      <w:r w:rsidRPr="47762F1C">
        <w:rPr>
          <w:rFonts w:eastAsia="Calibri"/>
          <w:i/>
          <w:iCs/>
        </w:rPr>
        <w:t>Overall number of CCRs and its evolution over time</w:t>
      </w:r>
      <w:r w:rsidR="152E9EB2" w:rsidRPr="47762F1C">
        <w:rPr>
          <w:rFonts w:eastAsia="Calibri"/>
        </w:rPr>
        <w:t>,</w:t>
      </w:r>
      <w:r w:rsidRPr="47762F1C">
        <w:rPr>
          <w:rFonts w:eastAsia="Calibri"/>
        </w:rPr>
        <w:t xml:space="preserve"> prescribe</w:t>
      </w:r>
      <w:r w:rsidR="66A16748" w:rsidRPr="47762F1C">
        <w:rPr>
          <w:rFonts w:eastAsia="Calibri"/>
        </w:rPr>
        <w:t>s</w:t>
      </w:r>
      <w:r w:rsidRPr="47762F1C">
        <w:rPr>
          <w:rFonts w:eastAsia="Calibri"/>
        </w:rPr>
        <w:t xml:space="preserve"> that:</w:t>
      </w:r>
    </w:p>
    <w:p w14:paraId="205F4A3E" w14:textId="5DDB9546" w:rsidR="3A785E47" w:rsidRPr="00ED02A5" w:rsidRDefault="3A785E47" w:rsidP="00ED02A5">
      <w:pPr>
        <w:pStyle w:val="ListParagraph"/>
        <w:numPr>
          <w:ilvl w:val="0"/>
          <w:numId w:val="16"/>
        </w:numPr>
        <w:spacing w:after="0"/>
        <w:jc w:val="both"/>
        <w:rPr>
          <w:rFonts w:eastAsia="Calibri"/>
        </w:rPr>
      </w:pPr>
      <w:r w:rsidRPr="5064FC44">
        <w:rPr>
          <w:rFonts w:eastAsia="Calibri"/>
        </w:rPr>
        <w:t>With the exception of the CWE-CEE CCR merger, ACER broadly agrees with TSOs that the CCRs proposal represents a pragmatic approach, which will need progressively to evolve towards a smaller number of CCRs.</w:t>
      </w:r>
    </w:p>
    <w:p w14:paraId="27BFDE1D" w14:textId="63B9772B" w:rsidR="3A785E47" w:rsidRPr="00ED02A5" w:rsidRDefault="3A785E47" w:rsidP="00ED02A5">
      <w:pPr>
        <w:pStyle w:val="ListParagraph"/>
        <w:numPr>
          <w:ilvl w:val="0"/>
          <w:numId w:val="16"/>
        </w:numPr>
        <w:spacing w:after="0"/>
        <w:jc w:val="both"/>
        <w:rPr>
          <w:rFonts w:eastAsia="Calibri" w:cstheme="minorHAnsi"/>
        </w:rPr>
      </w:pPr>
      <w:r w:rsidRPr="00ED02A5">
        <w:rPr>
          <w:rFonts w:eastAsia="Calibri" w:cstheme="minorHAnsi"/>
        </w:rPr>
        <w:t xml:space="preserve">To ensure such an evolution, ACER considers important that the relevant TSOs regularly review the definition of CCRs in the light of forthcoming developments (in particular regarding infrastructure developments, bidding zone reconfiguration, level of interdependencies between regions and with respect to the conditions set out in Article 15(3) and Article 20(5) of the CACM Regulation) and propose amendments when appropriate with a view </w:t>
      </w:r>
      <w:r w:rsidR="3B7EF5F2" w:rsidRPr="00ED02A5">
        <w:rPr>
          <w:rFonts w:eastAsia="Calibri" w:cstheme="minorHAnsi"/>
        </w:rPr>
        <w:t>of</w:t>
      </w:r>
      <w:r w:rsidRPr="00ED02A5">
        <w:rPr>
          <w:rFonts w:eastAsia="Calibri" w:cstheme="minorHAnsi"/>
        </w:rPr>
        <w:t xml:space="preserve"> reducing the number of CCRs as defined </w:t>
      </w:r>
      <w:r w:rsidR="69C29E75" w:rsidRPr="00ED02A5">
        <w:rPr>
          <w:rFonts w:eastAsia="Calibri" w:cstheme="minorHAnsi"/>
        </w:rPr>
        <w:t>under</w:t>
      </w:r>
      <w:r w:rsidRPr="00ED02A5">
        <w:rPr>
          <w:rFonts w:eastAsia="Calibri" w:cstheme="minorHAnsi"/>
        </w:rPr>
        <w:t xml:space="preserve"> its Decision.</w:t>
      </w:r>
    </w:p>
    <w:p w14:paraId="27C4A3F9" w14:textId="3D9670FB" w:rsidR="3A785E47" w:rsidRPr="00ED02A5" w:rsidRDefault="3A785E47" w:rsidP="00ED02A5">
      <w:pPr>
        <w:pStyle w:val="ListParagraph"/>
        <w:numPr>
          <w:ilvl w:val="0"/>
          <w:numId w:val="16"/>
        </w:numPr>
        <w:spacing w:after="0"/>
        <w:jc w:val="both"/>
        <w:rPr>
          <w:rFonts w:eastAsia="Calibri" w:cstheme="minorHAnsi"/>
          <w:lang w:val="en-US"/>
        </w:rPr>
      </w:pPr>
      <w:r w:rsidRPr="00ED02A5">
        <w:rPr>
          <w:rFonts w:eastAsia="Calibri" w:cstheme="minorHAnsi"/>
        </w:rPr>
        <w:t>Since the CACM Regulation aims at extending market coupling beyond the EU borders, ACER stresses the importance to prepare the future extension of CCRs to third countries well in advance. ACER therefore welcomes that the CCRs proposal provides for a planning for the future extension of the current CCRs, including to third countries.</w:t>
      </w:r>
      <w:r w:rsidRPr="00ED02A5">
        <w:rPr>
          <w:rFonts w:eastAsia="Calibri" w:cstheme="minorHAnsi"/>
          <w:lang w:val="en-US"/>
        </w:rPr>
        <w:t xml:space="preserve"> </w:t>
      </w:r>
    </w:p>
    <w:p w14:paraId="56A5CDEB" w14:textId="60948C64" w:rsidR="1F02B92B" w:rsidRPr="00ED02A5" w:rsidRDefault="1F02B92B" w:rsidP="1F02B92B">
      <w:pPr>
        <w:pStyle w:val="ListParagraph"/>
        <w:spacing w:after="0"/>
        <w:jc w:val="both"/>
        <w:rPr>
          <w:rFonts w:eastAsia="Calibri" w:cstheme="minorHAnsi"/>
          <w:lang w:val="en-US"/>
        </w:rPr>
      </w:pPr>
    </w:p>
    <w:p w14:paraId="5CC7443F" w14:textId="50F5ABF4" w:rsidR="3A785E47" w:rsidRPr="00ED02A5" w:rsidRDefault="3A785E47" w:rsidP="00ED02A5">
      <w:pPr>
        <w:jc w:val="both"/>
        <w:rPr>
          <w:rFonts w:eastAsia="Calibri"/>
          <w:lang w:val="en-US"/>
        </w:rPr>
      </w:pPr>
      <w:r w:rsidRPr="5064FC44">
        <w:rPr>
          <w:rFonts w:eastAsia="Calibri"/>
          <w:lang w:val="en-US"/>
        </w:rPr>
        <w:t>The preferred solution involves splitting the Shadow SEE CCR and attributing its parts to the existing SEE and CORE/CE CCRs and thus the amended SEE CCR would cover most of the geographical area of Balkan peninsula. This provides a reduction in the number of CCRs, facilitating more efficient capacity calculation and improve</w:t>
      </w:r>
      <w:r w:rsidR="5C02DADD" w:rsidRPr="5064FC44">
        <w:rPr>
          <w:rFonts w:eastAsia="Calibri"/>
          <w:lang w:val="en-US"/>
        </w:rPr>
        <w:t>s</w:t>
      </w:r>
      <w:r w:rsidRPr="5064FC44">
        <w:rPr>
          <w:rFonts w:eastAsia="Calibri"/>
          <w:lang w:val="en-US"/>
        </w:rPr>
        <w:t xml:space="preserve"> regional security across all timeframes</w:t>
      </w:r>
      <w:r w:rsidR="0C7EE80D" w:rsidRPr="5064FC44">
        <w:rPr>
          <w:rFonts w:eastAsia="Calibri"/>
          <w:lang w:val="en-US"/>
        </w:rPr>
        <w:t>, as well as</w:t>
      </w:r>
      <w:r w:rsidRPr="5064FC44">
        <w:rPr>
          <w:rFonts w:eastAsia="Calibri"/>
          <w:lang w:val="en-US"/>
        </w:rPr>
        <w:t xml:space="preserve"> minimization of operational fragmentation, as closely linked bidding zone borders are no longer split across different CCRs.</w:t>
      </w:r>
    </w:p>
    <w:p w14:paraId="033BB2D9" w14:textId="641940F8" w:rsidR="3A785E47" w:rsidRPr="00ED02A5" w:rsidRDefault="3A785E47" w:rsidP="00ED02A5">
      <w:pPr>
        <w:spacing w:after="0"/>
        <w:jc w:val="both"/>
        <w:rPr>
          <w:rFonts w:eastAsia="Calibri"/>
          <w:lang w:val="en-US"/>
        </w:rPr>
      </w:pPr>
      <w:r w:rsidRPr="5064FC44">
        <w:rPr>
          <w:rFonts w:eastAsia="Calibri"/>
          <w:lang w:val="en-US"/>
        </w:rPr>
        <w:lastRenderedPageBreak/>
        <w:t>Given the high number of borders within the Shadow SEE CCR, assigning all of them to one existing CCR was deemed impractical, as it would overburden current implementation projects and challenge TSOs and NEMOs in meeting regulatory deadlines.</w:t>
      </w:r>
    </w:p>
    <w:p w14:paraId="41101016" w14:textId="6427A02A" w:rsidR="1F02B92B" w:rsidRPr="00ED02A5" w:rsidRDefault="1F02B92B" w:rsidP="00ED02A5">
      <w:pPr>
        <w:spacing w:after="0"/>
        <w:jc w:val="both"/>
        <w:rPr>
          <w:rFonts w:eastAsia="Calibri" w:cstheme="minorHAnsi"/>
          <w:color w:val="000000" w:themeColor="text1"/>
        </w:rPr>
      </w:pPr>
    </w:p>
    <w:p w14:paraId="0729568E" w14:textId="2AF046CD" w:rsidR="40D674BF" w:rsidRPr="00ED02A5" w:rsidRDefault="40D674BF" w:rsidP="00ED02A5">
      <w:pPr>
        <w:spacing w:after="0"/>
        <w:jc w:val="center"/>
        <w:rPr>
          <w:rFonts w:cstheme="minorHAnsi"/>
        </w:rPr>
      </w:pPr>
      <w:r w:rsidRPr="00ED02A5">
        <w:rPr>
          <w:rFonts w:cstheme="minorHAnsi"/>
          <w:noProof/>
        </w:rPr>
        <w:drawing>
          <wp:inline distT="0" distB="0" distL="0" distR="0" wp14:anchorId="5E9FE179" wp14:editId="1810B6A6">
            <wp:extent cx="2712955" cy="2548349"/>
            <wp:effectExtent l="0" t="0" r="0" b="0"/>
            <wp:docPr id="90896905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969056" name=""/>
                    <pic:cNvPicPr/>
                  </pic:nvPicPr>
                  <pic:blipFill>
                    <a:blip r:embed="rId10">
                      <a:extLst>
                        <a:ext uri="{28A0092B-C50C-407E-A947-70E740481C1C}">
                          <a14:useLocalDpi xmlns:a14="http://schemas.microsoft.com/office/drawing/2010/main" val="0"/>
                        </a:ext>
                      </a:extLst>
                    </a:blip>
                    <a:stretch>
                      <a:fillRect/>
                    </a:stretch>
                  </pic:blipFill>
                  <pic:spPr>
                    <a:xfrm>
                      <a:off x="0" y="0"/>
                      <a:ext cx="2712955" cy="2548349"/>
                    </a:xfrm>
                    <a:prstGeom prst="rect">
                      <a:avLst/>
                    </a:prstGeom>
                  </pic:spPr>
                </pic:pic>
              </a:graphicData>
            </a:graphic>
          </wp:inline>
        </w:drawing>
      </w:r>
    </w:p>
    <w:p w14:paraId="082EC2DD" w14:textId="31CD7365" w:rsidR="40D674BF" w:rsidRPr="00ED02A5" w:rsidRDefault="40D674BF" w:rsidP="00ED02A5">
      <w:pPr>
        <w:spacing w:after="0"/>
        <w:jc w:val="center"/>
        <w:rPr>
          <w:rFonts w:eastAsia="Calibri" w:cstheme="minorHAnsi"/>
        </w:rPr>
      </w:pPr>
      <w:r w:rsidRPr="00ED02A5">
        <w:rPr>
          <w:rFonts w:eastAsia="Calibri" w:cstheme="minorHAnsi"/>
        </w:rPr>
        <w:t>Border between Core (Central Europe) and SEE CCRs</w:t>
      </w:r>
    </w:p>
    <w:p w14:paraId="6D73C0C9" w14:textId="2349BECE" w:rsidR="1F02B92B" w:rsidRPr="00ED02A5" w:rsidRDefault="1F02B92B" w:rsidP="1F02B92B">
      <w:pPr>
        <w:spacing w:after="0"/>
        <w:jc w:val="both"/>
        <w:rPr>
          <w:rFonts w:eastAsia="Calibri" w:cstheme="minorHAnsi"/>
          <w:color w:val="000000" w:themeColor="text1"/>
        </w:rPr>
      </w:pPr>
    </w:p>
    <w:p w14:paraId="75119240" w14:textId="28226ACA" w:rsidR="40D674BF" w:rsidRPr="00ED02A5" w:rsidRDefault="40D674BF" w:rsidP="00ED02A5">
      <w:pPr>
        <w:pStyle w:val="Heading1"/>
        <w:numPr>
          <w:ilvl w:val="2"/>
          <w:numId w:val="8"/>
        </w:numPr>
        <w:ind w:left="426"/>
        <w:jc w:val="both"/>
        <w:rPr>
          <w:rFonts w:asciiTheme="minorHAnsi" w:hAnsiTheme="minorHAnsi" w:cstheme="minorHAnsi"/>
        </w:rPr>
      </w:pPr>
      <w:r w:rsidRPr="00ED02A5">
        <w:rPr>
          <w:rFonts w:asciiTheme="minorHAnsi" w:hAnsiTheme="minorHAnsi" w:cstheme="minorHAnsi"/>
        </w:rPr>
        <w:t>Inclusion of North Greek borders to the SEE CCR</w:t>
      </w:r>
    </w:p>
    <w:p w14:paraId="26C0F2BB" w14:textId="42A15260" w:rsidR="40D674BF" w:rsidRPr="00ED02A5" w:rsidRDefault="40D674BF" w:rsidP="00ED02A5">
      <w:pPr>
        <w:spacing w:line="276" w:lineRule="auto"/>
        <w:jc w:val="both"/>
        <w:rPr>
          <w:rFonts w:eastAsia="Calibri"/>
          <w:lang w:val="en-US"/>
        </w:rPr>
      </w:pPr>
      <w:r w:rsidRPr="5064FC44">
        <w:rPr>
          <w:rFonts w:eastAsia="Calibri"/>
          <w:lang w:val="en-US"/>
        </w:rPr>
        <w:t>TSOs of Greece (IPTO), Bulgaria (ESO), and Romania (Transelectrica) (further refer to as “SEE CCR TSOs”) have recently jointly developed an amendment of the SEE Capacity Calculation Methodology (SEE CCM), within the DA-ID timeframe, which was approved by the SEE CCR NRAs in September 2023. This amended methodology incorporates to the NTCs calculation at the North Greek borders, the borders of Albania -Greece (GR-AL), North Macedonia-Greece (GR-</w:t>
      </w:r>
      <w:r w:rsidR="59BCEF38" w:rsidRPr="5064FC44">
        <w:rPr>
          <w:rFonts w:eastAsia="Calibri"/>
          <w:lang w:val="en-US"/>
        </w:rPr>
        <w:t>MK</w:t>
      </w:r>
      <w:r w:rsidRPr="5064FC44">
        <w:rPr>
          <w:rFonts w:eastAsia="Calibri"/>
          <w:lang w:val="en-US"/>
        </w:rPr>
        <w:t xml:space="preserve">) and Turkey–Greece (GR-TR), complementary to the NTC calculation at the Greece-Bulgaria (GR-BG) border. </w:t>
      </w:r>
    </w:p>
    <w:p w14:paraId="35248598" w14:textId="252C5CCC" w:rsidR="40D674BF" w:rsidRPr="00ED02A5" w:rsidRDefault="40D674BF" w:rsidP="00ED02A5">
      <w:pPr>
        <w:spacing w:line="276" w:lineRule="auto"/>
        <w:jc w:val="both"/>
        <w:rPr>
          <w:rFonts w:eastAsia="Calibri"/>
          <w:lang w:val="en-US"/>
        </w:rPr>
      </w:pPr>
      <w:r w:rsidRPr="5064FC44">
        <w:rPr>
          <w:rFonts w:eastAsia="Calibri"/>
        </w:rPr>
        <w:t xml:space="preserve">The amended methodology considers the general principles and goals set in the CACM Regulation, while respecting the principles set in the Regulation (EC) 2019/943, one of which being the 70% requirement for the minimum Margin Available for Cross Zonal Trade (MACZT). In other words, for the compliance with the 70% MACZT requirement under the EU Electricity Regulation at the North Greek borders, this methodology calculates, in a coordinated way, cross-zonal capacities at all the North Greek borders, considering the non-EU neighbouring TSOs as technical counterparties. The capacities at the North Greek borders are highly interdependent to the added borders (as it is shown in the next section) and so, their incorporation is necessary </w:t>
      </w:r>
      <w:r w:rsidRPr="5064FC44">
        <w:rPr>
          <w:rFonts w:eastAsia="Calibri"/>
          <w:lang w:val="en-US"/>
        </w:rPr>
        <w:t xml:space="preserve">for the fulfillment of the 70% requirement at these borders. </w:t>
      </w:r>
    </w:p>
    <w:p w14:paraId="6AA149A7" w14:textId="5CF89D34" w:rsidR="40D674BF" w:rsidRPr="00ED02A5" w:rsidRDefault="40D674BF" w:rsidP="00ED02A5">
      <w:pPr>
        <w:spacing w:line="276" w:lineRule="auto"/>
        <w:jc w:val="both"/>
        <w:rPr>
          <w:rFonts w:eastAsia="Calibri" w:cstheme="minorHAnsi"/>
        </w:rPr>
      </w:pPr>
      <w:r w:rsidRPr="00ED02A5">
        <w:rPr>
          <w:rFonts w:eastAsia="Calibri" w:cstheme="minorHAnsi"/>
          <w:lang w:val="en-US"/>
        </w:rPr>
        <w:t xml:space="preserve">In addition to the above, the SEE CCR TSOs have included in ROSC, RDCT and RDCT cost sharing methodologies of the SEE CCR the possibility of their neighboring non-EU TSOs to join as technical counterparties </w:t>
      </w:r>
      <w:r w:rsidRPr="00ED02A5">
        <w:rPr>
          <w:rFonts w:eastAsia="Calibri" w:cstheme="minorHAnsi"/>
        </w:rPr>
        <w:t>to coordinate with them the remedial actions with cross border relevance.</w:t>
      </w:r>
    </w:p>
    <w:p w14:paraId="298150D0" w14:textId="74142820" w:rsidR="40D674BF" w:rsidRPr="00ED02A5" w:rsidRDefault="40D674BF" w:rsidP="00ED02A5">
      <w:pPr>
        <w:spacing w:line="257" w:lineRule="auto"/>
        <w:jc w:val="both"/>
        <w:rPr>
          <w:rFonts w:eastAsia="Calibri" w:cstheme="minorHAnsi"/>
          <w:lang w:val="en-US"/>
        </w:rPr>
      </w:pPr>
      <w:r w:rsidRPr="00ED02A5">
        <w:rPr>
          <w:rFonts w:eastAsia="Calibri" w:cstheme="minorHAnsi"/>
          <w:lang w:val="en-US"/>
        </w:rPr>
        <w:t>3.1 The dependency of the capacity of the GR-BG border on the Greek-non-EU borders</w:t>
      </w:r>
    </w:p>
    <w:p w14:paraId="0DA5EB5D" w14:textId="6DA36D54" w:rsidR="40D674BF" w:rsidRPr="00ED02A5" w:rsidRDefault="40D674BF" w:rsidP="00ED02A5">
      <w:pPr>
        <w:spacing w:line="276" w:lineRule="auto"/>
        <w:jc w:val="both"/>
        <w:rPr>
          <w:rFonts w:eastAsia="Calibri"/>
          <w:lang w:val="en-US"/>
        </w:rPr>
      </w:pPr>
      <w:r w:rsidRPr="5064FC44">
        <w:rPr>
          <w:rFonts w:eastAsia="Calibri"/>
          <w:lang w:val="en-US"/>
        </w:rPr>
        <w:t>Data from the SELENE CC KPI reports show that the cross-zonal capacities at the North Greek borders are highly interdependent. The dependency of the NTC capacity of the GR-BG border from the Greek-</w:t>
      </w:r>
      <w:r w:rsidRPr="5064FC44">
        <w:rPr>
          <w:rFonts w:eastAsia="Calibri"/>
          <w:lang w:val="en-US"/>
        </w:rPr>
        <w:lastRenderedPageBreak/>
        <w:t xml:space="preserve">non-EU borders can be illustrated by using the results calculated up to now for the NTC of the BG-GR border by using the capacity calculation methodology of the SEE CCR. </w:t>
      </w:r>
    </w:p>
    <w:p w14:paraId="7F7ECF13" w14:textId="648C7601" w:rsidR="40D674BF" w:rsidRPr="00ED02A5" w:rsidRDefault="40D674BF" w:rsidP="00ED02A5">
      <w:pPr>
        <w:spacing w:line="276" w:lineRule="auto"/>
        <w:jc w:val="both"/>
        <w:rPr>
          <w:rFonts w:eastAsia="Calibri"/>
          <w:lang w:val="en-US"/>
        </w:rPr>
      </w:pPr>
      <w:r w:rsidRPr="5064FC44">
        <w:rPr>
          <w:rFonts w:eastAsia="Calibri"/>
          <w:lang w:val="en-US"/>
        </w:rPr>
        <w:t>According to the SEE CCM, the Total Transfer Capacity (TTC) at the North Greek borders is determined by the limiting CNEC (Critical Network Element with Contingencies -CNEC) at these borders. The NTC on the BG-GR border is derived from the total TTC value at the North Greek borders using predefined splitting factors. Hence, there is a strong interdependency of the BG-GR NTC and the limiting CNEC at the North Greek borders.</w:t>
      </w:r>
    </w:p>
    <w:p w14:paraId="4F0DA306" w14:textId="35C783B5" w:rsidR="40D674BF" w:rsidRPr="00ED02A5" w:rsidRDefault="40D674BF" w:rsidP="00ED02A5">
      <w:pPr>
        <w:spacing w:line="257" w:lineRule="auto"/>
        <w:jc w:val="both"/>
        <w:rPr>
          <w:rFonts w:eastAsia="Calibri"/>
        </w:rPr>
      </w:pPr>
      <w:r w:rsidRPr="5064FC44">
        <w:rPr>
          <w:rFonts w:eastAsia="Calibri"/>
        </w:rPr>
        <w:t xml:space="preserve">Based on the CNECs results for 2024 </w:t>
      </w:r>
      <w:r w:rsidRPr="5064FC44">
        <w:rPr>
          <w:rFonts w:eastAsia="Calibri"/>
          <w:lang w:val="en-US"/>
        </w:rPr>
        <w:t>shown in Table 1, which are included in the SELENE CC KPI annual report for 2024,</w:t>
      </w:r>
      <w:r w:rsidRPr="5064FC44">
        <w:rPr>
          <w:rFonts w:eastAsia="Calibri"/>
        </w:rPr>
        <w:t xml:space="preserve"> it is evident that the 400 kV tie-line of Bitola-Meliti acted as the most frequent</w:t>
      </w:r>
      <w:r w:rsidRPr="5064FC44">
        <w:rPr>
          <w:rFonts w:eastAsia="Calibri"/>
          <w:lang w:val="en-US"/>
        </w:rPr>
        <w:t>ly</w:t>
      </w:r>
      <w:r w:rsidRPr="5064FC44">
        <w:rPr>
          <w:rFonts w:eastAsia="Calibri"/>
        </w:rPr>
        <w:t xml:space="preserve"> limiting critical network element at the North Greek borders for the coordinated capacity calculation procedure during the reporting period. </w:t>
      </w:r>
    </w:p>
    <w:tbl>
      <w:tblPr>
        <w:tblStyle w:val="TableGrid"/>
        <w:tblW w:w="0" w:type="auto"/>
        <w:jc w:val="center"/>
        <w:tblLayout w:type="fixed"/>
        <w:tblLook w:val="04A0" w:firstRow="1" w:lastRow="0" w:firstColumn="1" w:lastColumn="0" w:noHBand="0" w:noVBand="1"/>
      </w:tblPr>
      <w:tblGrid>
        <w:gridCol w:w="2005"/>
        <w:gridCol w:w="1830"/>
        <w:gridCol w:w="2065"/>
      </w:tblGrid>
      <w:tr w:rsidR="1F02B92B" w:rsidRPr="00ED02A5" w14:paraId="5F2436D6" w14:textId="77777777" w:rsidTr="00ED02A5">
        <w:trPr>
          <w:trHeight w:val="180"/>
          <w:jc w:val="center"/>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0244E1" w14:textId="2757D16B" w:rsidR="1F02B92B" w:rsidRPr="00ED02A5" w:rsidRDefault="1F02B92B" w:rsidP="00ED02A5">
            <w:pPr>
              <w:jc w:val="both"/>
              <w:rPr>
                <w:rFonts w:eastAsia="Arial" w:cstheme="minorHAnsi"/>
                <w:b/>
                <w:bCs/>
                <w:color w:val="538135" w:themeColor="accent6" w:themeShade="BF"/>
                <w:sz w:val="20"/>
                <w:szCs w:val="20"/>
                <w:lang w:val="en-US"/>
              </w:rPr>
            </w:pPr>
            <w:r w:rsidRPr="00ED02A5">
              <w:rPr>
                <w:rFonts w:eastAsia="Arial" w:cstheme="minorHAnsi"/>
                <w:b/>
                <w:bCs/>
                <w:color w:val="538135" w:themeColor="accent6" w:themeShade="BF"/>
                <w:sz w:val="20"/>
                <w:szCs w:val="20"/>
                <w:lang w:val="en-US"/>
              </w:rPr>
              <w:t>Direction</w:t>
            </w:r>
          </w:p>
        </w:tc>
        <w:tc>
          <w:tcPr>
            <w:tcW w:w="18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6D9D1B" w14:textId="062BA52C" w:rsidR="1F02B92B" w:rsidRPr="00ED02A5" w:rsidRDefault="1F02B92B" w:rsidP="00ED02A5">
            <w:pPr>
              <w:jc w:val="both"/>
              <w:rPr>
                <w:rFonts w:eastAsia="Arial" w:cstheme="minorHAnsi"/>
                <w:b/>
                <w:bCs/>
                <w:color w:val="538135" w:themeColor="accent6" w:themeShade="BF"/>
                <w:sz w:val="20"/>
                <w:szCs w:val="20"/>
                <w:lang w:val="en-US"/>
              </w:rPr>
            </w:pPr>
            <w:r w:rsidRPr="00ED02A5">
              <w:rPr>
                <w:rFonts w:eastAsia="Arial" w:cstheme="minorHAnsi"/>
                <w:b/>
                <w:bCs/>
                <w:color w:val="538135" w:themeColor="accent6" w:themeShade="BF"/>
                <w:sz w:val="20"/>
                <w:szCs w:val="20"/>
                <w:lang w:val="en-US"/>
              </w:rPr>
              <w:t>BG&gt;GR</w:t>
            </w:r>
          </w:p>
        </w:tc>
        <w:tc>
          <w:tcPr>
            <w:tcW w:w="2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D9632E" w14:textId="4CB5D6DA" w:rsidR="1F02B92B" w:rsidRPr="00ED02A5" w:rsidRDefault="1F02B92B" w:rsidP="00ED02A5">
            <w:pPr>
              <w:spacing w:after="120"/>
              <w:jc w:val="both"/>
              <w:rPr>
                <w:rFonts w:eastAsia="Arial" w:cstheme="minorHAnsi"/>
                <w:b/>
                <w:bCs/>
                <w:color w:val="538135" w:themeColor="accent6" w:themeShade="BF"/>
                <w:sz w:val="20"/>
                <w:szCs w:val="20"/>
                <w:lang w:val="en-US"/>
              </w:rPr>
            </w:pPr>
            <w:r w:rsidRPr="00ED02A5">
              <w:rPr>
                <w:rFonts w:eastAsia="Arial" w:cstheme="minorHAnsi"/>
                <w:b/>
                <w:bCs/>
                <w:color w:val="538135" w:themeColor="accent6" w:themeShade="BF"/>
                <w:sz w:val="20"/>
                <w:szCs w:val="20"/>
                <w:lang w:val="en-US"/>
              </w:rPr>
              <w:t>GR&gt;BG</w:t>
            </w:r>
          </w:p>
        </w:tc>
      </w:tr>
      <w:tr w:rsidR="1F02B92B" w:rsidRPr="00ED02A5" w14:paraId="43EFDF52" w14:textId="77777777" w:rsidTr="00ED02A5">
        <w:trPr>
          <w:trHeight w:val="180"/>
          <w:jc w:val="center"/>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51E4A7" w14:textId="4290F7DB" w:rsidR="1F02B92B" w:rsidRPr="00ED02A5" w:rsidRDefault="1F02B92B" w:rsidP="00ED02A5">
            <w:pPr>
              <w:jc w:val="both"/>
              <w:rPr>
                <w:rFonts w:eastAsia="Arial" w:cstheme="minorHAnsi"/>
                <w:b/>
                <w:bCs/>
                <w:color w:val="7B7B7B" w:themeColor="accent3" w:themeShade="BF"/>
                <w:sz w:val="20"/>
                <w:szCs w:val="20"/>
                <w:lang w:val="en-US"/>
              </w:rPr>
            </w:pPr>
            <w:r w:rsidRPr="00ED02A5">
              <w:rPr>
                <w:rFonts w:eastAsia="Arial" w:cstheme="minorHAnsi"/>
                <w:b/>
                <w:bCs/>
                <w:color w:val="7B7B7B" w:themeColor="accent3" w:themeShade="BF"/>
                <w:sz w:val="20"/>
                <w:szCs w:val="20"/>
                <w:lang w:val="en-US"/>
              </w:rPr>
              <w:t>Limiting CNE</w:t>
            </w:r>
          </w:p>
        </w:tc>
        <w:tc>
          <w:tcPr>
            <w:tcW w:w="18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54E936" w14:textId="7D687ACA" w:rsidR="1F02B92B" w:rsidRPr="00ED02A5" w:rsidRDefault="1F02B92B" w:rsidP="00ED02A5">
            <w:pPr>
              <w:jc w:val="both"/>
              <w:rPr>
                <w:rFonts w:eastAsia="Arial"/>
                <w:b/>
                <w:bCs/>
                <w:color w:val="7B7B7B" w:themeColor="accent3" w:themeShade="BF"/>
                <w:sz w:val="20"/>
                <w:szCs w:val="20"/>
                <w:lang w:val="en-US"/>
              </w:rPr>
            </w:pPr>
            <w:r w:rsidRPr="5064FC44">
              <w:rPr>
                <w:rFonts w:eastAsia="Arial"/>
                <w:b/>
                <w:bCs/>
                <w:color w:val="7B7B7B" w:themeColor="accent3" w:themeShade="BF"/>
                <w:sz w:val="20"/>
                <w:szCs w:val="20"/>
                <w:lang w:val="en-US"/>
              </w:rPr>
              <w:t>Bitola - Meliti</w:t>
            </w:r>
          </w:p>
        </w:tc>
        <w:tc>
          <w:tcPr>
            <w:tcW w:w="2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2CC1A8" w14:textId="757A6043" w:rsidR="1F02B92B" w:rsidRPr="00ED02A5" w:rsidRDefault="1F02B92B" w:rsidP="00ED02A5">
            <w:pPr>
              <w:spacing w:after="120"/>
              <w:jc w:val="both"/>
              <w:rPr>
                <w:rFonts w:eastAsia="Arial"/>
                <w:b/>
                <w:bCs/>
                <w:color w:val="7B7B7B" w:themeColor="accent3" w:themeShade="BF"/>
                <w:sz w:val="20"/>
                <w:szCs w:val="20"/>
                <w:lang w:val="en-US"/>
              </w:rPr>
            </w:pPr>
            <w:r w:rsidRPr="5064FC44">
              <w:rPr>
                <w:rFonts w:eastAsia="Arial"/>
                <w:b/>
                <w:bCs/>
                <w:color w:val="7B7B7B" w:themeColor="accent3" w:themeShade="BF"/>
                <w:sz w:val="20"/>
                <w:szCs w:val="20"/>
                <w:lang w:val="en-US"/>
              </w:rPr>
              <w:t>Bitola - Meliti</w:t>
            </w:r>
          </w:p>
        </w:tc>
      </w:tr>
      <w:tr w:rsidR="1F02B92B" w:rsidRPr="00ED02A5" w14:paraId="4B7D10AF" w14:textId="77777777" w:rsidTr="00ED02A5">
        <w:trPr>
          <w:trHeight w:val="195"/>
          <w:jc w:val="center"/>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2B54CB" w14:textId="35463CC7" w:rsidR="1F02B92B" w:rsidRPr="00ED02A5" w:rsidRDefault="1F02B92B" w:rsidP="00ED02A5">
            <w:pPr>
              <w:jc w:val="both"/>
              <w:rPr>
                <w:rFonts w:eastAsia="Arial" w:cstheme="minorHAnsi"/>
                <w:b/>
                <w:bCs/>
                <w:color w:val="2E74B5" w:themeColor="accent5" w:themeShade="BF"/>
                <w:sz w:val="20"/>
                <w:szCs w:val="20"/>
                <w:lang w:val="en-US"/>
              </w:rPr>
            </w:pPr>
            <w:r w:rsidRPr="00ED02A5">
              <w:rPr>
                <w:rFonts w:eastAsia="Arial" w:cstheme="minorHAnsi"/>
                <w:b/>
                <w:bCs/>
                <w:color w:val="2E74B5" w:themeColor="accent5" w:themeShade="BF"/>
                <w:sz w:val="20"/>
                <w:szCs w:val="20"/>
                <w:lang w:val="en-US"/>
              </w:rPr>
              <w:t xml:space="preserve"> </w:t>
            </w:r>
          </w:p>
        </w:tc>
        <w:tc>
          <w:tcPr>
            <w:tcW w:w="18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4BA9B4" w14:textId="11AA81A1" w:rsidR="1F02B92B" w:rsidRPr="00ED02A5" w:rsidRDefault="1F02B92B" w:rsidP="00ED02A5">
            <w:pPr>
              <w:jc w:val="both"/>
              <w:rPr>
                <w:rFonts w:eastAsia="Arial" w:cstheme="minorHAnsi"/>
                <w:sz w:val="20"/>
                <w:szCs w:val="20"/>
                <w:lang w:val="en-US"/>
              </w:rPr>
            </w:pPr>
            <w:r w:rsidRPr="00ED02A5">
              <w:rPr>
                <w:rFonts w:eastAsia="Arial" w:cstheme="minorHAnsi"/>
                <w:sz w:val="20"/>
                <w:szCs w:val="20"/>
                <w:lang w:val="en-US"/>
              </w:rPr>
              <w:t>97.03%</w:t>
            </w:r>
          </w:p>
        </w:tc>
        <w:tc>
          <w:tcPr>
            <w:tcW w:w="2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3640B3" w14:textId="6FA5D21A" w:rsidR="1F02B92B" w:rsidRPr="00ED02A5" w:rsidRDefault="1F02B92B" w:rsidP="00ED02A5">
            <w:pPr>
              <w:spacing w:after="120"/>
              <w:jc w:val="both"/>
              <w:rPr>
                <w:rFonts w:eastAsia="Arial" w:cstheme="minorHAnsi"/>
                <w:sz w:val="20"/>
                <w:szCs w:val="20"/>
                <w:lang w:val="en-US"/>
              </w:rPr>
            </w:pPr>
            <w:r w:rsidRPr="00ED02A5">
              <w:rPr>
                <w:rFonts w:eastAsia="Arial" w:cstheme="minorHAnsi"/>
                <w:sz w:val="20"/>
                <w:szCs w:val="20"/>
                <w:lang w:val="en-US"/>
              </w:rPr>
              <w:t>98.59%</w:t>
            </w:r>
          </w:p>
        </w:tc>
      </w:tr>
    </w:tbl>
    <w:p w14:paraId="005CD369" w14:textId="57770B83" w:rsidR="3068C4C7" w:rsidRPr="00ED02A5" w:rsidRDefault="3068C4C7" w:rsidP="00ED02A5">
      <w:pPr>
        <w:spacing w:line="257" w:lineRule="auto"/>
        <w:jc w:val="both"/>
        <w:rPr>
          <w:rFonts w:eastAsia="Calibri" w:cstheme="minorHAnsi"/>
        </w:rPr>
      </w:pPr>
      <w:r w:rsidRPr="00ED02A5">
        <w:rPr>
          <w:rFonts w:eastAsia="Calibri" w:cstheme="minorHAnsi"/>
        </w:rPr>
        <w:t>Table. Cases (in %) with the limiting CNE for the NGR borders for 2024</w:t>
      </w:r>
    </w:p>
    <w:p w14:paraId="14E352C6" w14:textId="48F33229" w:rsidR="3068C4C7" w:rsidRPr="00ED02A5" w:rsidRDefault="3068C4C7" w:rsidP="00ED02A5">
      <w:pPr>
        <w:spacing w:line="257" w:lineRule="auto"/>
        <w:jc w:val="both"/>
        <w:rPr>
          <w:rFonts w:eastAsia="Calibri"/>
        </w:rPr>
      </w:pPr>
      <w:r w:rsidRPr="263B72E6">
        <w:rPr>
          <w:rFonts w:eastAsia="Calibri"/>
        </w:rPr>
        <w:t>Moreover, flows on the GR-AL and GR-</w:t>
      </w:r>
      <w:r w:rsidR="0E8278E0" w:rsidRPr="263B72E6">
        <w:rPr>
          <w:rFonts w:eastAsia="Calibri"/>
        </w:rPr>
        <w:t>MK</w:t>
      </w:r>
      <w:r w:rsidRPr="263B72E6">
        <w:rPr>
          <w:rFonts w:eastAsia="Calibri"/>
        </w:rPr>
        <w:t xml:space="preserve"> </w:t>
      </w:r>
      <w:r w:rsidR="76DD7765" w:rsidRPr="263B72E6">
        <w:rPr>
          <w:rFonts w:eastAsia="Calibri"/>
        </w:rPr>
        <w:t xml:space="preserve">bidding zone </w:t>
      </w:r>
      <w:r w:rsidRPr="263B72E6">
        <w:rPr>
          <w:rFonts w:eastAsia="Calibri"/>
        </w:rPr>
        <w:t xml:space="preserve">borders are strongly correlated with flows on AL-ME, AL-XK, MK-XK, and XK-ME </w:t>
      </w:r>
      <w:r w:rsidR="24A64B00" w:rsidRPr="263B72E6">
        <w:rPr>
          <w:rFonts w:eastAsia="Calibri"/>
        </w:rPr>
        <w:t xml:space="preserve">bidding zone </w:t>
      </w:r>
      <w:r w:rsidRPr="263B72E6">
        <w:rPr>
          <w:rFonts w:eastAsia="Calibri"/>
        </w:rPr>
        <w:t>borders. Including these borders in the SEE CCR aligns with the principle that interdependent bidding zone borders should belong to the same CCR.</w:t>
      </w:r>
    </w:p>
    <w:p w14:paraId="22F99A25" w14:textId="27FDE985" w:rsidR="3068C4C7" w:rsidRPr="00ED02A5" w:rsidRDefault="3068C4C7" w:rsidP="00ED02A5">
      <w:pPr>
        <w:spacing w:line="257" w:lineRule="auto"/>
        <w:jc w:val="both"/>
        <w:rPr>
          <w:rFonts w:eastAsia="Calibri" w:cstheme="minorHAnsi"/>
          <w:lang w:val="en-US"/>
        </w:rPr>
      </w:pPr>
      <w:r w:rsidRPr="00ED02A5">
        <w:rPr>
          <w:rFonts w:eastAsia="Calibri" w:cstheme="minorHAnsi"/>
          <w:lang w:val="en-US"/>
        </w:rPr>
        <w:t>3.2 Conclusions</w:t>
      </w:r>
    </w:p>
    <w:p w14:paraId="041F7F96" w14:textId="56429EE7" w:rsidR="3068C4C7" w:rsidRPr="00ED02A5" w:rsidRDefault="3068C4C7" w:rsidP="00ED02A5">
      <w:pPr>
        <w:spacing w:line="257" w:lineRule="auto"/>
        <w:jc w:val="both"/>
        <w:rPr>
          <w:rFonts w:eastAsia="Calibri"/>
          <w:lang w:val="en-US"/>
        </w:rPr>
      </w:pPr>
      <w:r w:rsidRPr="5064FC44">
        <w:rPr>
          <w:rFonts w:eastAsia="Calibri"/>
          <w:lang w:val="en-US"/>
        </w:rPr>
        <w:t xml:space="preserve">The incorporation of the borders Albania – Greece (AL-GR) and North Macedonia – Greece (MK-GR) in the SEE CCR is vital for the fulfillment of the 70% requirement at the North Greek borders. Unless the capacities at the North Greek borders are calculated with the new amended SEE CCM which incorporates the above borders, IPTO would not be able to meet EU obligations regarding MACZT and system security. </w:t>
      </w:r>
    </w:p>
    <w:p w14:paraId="10AB6127" w14:textId="1B0E46F9" w:rsidR="3068C4C7" w:rsidRPr="00ED02A5" w:rsidRDefault="3068C4C7" w:rsidP="00ED02A5">
      <w:pPr>
        <w:spacing w:line="257" w:lineRule="auto"/>
        <w:jc w:val="both"/>
        <w:rPr>
          <w:rFonts w:eastAsia="Calibri"/>
          <w:lang w:val="en-US"/>
        </w:rPr>
      </w:pPr>
      <w:r w:rsidRPr="5064FC44">
        <w:rPr>
          <w:rFonts w:eastAsia="Calibri"/>
          <w:lang w:val="en-US"/>
        </w:rPr>
        <w:t xml:space="preserve">Furthermore, the inclusion of the borders Albania – Greece (AL-GR) and North Macedonia – Greece (MK-GR) at the current SEE CCR is vital not only for the fulfillment of the 70% requirement but for the assurance of system security at the SEE region. SEE CCR TSOs have included Albania and North Macedonia in their redispatching-countertrading and cost sharing methodologies as technical counterparties, in order to coordinate with them, remedial actions with cross border relevance. </w:t>
      </w:r>
    </w:p>
    <w:p w14:paraId="77B2045F" w14:textId="7806C8CA" w:rsidR="3068C4C7" w:rsidRPr="00ED02A5" w:rsidRDefault="3068C4C7">
      <w:pPr>
        <w:spacing w:line="257" w:lineRule="auto"/>
        <w:jc w:val="both"/>
        <w:rPr>
          <w:rFonts w:eastAsia="Calibri" w:cstheme="minorHAnsi"/>
          <w:lang w:val="en-US"/>
        </w:rPr>
      </w:pPr>
      <w:r w:rsidRPr="00ED02A5">
        <w:rPr>
          <w:rFonts w:eastAsia="Calibri" w:cstheme="minorHAnsi"/>
          <w:lang w:val="en-US"/>
        </w:rPr>
        <w:t>In general, the proposed SEE CCR reconfiguration, when implemented, will benefit the SEE region as a whole as it supports compliance with EU MACZT obligations, enhances system security through coordinated cross-border remedial actions with non-EU TSOs, aligns with the long-term objective of consolidating CCRs as promoted by ACER, resolves implementation hurdles associated with the Shadow CCR concept and last but not least, offers a technically sound, efficient, and politically viable path forward for regional integration.</w:t>
      </w:r>
    </w:p>
    <w:p w14:paraId="2513EB5D" w14:textId="77777777" w:rsidR="00854E6B" w:rsidRPr="00ED02A5" w:rsidRDefault="00854E6B">
      <w:pPr>
        <w:spacing w:line="257" w:lineRule="auto"/>
        <w:jc w:val="both"/>
        <w:rPr>
          <w:rFonts w:eastAsia="Calibri" w:cstheme="minorHAnsi"/>
          <w:lang w:val="en-US"/>
        </w:rPr>
      </w:pPr>
    </w:p>
    <w:p w14:paraId="757C829D" w14:textId="598DE161" w:rsidR="000228FE" w:rsidRPr="00ED02A5" w:rsidRDefault="000228FE" w:rsidP="00ED02A5">
      <w:pPr>
        <w:pStyle w:val="Heading1"/>
        <w:numPr>
          <w:ilvl w:val="2"/>
          <w:numId w:val="8"/>
        </w:numPr>
        <w:ind w:left="426"/>
        <w:jc w:val="both"/>
        <w:rPr>
          <w:rFonts w:asciiTheme="minorHAnsi" w:hAnsiTheme="minorHAnsi" w:cstheme="minorBidi"/>
        </w:rPr>
      </w:pPr>
      <w:r w:rsidRPr="263B72E6">
        <w:rPr>
          <w:rFonts w:asciiTheme="minorHAnsi" w:hAnsiTheme="minorHAnsi" w:cstheme="minorBidi"/>
        </w:rPr>
        <w:t>Inclusion Justification for Albania–Montenegro (AL-ME) and Albania–Kosovo</w:t>
      </w:r>
      <w:r w:rsidR="188605CB" w:rsidRPr="263B72E6">
        <w:rPr>
          <w:rFonts w:asciiTheme="minorHAnsi" w:hAnsiTheme="minorHAnsi" w:cstheme="minorBidi"/>
        </w:rPr>
        <w:t>*</w:t>
      </w:r>
      <w:r w:rsidRPr="263B72E6">
        <w:rPr>
          <w:rFonts w:asciiTheme="minorHAnsi" w:hAnsiTheme="minorHAnsi" w:cstheme="minorBidi"/>
        </w:rPr>
        <w:t xml:space="preserve"> (AL-XK) </w:t>
      </w:r>
      <w:r w:rsidR="3079F089" w:rsidRPr="263B72E6">
        <w:rPr>
          <w:rFonts w:asciiTheme="minorHAnsi" w:hAnsiTheme="minorHAnsi" w:cstheme="minorBidi"/>
        </w:rPr>
        <w:t>bidding zone</w:t>
      </w:r>
      <w:r w:rsidRPr="263B72E6">
        <w:rPr>
          <w:rFonts w:asciiTheme="minorHAnsi" w:hAnsiTheme="minorHAnsi" w:cstheme="minorBidi"/>
        </w:rPr>
        <w:t xml:space="preserve"> Borders</w:t>
      </w:r>
    </w:p>
    <w:p w14:paraId="44ABC00A" w14:textId="77777777" w:rsidR="000228FE" w:rsidRPr="00ED02A5" w:rsidRDefault="000228FE" w:rsidP="000228FE">
      <w:pPr>
        <w:pStyle w:val="ListParagraph"/>
        <w:ind w:left="360"/>
        <w:jc w:val="both"/>
        <w:rPr>
          <w:rFonts w:cstheme="minorHAnsi"/>
        </w:rPr>
      </w:pPr>
    </w:p>
    <w:p w14:paraId="0BF314FB" w14:textId="50659200" w:rsidR="000228FE" w:rsidRPr="00ED02A5" w:rsidRDefault="000228FE" w:rsidP="000228FE">
      <w:pPr>
        <w:jc w:val="both"/>
      </w:pPr>
      <w:r w:rsidRPr="263B72E6">
        <w:lastRenderedPageBreak/>
        <w:t>The capacity of the Albania–Montenegro (AL-ME) and Albania–Kosovo</w:t>
      </w:r>
      <w:r w:rsidR="27EBE599" w:rsidRPr="263B72E6">
        <w:t>*</w:t>
      </w:r>
      <w:r w:rsidRPr="263B72E6">
        <w:t xml:space="preserve"> (AL-XK)</w:t>
      </w:r>
      <w:r w:rsidR="557B2874" w:rsidRPr="263B72E6">
        <w:t xml:space="preserve"> bidding zone</w:t>
      </w:r>
      <w:r w:rsidRPr="263B72E6">
        <w:t xml:space="preserve"> borders is significantly influenced by their integration within the South</w:t>
      </w:r>
      <w:r w:rsidR="18F4E5CB" w:rsidRPr="263B72E6">
        <w:t>-</w:t>
      </w:r>
      <w:r w:rsidRPr="263B72E6">
        <w:t xml:space="preserve">East Europe Capacity Calculation Region (SEE CCR). These </w:t>
      </w:r>
      <w:r w:rsidR="4E73D2BB" w:rsidRPr="263B72E6">
        <w:t>bidding zone</w:t>
      </w:r>
      <w:r w:rsidRPr="263B72E6">
        <w:t xml:space="preserve"> borders have a considerable impact on the cross-zonal capacities originating from the Albania–Greece (AL-GR) </w:t>
      </w:r>
      <w:r w:rsidR="389B76E1" w:rsidRPr="263B72E6">
        <w:t>bidding zone</w:t>
      </w:r>
      <w:r w:rsidRPr="263B72E6">
        <w:t xml:space="preserve"> border, with power flows on the AL-ME and AL-XK </w:t>
      </w:r>
      <w:r w:rsidR="3433F667" w:rsidRPr="263B72E6">
        <w:t xml:space="preserve">bidding zone </w:t>
      </w:r>
      <w:r w:rsidRPr="263B72E6">
        <w:t xml:space="preserve">borders showing a strong correlation with those on the AL-GR </w:t>
      </w:r>
      <w:r w:rsidR="1C35CD7E" w:rsidRPr="263B72E6">
        <w:t xml:space="preserve">bidding zone </w:t>
      </w:r>
      <w:r w:rsidRPr="263B72E6">
        <w:t xml:space="preserve">border. </w:t>
      </w:r>
    </w:p>
    <w:p w14:paraId="07789064" w14:textId="467F4352" w:rsidR="000228FE" w:rsidRPr="00ED02A5" w:rsidRDefault="000228FE" w:rsidP="000228FE">
      <w:pPr>
        <w:jc w:val="both"/>
      </w:pPr>
      <w:r w:rsidRPr="5064FC44">
        <w:t>Data from the SCC N-X security analysis indicate frequent overloading of the 220 kV tie-lines Koplik–Podgorica (AL-ME) and Fierza–Prizren (AL-XK) under various contingency scenarios. These lines consistently rank among the most critical and limiting network elements on Albania’s borders during capacity calculation processes.</w:t>
      </w:r>
    </w:p>
    <w:p w14:paraId="37481070" w14:textId="4A30FAF7" w:rsidR="000228FE" w:rsidRPr="00ED02A5" w:rsidRDefault="007B7007" w:rsidP="000B5633">
      <w:pPr>
        <w:jc w:val="center"/>
      </w:pPr>
      <w:r w:rsidRPr="00ED02A5">
        <w:rPr>
          <w:rFonts w:cstheme="minorHAnsi"/>
          <w:noProof/>
        </w:rPr>
        <mc:AlternateContent>
          <mc:Choice Requires="wps">
            <w:drawing>
              <wp:anchor distT="0" distB="0" distL="114300" distR="114300" simplePos="0" relativeHeight="251658240" behindDoc="0" locked="0" layoutInCell="1" allowOverlap="1" wp14:anchorId="66F94F57" wp14:editId="7A17A171">
                <wp:simplePos x="0" y="0"/>
                <wp:positionH relativeFrom="margin">
                  <wp:align>center</wp:align>
                </wp:positionH>
                <wp:positionV relativeFrom="paragraph">
                  <wp:posOffset>737677</wp:posOffset>
                </wp:positionV>
                <wp:extent cx="3905250" cy="238125"/>
                <wp:effectExtent l="0" t="0" r="0" b="9525"/>
                <wp:wrapTopAndBottom/>
                <wp:docPr id="383092160" name="Text Box 1"/>
                <wp:cNvGraphicFramePr/>
                <a:graphic xmlns:a="http://schemas.openxmlformats.org/drawingml/2006/main">
                  <a:graphicData uri="http://schemas.microsoft.com/office/word/2010/wordprocessingShape">
                    <wps:wsp>
                      <wps:cNvSpPr txBox="1"/>
                      <wps:spPr>
                        <a:xfrm>
                          <a:off x="0" y="0"/>
                          <a:ext cx="3905250" cy="238125"/>
                        </a:xfrm>
                        <a:prstGeom prst="rect">
                          <a:avLst/>
                        </a:prstGeom>
                        <a:solidFill>
                          <a:prstClr val="white"/>
                        </a:solidFill>
                        <a:ln>
                          <a:noFill/>
                        </a:ln>
                      </wps:spPr>
                      <wps:txbx>
                        <w:txbxContent>
                          <w:p w14:paraId="19E4908B" w14:textId="77777777" w:rsidR="000228FE" w:rsidRPr="00325EE3" w:rsidRDefault="000228FE" w:rsidP="000228FE">
                            <w:pPr>
                              <w:pStyle w:val="Caption"/>
                              <w:rPr>
                                <w:sz w:val="24"/>
                                <w:szCs w:val="24"/>
                              </w:rPr>
                            </w:pPr>
                            <w:r w:rsidRPr="00325EE3">
                              <w:rPr>
                                <w:sz w:val="20"/>
                                <w:szCs w:val="20"/>
                              </w:rPr>
                              <w:t xml:space="preserve">Table </w:t>
                            </w:r>
                            <w:r w:rsidRPr="00325EE3">
                              <w:rPr>
                                <w:sz w:val="20"/>
                                <w:szCs w:val="20"/>
                              </w:rPr>
                              <w:fldChar w:fldCharType="begin"/>
                            </w:r>
                            <w:r w:rsidRPr="00325EE3">
                              <w:rPr>
                                <w:sz w:val="20"/>
                                <w:szCs w:val="20"/>
                              </w:rPr>
                              <w:instrText xml:space="preserve"> SEQ Table \* ARABIC </w:instrText>
                            </w:r>
                            <w:r w:rsidRPr="00325EE3">
                              <w:rPr>
                                <w:sz w:val="20"/>
                                <w:szCs w:val="20"/>
                              </w:rPr>
                              <w:fldChar w:fldCharType="separate"/>
                            </w:r>
                            <w:r w:rsidRPr="00325EE3">
                              <w:rPr>
                                <w:noProof/>
                                <w:sz w:val="20"/>
                                <w:szCs w:val="20"/>
                              </w:rPr>
                              <w:t>1</w:t>
                            </w:r>
                            <w:r w:rsidRPr="00325EE3">
                              <w:rPr>
                                <w:sz w:val="20"/>
                                <w:szCs w:val="20"/>
                              </w:rPr>
                              <w:fldChar w:fldCharType="end"/>
                            </w:r>
                            <w:r w:rsidRPr="00325EE3">
                              <w:rPr>
                                <w:sz w:val="20"/>
                                <w:szCs w:val="20"/>
                              </w:rPr>
                              <w:t xml:space="preserve"> Cases (in %) with the limiting CNEC for the AL borders for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F94F57" id="_x0000_t202" coordsize="21600,21600" o:spt="202" path="m,l,21600r21600,l21600,xe">
                <v:stroke joinstyle="miter"/>
                <v:path gradientshapeok="t" o:connecttype="rect"/>
              </v:shapetype>
              <v:shape id="Text Box 1" o:spid="_x0000_s1026" type="#_x0000_t202" style="position:absolute;left:0;text-align:left;margin-left:0;margin-top:58.1pt;width:307.5pt;height:18.75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" stroked="f">
                <v:textbox inset="0,0,0,0">
                  <w:txbxContent>
                    <w:p w14:paraId="19E4908B" w14:textId="77777777" w:rsidR="000228FE" w:rsidRPr="00325EE3" w:rsidRDefault="000228FE" w:rsidP="000228FE">
                      <w:pPr>
                        <w:pStyle w:val="Caption"/>
                        <w:rPr>
                          <w:sz w:val="24"/>
                          <w:szCs w:val="24"/>
                        </w:rPr>
                      </w:pPr>
                      <w:r w:rsidRPr="00325EE3">
                        <w:rPr>
                          <w:sz w:val="20"/>
                          <w:szCs w:val="20"/>
                        </w:rPr>
                        <w:t xml:space="preserve">Table </w:t>
                      </w:r>
                      <w:r w:rsidRPr="00325EE3">
                        <w:rPr>
                          <w:sz w:val="20"/>
                          <w:szCs w:val="20"/>
                        </w:rPr>
                        <w:fldChar w:fldCharType="begin"/>
                      </w:r>
                      <w:r w:rsidRPr="00325EE3">
                        <w:rPr>
                          <w:sz w:val="20"/>
                          <w:szCs w:val="20"/>
                        </w:rPr>
                        <w:instrText xml:space="preserve"> SEQ Table \* ARABIC </w:instrText>
                      </w:r>
                      <w:r w:rsidRPr="00325EE3">
                        <w:rPr>
                          <w:sz w:val="20"/>
                          <w:szCs w:val="20"/>
                        </w:rPr>
                        <w:fldChar w:fldCharType="separate"/>
                      </w:r>
                      <w:r w:rsidRPr="00325EE3">
                        <w:rPr>
                          <w:noProof/>
                          <w:sz w:val="20"/>
                          <w:szCs w:val="20"/>
                        </w:rPr>
                        <w:t>1</w:t>
                      </w:r>
                      <w:r w:rsidRPr="00325EE3">
                        <w:rPr>
                          <w:sz w:val="20"/>
                          <w:szCs w:val="20"/>
                        </w:rPr>
                        <w:fldChar w:fldCharType="end"/>
                      </w:r>
                      <w:r w:rsidRPr="00325EE3">
                        <w:rPr>
                          <w:sz w:val="20"/>
                          <w:szCs w:val="20"/>
                        </w:rPr>
                        <w:t xml:space="preserve"> Cases (in %) with the limiting CNEC for the AL borders for 2024</w:t>
                      </w:r>
                    </w:p>
                  </w:txbxContent>
                </v:textbox>
                <w10:wrap type="topAndBottom" anchorx="margin"/>
              </v:shape>
            </w:pict>
          </mc:Fallback>
        </mc:AlternateContent>
      </w:r>
      <w:r w:rsidR="7F7BA717">
        <w:rPr>
          <w:noProof/>
        </w:rPr>
        <w:drawing>
          <wp:inline distT="0" distB="0" distL="0" distR="0" wp14:anchorId="24FC1B8D" wp14:editId="05ED1204">
            <wp:extent cx="4604480" cy="596348"/>
            <wp:effectExtent l="0" t="0" r="5715" b="0"/>
            <wp:docPr id="1354970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970387" name=""/>
                    <pic:cNvPicPr/>
                  </pic:nvPicPr>
                  <pic:blipFill>
                    <a:blip r:embed="rId11"/>
                    <a:stretch>
                      <a:fillRect/>
                    </a:stretch>
                  </pic:blipFill>
                  <pic:spPr>
                    <a:xfrm>
                      <a:off x="0" y="0"/>
                      <a:ext cx="4648651" cy="602069"/>
                    </a:xfrm>
                    <a:prstGeom prst="rect">
                      <a:avLst/>
                    </a:prstGeom>
                  </pic:spPr>
                </pic:pic>
              </a:graphicData>
            </a:graphic>
          </wp:inline>
        </w:drawing>
      </w:r>
    </w:p>
    <w:p w14:paraId="782653E3" w14:textId="7FDCBC9D" w:rsidR="00854E6B" w:rsidRPr="00ED02A5" w:rsidRDefault="000228FE" w:rsidP="00ED02A5">
      <w:pPr>
        <w:spacing w:line="257" w:lineRule="auto"/>
        <w:jc w:val="both"/>
        <w:rPr>
          <w:rFonts w:eastAsia="Calibri"/>
          <w:sz w:val="20"/>
          <w:szCs w:val="20"/>
          <w:lang w:val="en-US"/>
        </w:rPr>
      </w:pPr>
      <w:r w:rsidRPr="263B72E6">
        <w:t xml:space="preserve">The inclusion of the AL-ME and AL-XK </w:t>
      </w:r>
      <w:r w:rsidR="283BDA34" w:rsidRPr="263B72E6">
        <w:t xml:space="preserve">bidding zone </w:t>
      </w:r>
      <w:r w:rsidRPr="263B72E6">
        <w:t>borders in the SEE CCR is therefore essential to ensure the security and reliability of the regional electricity system. Given the critical role these borders play in regional power flows and their strong interdependence with other key cross-border corridors, coordinated capacity calculation and congestion management are necessary.</w:t>
      </w:r>
    </w:p>
    <w:p w14:paraId="4C268E5E" w14:textId="437B1294" w:rsidR="1F02B92B" w:rsidRPr="00ED02A5" w:rsidRDefault="1F02B92B" w:rsidP="00ED02A5">
      <w:pPr>
        <w:jc w:val="both"/>
        <w:rPr>
          <w:rFonts w:eastAsia="Calibri" w:cstheme="minorHAnsi"/>
        </w:rPr>
      </w:pPr>
    </w:p>
    <w:p w14:paraId="0C252489" w14:textId="24C34DFB" w:rsidR="00761E6B" w:rsidRPr="00ED02A5" w:rsidRDefault="006E07F6" w:rsidP="263B72E6">
      <w:pPr>
        <w:pStyle w:val="Heading1"/>
        <w:numPr>
          <w:ilvl w:val="1"/>
          <w:numId w:val="8"/>
        </w:numPr>
        <w:ind w:left="630" w:hanging="270"/>
        <w:jc w:val="both"/>
        <w:rPr>
          <w:rFonts w:asciiTheme="minorHAnsi" w:hAnsiTheme="minorHAnsi" w:cstheme="minorBidi"/>
        </w:rPr>
      </w:pPr>
      <w:r w:rsidRPr="263B72E6">
        <w:rPr>
          <w:rFonts w:asciiTheme="minorHAnsi" w:hAnsiTheme="minorHAnsi" w:cstheme="minorBidi"/>
        </w:rPr>
        <w:t>East</w:t>
      </w:r>
      <w:r w:rsidR="1E56B098" w:rsidRPr="263B72E6">
        <w:rPr>
          <w:rFonts w:asciiTheme="minorHAnsi" w:hAnsiTheme="minorHAnsi" w:cstheme="minorBidi"/>
        </w:rPr>
        <w:t>ern</w:t>
      </w:r>
      <w:r w:rsidRPr="263B72E6">
        <w:rPr>
          <w:rFonts w:asciiTheme="minorHAnsi" w:hAnsiTheme="minorHAnsi" w:cstheme="minorBidi"/>
        </w:rPr>
        <w:t xml:space="preserve"> Europe CCR </w:t>
      </w:r>
    </w:p>
    <w:p w14:paraId="65CCA25D" w14:textId="77777777" w:rsidR="0065228B" w:rsidRPr="00ED02A5" w:rsidRDefault="0065228B" w:rsidP="00ED02A5">
      <w:pPr>
        <w:pStyle w:val="Heading1"/>
        <w:numPr>
          <w:ilvl w:val="2"/>
          <w:numId w:val="8"/>
        </w:numPr>
        <w:ind w:left="426"/>
        <w:jc w:val="both"/>
        <w:rPr>
          <w:rFonts w:asciiTheme="minorHAnsi" w:hAnsiTheme="minorHAnsi" w:cstheme="minorHAnsi"/>
        </w:rPr>
      </w:pPr>
      <w:r w:rsidRPr="00ED02A5">
        <w:rPr>
          <w:rFonts w:asciiTheme="minorHAnsi" w:hAnsiTheme="minorHAnsi" w:cstheme="minorHAnsi"/>
        </w:rPr>
        <w:t>Background</w:t>
      </w:r>
    </w:p>
    <w:p w14:paraId="73D74730" w14:textId="7FD09E8C" w:rsidR="6B394F47" w:rsidRPr="00ED02A5" w:rsidRDefault="6B394F47" w:rsidP="00ED02A5">
      <w:pPr>
        <w:spacing w:after="240" w:line="312" w:lineRule="auto"/>
        <w:ind w:left="360"/>
        <w:jc w:val="both"/>
        <w:rPr>
          <w:rFonts w:eastAsia="Calibri"/>
          <w:color w:val="000000" w:themeColor="text1"/>
        </w:rPr>
      </w:pPr>
      <w:r w:rsidRPr="5064FC44">
        <w:rPr>
          <w:rFonts w:eastAsia="Calibri"/>
          <w:color w:val="000000" w:themeColor="text1"/>
        </w:rPr>
        <w:t>The East</w:t>
      </w:r>
      <w:r w:rsidRPr="00823AC1">
        <w:rPr>
          <w:rFonts w:eastAsia="Calibri"/>
          <w:color w:val="000000" w:themeColor="text1"/>
        </w:rPr>
        <w:t>ern</w:t>
      </w:r>
      <w:r w:rsidRPr="5064FC44">
        <w:rPr>
          <w:rFonts w:eastAsia="Calibri"/>
          <w:color w:val="000000" w:themeColor="text1"/>
        </w:rPr>
        <w:t xml:space="preserve"> Europe Capacity Calculation Region (EE CCR) has been established as a default CCR according to Annex I of the CACM Regulation, as adapted and adopted by Ministerial Council Decision 2022/03/MC-EnC (hereafter “EnC CACM”).  Such Default CCR configuration includes the bidding zone border</w:t>
      </w:r>
      <w:r w:rsidRPr="5064FC44">
        <w:rPr>
          <w:rFonts w:eastAsia="Calibri"/>
          <w:color w:val="498205"/>
          <w:u w:val="single"/>
        </w:rPr>
        <w:t>s</w:t>
      </w:r>
      <w:r w:rsidRPr="5064FC44">
        <w:rPr>
          <w:rFonts w:eastAsia="Calibri"/>
          <w:strike/>
          <w:color w:val="498205"/>
        </w:rPr>
        <w:t xml:space="preserve"> </w:t>
      </w:r>
      <w:r w:rsidRPr="5064FC44">
        <w:rPr>
          <w:rFonts w:eastAsia="Calibri"/>
          <w:color w:val="000000" w:themeColor="text1"/>
        </w:rPr>
        <w:t xml:space="preserve">between </w:t>
      </w:r>
    </w:p>
    <w:p w14:paraId="7F84B3ED" w14:textId="45CD782B" w:rsidR="6B394F47" w:rsidRPr="00ED02A5" w:rsidRDefault="6B394F47" w:rsidP="00ED02A5">
      <w:pPr>
        <w:pStyle w:val="ListParagraph"/>
        <w:numPr>
          <w:ilvl w:val="0"/>
          <w:numId w:val="7"/>
        </w:numPr>
        <w:spacing w:after="240" w:line="312" w:lineRule="auto"/>
        <w:jc w:val="both"/>
        <w:rPr>
          <w:rFonts w:eastAsia="Calibri"/>
          <w:color w:val="498205"/>
        </w:rPr>
      </w:pPr>
      <w:r w:rsidRPr="5064FC44">
        <w:rPr>
          <w:rFonts w:eastAsia="Calibri"/>
          <w:color w:val="000000" w:themeColor="text1"/>
        </w:rPr>
        <w:t>Ukraine and Moldova (UA - MD), concerning PJSC "National Power Company</w:t>
      </w:r>
      <w:r w:rsidRPr="5064FC44">
        <w:rPr>
          <w:rFonts w:eastAsia="Calibri"/>
          <w:color w:val="498205"/>
        </w:rPr>
        <w:t>”</w:t>
      </w:r>
      <w:r w:rsidRPr="5064FC44">
        <w:rPr>
          <w:rFonts w:eastAsia="Calibri"/>
          <w:color w:val="000000" w:themeColor="text1"/>
        </w:rPr>
        <w:t xml:space="preserve"> "Ukrenergo" and I.S. Moldelectrica.</w:t>
      </w:r>
    </w:p>
    <w:p w14:paraId="4E4675AE" w14:textId="7385A6C5" w:rsidR="6B394F47" w:rsidRPr="00ED02A5" w:rsidRDefault="6B394F47" w:rsidP="00ED02A5">
      <w:pPr>
        <w:pStyle w:val="ListParagraph"/>
        <w:numPr>
          <w:ilvl w:val="0"/>
          <w:numId w:val="7"/>
        </w:numPr>
        <w:spacing w:after="240" w:line="312" w:lineRule="auto"/>
        <w:jc w:val="both"/>
        <w:rPr>
          <w:rFonts w:eastAsia="Calibri"/>
          <w:color w:val="000000" w:themeColor="text1"/>
        </w:rPr>
      </w:pPr>
      <w:r w:rsidRPr="5064FC44">
        <w:rPr>
          <w:rFonts w:eastAsia="Calibri"/>
          <w:color w:val="000000" w:themeColor="text1"/>
          <w:lang w:val="es-ES"/>
        </w:rPr>
        <w:t xml:space="preserve">Ukraine - Poland (UA - PL), concerning </w:t>
      </w:r>
      <w:r w:rsidRPr="5064FC44">
        <w:rPr>
          <w:rFonts w:eastAsia="Calibri"/>
          <w:color w:val="000000" w:themeColor="text1"/>
        </w:rPr>
        <w:t>PJSC "National Power Company</w:t>
      </w:r>
      <w:r w:rsidRPr="5064FC44">
        <w:rPr>
          <w:rFonts w:eastAsia="Calibri"/>
          <w:color w:val="498205"/>
        </w:rPr>
        <w:t>”</w:t>
      </w:r>
      <w:r w:rsidRPr="5064FC44">
        <w:rPr>
          <w:rFonts w:eastAsia="Calibri"/>
          <w:color w:val="000000" w:themeColor="text1"/>
        </w:rPr>
        <w:t xml:space="preserve"> "Ukrenergo"</w:t>
      </w:r>
      <w:r w:rsidRPr="5064FC44">
        <w:rPr>
          <w:rFonts w:eastAsia="Calibri"/>
          <w:color w:val="000000" w:themeColor="text1"/>
          <w:lang w:val="es-ES"/>
        </w:rPr>
        <w:t xml:space="preserve"> and </w:t>
      </w:r>
      <w:r w:rsidRPr="5064FC44">
        <w:rPr>
          <w:rFonts w:eastAsia="Calibri"/>
          <w:color w:val="000000" w:themeColor="text1"/>
        </w:rPr>
        <w:t>Polskie Sieci Elektroenergetyczne S.A </w:t>
      </w:r>
      <w:r w:rsidRPr="5064FC44">
        <w:rPr>
          <w:rFonts w:eastAsia="Calibri"/>
          <w:color w:val="000000" w:themeColor="text1"/>
          <w:lang w:val="sk-SK"/>
        </w:rPr>
        <w:t> </w:t>
      </w:r>
    </w:p>
    <w:p w14:paraId="4D1E4D9F" w14:textId="1A4AE598" w:rsidR="6B394F47" w:rsidRPr="00ED02A5" w:rsidRDefault="6B394F47" w:rsidP="00ED02A5">
      <w:pPr>
        <w:pStyle w:val="ListParagraph"/>
        <w:numPr>
          <w:ilvl w:val="0"/>
          <w:numId w:val="7"/>
        </w:numPr>
        <w:spacing w:after="240" w:line="312" w:lineRule="auto"/>
        <w:jc w:val="both"/>
        <w:rPr>
          <w:rFonts w:eastAsia="Calibri"/>
          <w:color w:val="000000" w:themeColor="text1"/>
        </w:rPr>
      </w:pPr>
      <w:r w:rsidRPr="5064FC44">
        <w:rPr>
          <w:rFonts w:eastAsia="Calibri"/>
          <w:color w:val="000000" w:themeColor="text1"/>
          <w:lang w:val="es-ES"/>
        </w:rPr>
        <w:t xml:space="preserve">Ukraine - Slovakia (UA - SK), concerning </w:t>
      </w:r>
      <w:r w:rsidRPr="5064FC44">
        <w:rPr>
          <w:rFonts w:eastAsia="Calibri"/>
          <w:color w:val="000000" w:themeColor="text1"/>
        </w:rPr>
        <w:t>PJSC "National Power Company</w:t>
      </w:r>
      <w:r w:rsidRPr="5064FC44">
        <w:rPr>
          <w:rFonts w:eastAsia="Calibri"/>
          <w:color w:val="498205"/>
        </w:rPr>
        <w:t>”</w:t>
      </w:r>
      <w:r w:rsidRPr="5064FC44">
        <w:rPr>
          <w:rFonts w:eastAsia="Calibri"/>
          <w:color w:val="000000" w:themeColor="text1"/>
        </w:rPr>
        <w:t xml:space="preserve"> "Ukrenergo"</w:t>
      </w:r>
      <w:r w:rsidRPr="5064FC44">
        <w:rPr>
          <w:rFonts w:eastAsia="Calibri"/>
          <w:color w:val="000000" w:themeColor="text1"/>
          <w:lang w:val="es-ES"/>
        </w:rPr>
        <w:t xml:space="preserve"> and Slovenská elektrizačná prenosová sústava, a.s.  </w:t>
      </w:r>
      <w:r w:rsidRPr="5064FC44">
        <w:rPr>
          <w:rFonts w:eastAsia="Calibri"/>
          <w:color w:val="000000" w:themeColor="text1"/>
          <w:lang w:val="sk-SK"/>
        </w:rPr>
        <w:t> </w:t>
      </w:r>
    </w:p>
    <w:p w14:paraId="1F8BF9EC" w14:textId="42215854" w:rsidR="6B394F47" w:rsidRPr="00ED02A5" w:rsidRDefault="6B394F47" w:rsidP="00ED02A5">
      <w:pPr>
        <w:pStyle w:val="ListParagraph"/>
        <w:numPr>
          <w:ilvl w:val="0"/>
          <w:numId w:val="7"/>
        </w:numPr>
        <w:spacing w:after="240" w:line="312" w:lineRule="auto"/>
        <w:jc w:val="both"/>
        <w:rPr>
          <w:rFonts w:eastAsia="Calibri"/>
          <w:color w:val="000000" w:themeColor="text1"/>
        </w:rPr>
      </w:pPr>
      <w:r w:rsidRPr="5064FC44">
        <w:rPr>
          <w:rFonts w:eastAsia="Calibri"/>
          <w:color w:val="000000" w:themeColor="text1"/>
          <w:lang w:val="es-ES"/>
        </w:rPr>
        <w:t xml:space="preserve">Ukraine - Hungary (UA - HU), concerning </w:t>
      </w:r>
      <w:r w:rsidRPr="5064FC44">
        <w:rPr>
          <w:rFonts w:eastAsia="Calibri"/>
          <w:color w:val="000000" w:themeColor="text1"/>
        </w:rPr>
        <w:t>PJSC "National Power Company</w:t>
      </w:r>
      <w:r w:rsidRPr="5064FC44">
        <w:rPr>
          <w:rFonts w:eastAsia="Calibri"/>
          <w:color w:val="498205"/>
        </w:rPr>
        <w:t>”</w:t>
      </w:r>
      <w:r w:rsidRPr="5064FC44">
        <w:rPr>
          <w:rFonts w:eastAsia="Calibri"/>
          <w:color w:val="000000" w:themeColor="text1"/>
        </w:rPr>
        <w:t xml:space="preserve"> "Ukrenergo"</w:t>
      </w:r>
      <w:r w:rsidRPr="5064FC44">
        <w:rPr>
          <w:rFonts w:eastAsia="Calibri"/>
          <w:color w:val="000000" w:themeColor="text1"/>
          <w:lang w:val="es-ES"/>
        </w:rPr>
        <w:t xml:space="preserve"> and MAVIR Hungarian Independent Transmission Operator Company Ltd </w:t>
      </w:r>
      <w:r w:rsidRPr="5064FC44">
        <w:rPr>
          <w:rFonts w:eastAsia="Calibri"/>
          <w:color w:val="000000" w:themeColor="text1"/>
          <w:lang w:val="sk-SK"/>
        </w:rPr>
        <w:t> </w:t>
      </w:r>
    </w:p>
    <w:p w14:paraId="2B4DFDB7" w14:textId="51178B95" w:rsidR="6B394F47" w:rsidRPr="00ED02A5" w:rsidRDefault="6B394F47" w:rsidP="00ED02A5">
      <w:pPr>
        <w:pStyle w:val="ListParagraph"/>
        <w:numPr>
          <w:ilvl w:val="0"/>
          <w:numId w:val="7"/>
        </w:numPr>
        <w:spacing w:after="240" w:line="312" w:lineRule="auto"/>
        <w:jc w:val="both"/>
        <w:rPr>
          <w:rFonts w:eastAsia="Calibri"/>
          <w:color w:val="000000" w:themeColor="text1"/>
        </w:rPr>
      </w:pPr>
      <w:r w:rsidRPr="5064FC44">
        <w:rPr>
          <w:rFonts w:eastAsia="Calibri"/>
          <w:color w:val="000000" w:themeColor="text1"/>
          <w:lang w:val="es-ES"/>
        </w:rPr>
        <w:t xml:space="preserve">Ukraine - Romania (UA - RO), concerning </w:t>
      </w:r>
      <w:r w:rsidRPr="5064FC44">
        <w:rPr>
          <w:rFonts w:eastAsia="Calibri"/>
          <w:color w:val="000000" w:themeColor="text1"/>
        </w:rPr>
        <w:t>PJSC "National Power Company</w:t>
      </w:r>
      <w:r w:rsidRPr="5064FC44">
        <w:rPr>
          <w:rFonts w:eastAsia="Calibri"/>
          <w:color w:val="498205"/>
        </w:rPr>
        <w:t>”</w:t>
      </w:r>
      <w:r w:rsidRPr="5064FC44">
        <w:rPr>
          <w:rFonts w:eastAsia="Calibri"/>
          <w:color w:val="000000" w:themeColor="text1"/>
        </w:rPr>
        <w:t xml:space="preserve"> "Ukrenergo"</w:t>
      </w:r>
      <w:r w:rsidRPr="5064FC44">
        <w:rPr>
          <w:rFonts w:eastAsia="Calibri"/>
          <w:color w:val="000000" w:themeColor="text1"/>
          <w:lang w:val="es-ES"/>
        </w:rPr>
        <w:t xml:space="preserve"> and Compania Nationalã de Transport al Energiei Electrice “Transelectrica” S.A  </w:t>
      </w:r>
      <w:r w:rsidRPr="5064FC44">
        <w:rPr>
          <w:rFonts w:eastAsia="Calibri"/>
          <w:color w:val="000000" w:themeColor="text1"/>
          <w:lang w:val="sk-SK"/>
        </w:rPr>
        <w:t> </w:t>
      </w:r>
    </w:p>
    <w:p w14:paraId="493422E9" w14:textId="31390E87" w:rsidR="6B394F47" w:rsidRPr="00ED02A5" w:rsidRDefault="6B394F47" w:rsidP="00ED02A5">
      <w:pPr>
        <w:pStyle w:val="ListParagraph"/>
        <w:numPr>
          <w:ilvl w:val="0"/>
          <w:numId w:val="7"/>
        </w:numPr>
        <w:spacing w:after="240" w:line="312" w:lineRule="auto"/>
        <w:jc w:val="both"/>
        <w:rPr>
          <w:rFonts w:eastAsia="Calibri"/>
          <w:color w:val="000000" w:themeColor="text1"/>
        </w:rPr>
      </w:pPr>
      <w:r w:rsidRPr="5064FC44">
        <w:rPr>
          <w:rFonts w:eastAsia="Calibri"/>
          <w:color w:val="000000" w:themeColor="text1"/>
          <w:lang w:val="es-ES"/>
        </w:rPr>
        <w:t>Moldova . Romania (MD - RO), concerning I.S. “Moldelectrica”  and Compania Nationalã de Transport al Energiei Electrice “Transelectrica” S.A .</w:t>
      </w:r>
      <w:r w:rsidRPr="5064FC44">
        <w:rPr>
          <w:rFonts w:eastAsia="Calibri"/>
          <w:color w:val="000000" w:themeColor="text1"/>
          <w:lang w:val="sk-SK"/>
        </w:rPr>
        <w:t> </w:t>
      </w:r>
    </w:p>
    <w:p w14:paraId="31C5DB8C" w14:textId="4C8040CC" w:rsidR="5D9EC2FC" w:rsidRPr="00ED02A5" w:rsidRDefault="5D9EC2FC" w:rsidP="5D9EC2FC">
      <w:pPr>
        <w:spacing w:line="257" w:lineRule="auto"/>
        <w:jc w:val="both"/>
        <w:rPr>
          <w:rFonts w:eastAsia="Calibri" w:cstheme="minorHAnsi"/>
        </w:rPr>
      </w:pPr>
    </w:p>
    <w:p w14:paraId="2FF7B308" w14:textId="486F63A3" w:rsidR="613FAAE5" w:rsidRPr="00ED02A5" w:rsidRDefault="613FAAE5" w:rsidP="00ED02A5">
      <w:pPr>
        <w:jc w:val="both"/>
        <w:rPr>
          <w:rFonts w:cstheme="minorHAnsi"/>
        </w:rPr>
      </w:pPr>
    </w:p>
    <w:p w14:paraId="767DA891" w14:textId="77777777" w:rsidR="0065228B" w:rsidRPr="00ED02A5" w:rsidRDefault="0065228B" w:rsidP="00ED02A5">
      <w:pPr>
        <w:pStyle w:val="Heading1"/>
        <w:numPr>
          <w:ilvl w:val="2"/>
          <w:numId w:val="8"/>
        </w:numPr>
        <w:ind w:left="426"/>
        <w:jc w:val="both"/>
        <w:rPr>
          <w:rFonts w:asciiTheme="minorHAnsi" w:hAnsiTheme="minorHAnsi" w:cstheme="minorHAnsi"/>
        </w:rPr>
      </w:pPr>
      <w:r w:rsidRPr="00ED02A5">
        <w:rPr>
          <w:rFonts w:asciiTheme="minorHAnsi" w:hAnsiTheme="minorHAnsi" w:cstheme="minorHAnsi"/>
        </w:rPr>
        <w:t>Options considered and motivations</w:t>
      </w:r>
    </w:p>
    <w:p w14:paraId="67B9BC16" w14:textId="362E1896" w:rsidR="00D15D58" w:rsidRPr="00ED02A5" w:rsidRDefault="00D15D58" w:rsidP="00ED02A5">
      <w:pPr>
        <w:spacing w:line="257" w:lineRule="auto"/>
        <w:jc w:val="both"/>
        <w:rPr>
          <w:rFonts w:eastAsia="Calibri"/>
        </w:rPr>
      </w:pPr>
      <w:r w:rsidRPr="5064FC44">
        <w:rPr>
          <w:rFonts w:eastAsia="Calibri"/>
        </w:rPr>
        <w:t>The EE CCR has been already defined in the as Annex I of the EnC CACM Regulation as a default configuration; therefore, this configuration has been transposed as such in the Determination of CCRs.</w:t>
      </w:r>
      <w:r w:rsidR="1A892AB7" w:rsidRPr="5064FC44">
        <w:rPr>
          <w:rFonts w:eastAsia="Calibri"/>
          <w:color w:val="498205"/>
          <w:u w:val="single"/>
        </w:rPr>
        <w:t xml:space="preserve"> </w:t>
      </w:r>
      <w:r w:rsidR="1A892AB7" w:rsidRPr="5064FC44">
        <w:rPr>
          <w:rFonts w:eastAsia="Calibri"/>
        </w:rPr>
        <w:t>The proposal now clearly includes the list of all borders included in the EE CCR.</w:t>
      </w:r>
      <w:r w:rsidR="1A892AB7" w:rsidRPr="5064FC44">
        <w:rPr>
          <w:rFonts w:eastAsia="Calibri"/>
          <w:color w:val="498205"/>
          <w:u w:val="single"/>
        </w:rPr>
        <w:t xml:space="preserve"> </w:t>
      </w:r>
      <w:r w:rsidR="1A892AB7" w:rsidRPr="5064FC44">
        <w:rPr>
          <w:rFonts w:eastAsia="Calibri"/>
        </w:rPr>
        <w:t xml:space="preserve"> </w:t>
      </w:r>
    </w:p>
    <w:p w14:paraId="5318499B" w14:textId="77777777" w:rsidR="0065228B" w:rsidRPr="00ED02A5" w:rsidRDefault="0065228B" w:rsidP="00ED02A5">
      <w:pPr>
        <w:jc w:val="both"/>
        <w:rPr>
          <w:rFonts w:cstheme="minorHAnsi"/>
        </w:rPr>
      </w:pPr>
    </w:p>
    <w:p w14:paraId="4F73A3C0" w14:textId="1A307103" w:rsidR="006E07F6" w:rsidRPr="00ED02A5" w:rsidRDefault="0065228B" w:rsidP="263B72E6">
      <w:pPr>
        <w:pStyle w:val="Heading1"/>
        <w:numPr>
          <w:ilvl w:val="1"/>
          <w:numId w:val="8"/>
        </w:numPr>
        <w:ind w:left="540" w:hanging="270"/>
        <w:jc w:val="both"/>
        <w:rPr>
          <w:rFonts w:asciiTheme="minorHAnsi" w:hAnsiTheme="minorHAnsi" w:cstheme="minorBidi"/>
        </w:rPr>
      </w:pPr>
      <w:r w:rsidRPr="263B72E6">
        <w:rPr>
          <w:rFonts w:asciiTheme="minorHAnsi" w:hAnsiTheme="minorHAnsi" w:cstheme="minorBidi"/>
        </w:rPr>
        <w:t>IT – ME CCR</w:t>
      </w:r>
    </w:p>
    <w:p w14:paraId="0B5B23E5" w14:textId="098F751C" w:rsidR="0065228B" w:rsidRPr="00ED02A5" w:rsidRDefault="0065228B" w:rsidP="00ED02A5">
      <w:pPr>
        <w:pStyle w:val="Heading1"/>
        <w:numPr>
          <w:ilvl w:val="2"/>
          <w:numId w:val="8"/>
        </w:numPr>
        <w:ind w:left="426"/>
        <w:jc w:val="both"/>
        <w:rPr>
          <w:rFonts w:asciiTheme="minorHAnsi" w:hAnsiTheme="minorHAnsi" w:cstheme="minorHAnsi"/>
        </w:rPr>
      </w:pPr>
      <w:r w:rsidRPr="00ED02A5">
        <w:rPr>
          <w:rFonts w:asciiTheme="minorHAnsi" w:hAnsiTheme="minorHAnsi" w:cstheme="minorHAnsi"/>
        </w:rPr>
        <w:t>Background</w:t>
      </w:r>
    </w:p>
    <w:p w14:paraId="139A8693" w14:textId="1EA4DFA6" w:rsidR="4BBED28A" w:rsidRPr="00ED02A5" w:rsidRDefault="4BBED28A" w:rsidP="4B9EA54B">
      <w:pPr>
        <w:spacing w:line="257" w:lineRule="auto"/>
        <w:jc w:val="both"/>
      </w:pPr>
      <w:r w:rsidRPr="5064FC44">
        <w:rPr>
          <w:rFonts w:eastAsia="Calibri"/>
        </w:rPr>
        <w:t xml:space="preserve">The Italy- Montenegro (IT-ME) Capacity Calculation Region (CCR) has been established as a default CCR according to Annex I of the CACM Regulation, as adapted and adopted by Ministerial Council Decision 2022/03/MC-EnC (hereafter “EnC CACM”).  Such Default CCR configuration includes the bidding zone border between Italy and Montenegro, attributed to TERNA Rete Elettrica Nazionale S.p.A (TERNA) and Crnogorski elektroprenosni sistem AD (CGES). </w:t>
      </w:r>
    </w:p>
    <w:p w14:paraId="39BC8D31" w14:textId="749FA48B" w:rsidR="4BBED28A" w:rsidRPr="00ED02A5" w:rsidRDefault="4BBED28A" w:rsidP="4B9EA54B">
      <w:pPr>
        <w:spacing w:line="257" w:lineRule="auto"/>
        <w:jc w:val="both"/>
      </w:pPr>
      <w:r w:rsidRPr="5064FC44">
        <w:rPr>
          <w:rFonts w:eastAsia="Calibri"/>
        </w:rPr>
        <w:t>The proposal to amend the determination of CCRs under Commission Regulation (EU) 2015/1222 is including also the IT-ME CCR, as per ACER request to All TSOs dated 30</w:t>
      </w:r>
      <w:r w:rsidRPr="5064FC44">
        <w:rPr>
          <w:rFonts w:eastAsia="Calibri"/>
          <w:vertAlign w:val="superscript"/>
        </w:rPr>
        <w:t>th</w:t>
      </w:r>
      <w:r w:rsidRPr="5064FC44">
        <w:rPr>
          <w:rFonts w:eastAsia="Calibri"/>
        </w:rPr>
        <w:t xml:space="preserve"> January 2025.</w:t>
      </w:r>
    </w:p>
    <w:p w14:paraId="21C78E75" w14:textId="77777777" w:rsidR="0065228B" w:rsidRPr="00ED02A5" w:rsidRDefault="0065228B" w:rsidP="00ED02A5">
      <w:pPr>
        <w:pStyle w:val="Heading1"/>
        <w:numPr>
          <w:ilvl w:val="2"/>
          <w:numId w:val="8"/>
        </w:numPr>
        <w:ind w:left="426"/>
        <w:jc w:val="both"/>
        <w:rPr>
          <w:rFonts w:asciiTheme="minorHAnsi" w:hAnsiTheme="minorHAnsi" w:cstheme="minorHAnsi"/>
        </w:rPr>
      </w:pPr>
      <w:r w:rsidRPr="00ED02A5">
        <w:rPr>
          <w:rFonts w:asciiTheme="minorHAnsi" w:hAnsiTheme="minorHAnsi" w:cstheme="minorHAnsi"/>
        </w:rPr>
        <w:t>Options considered and motivations</w:t>
      </w:r>
    </w:p>
    <w:p w14:paraId="2A667C24" w14:textId="34D1913A" w:rsidR="0065228B" w:rsidRPr="00ED02A5" w:rsidRDefault="6E97406B" w:rsidP="00ED02A5">
      <w:pPr>
        <w:spacing w:line="257" w:lineRule="auto"/>
        <w:jc w:val="both"/>
        <w:rPr>
          <w:rFonts w:eastAsia="Calibri"/>
        </w:rPr>
      </w:pPr>
      <w:r w:rsidRPr="5064FC44">
        <w:rPr>
          <w:rFonts w:eastAsia="Calibri"/>
        </w:rPr>
        <w:t>The IT-ME CCR has been already defined in the as Annex I of the EnC CACM Regulation as a default configuration; therefore, this configuration has been transposed as such in the Determination of CCRs.</w:t>
      </w:r>
    </w:p>
    <w:p w14:paraId="54F32FF4" w14:textId="2435D371" w:rsidR="0065228B" w:rsidRPr="00ED02A5" w:rsidRDefault="0065228B" w:rsidP="00ED02A5">
      <w:pPr>
        <w:jc w:val="both"/>
        <w:rPr>
          <w:rFonts w:cstheme="minorHAnsi"/>
        </w:rPr>
      </w:pPr>
    </w:p>
    <w:p w14:paraId="10AFD839" w14:textId="25E87BA3" w:rsidR="452E3384" w:rsidRPr="00ED02A5" w:rsidRDefault="452E3384" w:rsidP="452E3384">
      <w:pPr>
        <w:jc w:val="both"/>
        <w:rPr>
          <w:rFonts w:cstheme="minorHAnsi"/>
        </w:rPr>
      </w:pPr>
    </w:p>
    <w:p w14:paraId="5F44FF99" w14:textId="5C3DF711" w:rsidR="0FEB437C" w:rsidRPr="00ED02A5" w:rsidRDefault="0FEB437C" w:rsidP="263B72E6">
      <w:pPr>
        <w:pStyle w:val="Heading1"/>
        <w:numPr>
          <w:ilvl w:val="1"/>
          <w:numId w:val="8"/>
        </w:numPr>
        <w:ind w:left="720" w:hanging="270"/>
        <w:jc w:val="both"/>
        <w:rPr>
          <w:rFonts w:asciiTheme="minorHAnsi" w:eastAsiaTheme="minorEastAsia" w:hAnsiTheme="minorHAnsi" w:cstheme="minorBidi"/>
        </w:rPr>
      </w:pPr>
      <w:r w:rsidRPr="263B72E6">
        <w:rPr>
          <w:rFonts w:asciiTheme="minorHAnsi" w:eastAsiaTheme="minorEastAsia" w:hAnsiTheme="minorHAnsi" w:cstheme="minorBidi"/>
        </w:rPr>
        <w:t>Merge</w:t>
      </w:r>
      <w:r w:rsidR="15EC901A" w:rsidRPr="263B72E6">
        <w:rPr>
          <w:rFonts w:asciiTheme="minorHAnsi" w:eastAsiaTheme="minorEastAsia" w:hAnsiTheme="minorHAnsi" w:cstheme="minorBidi"/>
        </w:rPr>
        <w:t>r</w:t>
      </w:r>
      <w:r w:rsidRPr="263B72E6">
        <w:rPr>
          <w:rFonts w:asciiTheme="minorHAnsi" w:eastAsiaTheme="minorEastAsia" w:hAnsiTheme="minorHAnsi" w:cstheme="minorBidi"/>
        </w:rPr>
        <w:t xml:space="preserve"> of Core and Italy North CCRs for ID CC, ROSC, RDCT and CS</w:t>
      </w:r>
    </w:p>
    <w:p w14:paraId="0D4B817B" w14:textId="7CB0C8B0" w:rsidR="452E3384" w:rsidRPr="00ED02A5" w:rsidRDefault="452E3384" w:rsidP="263B72E6">
      <w:pPr>
        <w:ind w:left="720"/>
        <w:jc w:val="both"/>
      </w:pPr>
    </w:p>
    <w:p w14:paraId="63FC73E8" w14:textId="10A31AB3" w:rsidR="0857576A" w:rsidRPr="00ED02A5" w:rsidRDefault="1DC84276" w:rsidP="00D71636">
      <w:pPr>
        <w:pStyle w:val="Heading1"/>
        <w:jc w:val="both"/>
      </w:pPr>
      <w:r w:rsidRPr="2E04FF72">
        <w:rPr>
          <w:rFonts w:asciiTheme="minorHAnsi" w:hAnsiTheme="minorHAnsi" w:cstheme="minorBidi"/>
        </w:rPr>
        <w:t xml:space="preserve">1. Background </w:t>
      </w:r>
    </w:p>
    <w:p w14:paraId="25066490" w14:textId="21AFDE92" w:rsidR="263B72E6" w:rsidRPr="00D71636" w:rsidRDefault="263B72E6" w:rsidP="263B72E6"/>
    <w:p w14:paraId="6B27BA6C" w14:textId="706149FE" w:rsidR="0857576A" w:rsidRPr="00ED02A5" w:rsidRDefault="0857576A" w:rsidP="00ED02A5">
      <w:pPr>
        <w:jc w:val="both"/>
        <w:rPr>
          <w:rFonts w:eastAsia="Aptos"/>
          <w:color w:val="000000" w:themeColor="text1"/>
        </w:rPr>
      </w:pPr>
      <w:r w:rsidRPr="263B72E6">
        <w:rPr>
          <w:rFonts w:eastAsia="Aptos"/>
          <w:color w:val="000000" w:themeColor="text1"/>
        </w:rPr>
        <w:t>Following ongoing merger activities in CE CCR in the day ahead timeframe, as well as the obligations arising from Article 13(3) of the Determination of CCRs</w:t>
      </w:r>
      <w:r w:rsidRPr="263B72E6">
        <w:rPr>
          <w:rFonts w:eastAsia="Aptos"/>
          <w:strike/>
          <w:color w:val="D13438"/>
        </w:rPr>
        <w:t>,</w:t>
      </w:r>
      <w:r w:rsidRPr="263B72E6">
        <w:rPr>
          <w:rFonts w:eastAsia="Aptos"/>
          <w:color w:val="000000" w:themeColor="text1"/>
        </w:rPr>
        <w:t xml:space="preserve"> approved in March 2024, TSOs are required to work on full merge using a stepwise approach and taking into account potential interdependencies with existing regional implementation projects. To fulfil this requirements, CE TSOs drafted and agreed with CE NRAs and ACER on the roadmap for full merge of the of the CCRs Core and Italy North into the CCR Central Europe for all CCR-related methodologies. The roadmap was developed with the objective of achieving the full merger as quickly as possible by merging projects based on their current maturity level, while simultaneously minimizing overall efforts and avoiding potential delays to the already established go-live dates for Core and Italy North.</w:t>
      </w:r>
    </w:p>
    <w:p w14:paraId="7A8A9FFA" w14:textId="522D876D" w:rsidR="0857576A" w:rsidRPr="00ED02A5" w:rsidRDefault="0857576A" w:rsidP="00ED02A5">
      <w:pPr>
        <w:jc w:val="both"/>
        <w:rPr>
          <w:rFonts w:eastAsia="Aptos"/>
          <w:color w:val="000000" w:themeColor="text1"/>
        </w:rPr>
      </w:pPr>
      <w:r w:rsidRPr="2E04FF72">
        <w:rPr>
          <w:rFonts w:eastAsia="Aptos"/>
          <w:color w:val="000000" w:themeColor="text1"/>
        </w:rPr>
        <w:t>The proposed amendment is the outcome of the agreement on Roadmap</w:t>
      </w:r>
      <w:r w:rsidRPr="2E04FF72">
        <w:rPr>
          <w:rFonts w:eastAsia="Aptos"/>
          <w:color w:val="D13438"/>
          <w:u w:val="single"/>
        </w:rPr>
        <w:t>,</w:t>
      </w:r>
      <w:r w:rsidRPr="2E04FF72">
        <w:rPr>
          <w:rFonts w:eastAsia="Aptos"/>
          <w:color w:val="000000" w:themeColor="text1"/>
        </w:rPr>
        <w:t xml:space="preserve"> but currently covers only the merger of IDCC, ROSC, RDCT, and CS. At this stage, it is considered premature to amend the method </w:t>
      </w:r>
      <w:r w:rsidRPr="2E04FF72">
        <w:rPr>
          <w:rFonts w:eastAsia="Aptos"/>
          <w:color w:val="000000" w:themeColor="text1"/>
        </w:rPr>
        <w:lastRenderedPageBreak/>
        <w:t>for BTCC, as its implementation will come as the last one in pipeline, after the CE ROSC. Similarly, it is also premature to amend the CCR proposal for LTCC, given the ongoing implementation of the Core LTCC and the fact that the CE LTCC solution will be highly dependent on the future FCA 2.0. This approach also ensures that priority commonly set by TSOs,NRAs and ACER for merging IDCC, ROSC, and CS are not hindered by initiating work on additional CE methodologies that are not yet required.</w:t>
      </w:r>
    </w:p>
    <w:p w14:paraId="5F291D55" w14:textId="770C9BC9" w:rsidR="0857576A" w:rsidRPr="00ED02A5" w:rsidRDefault="0857576A" w:rsidP="00ED02A5">
      <w:pPr>
        <w:jc w:val="both"/>
        <w:rPr>
          <w:rFonts w:eastAsia="Aptos"/>
          <w:color w:val="000000" w:themeColor="text1"/>
        </w:rPr>
      </w:pPr>
      <w:r w:rsidRPr="5064FC44">
        <w:rPr>
          <w:rFonts w:eastAsia="Aptos"/>
          <w:color w:val="000000" w:themeColor="text1"/>
        </w:rPr>
        <w:t>It is important to highlight that during the drafting and agreement process, the CE TSOs confirmed that the implementation of the CE ROSC and CS merger will not cause delays compared to the anticipated go-live dates for the same projects in Core CCR. In case that certain risks of delay arise and are not solved until a predefined point of time, the Core ROSC and CS projects will be implemented as originally planned in this region, with the CE ROSC and CS implementation to follow afterward</w:t>
      </w:r>
      <w:r w:rsidRPr="5064FC44">
        <w:rPr>
          <w:rFonts w:eastAsia="Aptos"/>
          <w:color w:val="D13438"/>
          <w:u w:val="single"/>
        </w:rPr>
        <w:t>.</w:t>
      </w:r>
    </w:p>
    <w:p w14:paraId="24EE39C1" w14:textId="41D26473" w:rsidR="0857576A" w:rsidRPr="00ED02A5" w:rsidRDefault="0857576A" w:rsidP="00ED02A5">
      <w:pPr>
        <w:jc w:val="both"/>
        <w:rPr>
          <w:rFonts w:eastAsia="Aptos" w:cstheme="minorHAnsi"/>
          <w:color w:val="000000" w:themeColor="text1"/>
        </w:rPr>
      </w:pPr>
      <w:r w:rsidRPr="00ED02A5">
        <w:rPr>
          <w:rFonts w:eastAsia="Aptos" w:cstheme="minorHAnsi"/>
          <w:color w:val="000000" w:themeColor="text1"/>
        </w:rPr>
        <w:t>Regarding IDCC, the plan is to implement the CGMES-based IDCC solution directly within CCR CE, skipping the interim step of a regional implementation</w:t>
      </w:r>
      <w:r w:rsidRPr="00ED02A5">
        <w:rPr>
          <w:rFonts w:eastAsia="Aptos" w:cstheme="minorHAnsi"/>
          <w:color w:val="D13438"/>
          <w:u w:val="single"/>
        </w:rPr>
        <w:t>.</w:t>
      </w:r>
    </w:p>
    <w:p w14:paraId="24E3CD77" w14:textId="23A60B89" w:rsidR="0857576A" w:rsidRPr="00ED02A5" w:rsidRDefault="0857576A" w:rsidP="00ED02A5">
      <w:pPr>
        <w:jc w:val="both"/>
        <w:rPr>
          <w:rFonts w:eastAsia="Aptos"/>
          <w:color w:val="000000" w:themeColor="text1"/>
        </w:rPr>
      </w:pPr>
      <w:r w:rsidRPr="5064FC44">
        <w:rPr>
          <w:rFonts w:eastAsia="Aptos"/>
          <w:color w:val="000000" w:themeColor="text1"/>
        </w:rPr>
        <w:t>The full merger of all CCR-related obligations remains a firm commitment and responsibility of the TSOs.</w:t>
      </w:r>
    </w:p>
    <w:p w14:paraId="2BF46E8C" w14:textId="0E008946" w:rsidR="452E3384" w:rsidRPr="00ED02A5" w:rsidRDefault="452E3384" w:rsidP="00ED02A5">
      <w:pPr>
        <w:jc w:val="both"/>
      </w:pPr>
    </w:p>
    <w:p w14:paraId="592AA89D" w14:textId="665220A8" w:rsidR="0857576A" w:rsidRPr="00ED02A5" w:rsidRDefault="741E6E43" w:rsidP="00ED02A5">
      <w:pPr>
        <w:jc w:val="both"/>
        <w:rPr>
          <w:rFonts w:eastAsiaTheme="majorEastAsia"/>
          <w:color w:val="2F5496" w:themeColor="accent1" w:themeShade="BF"/>
          <w:sz w:val="32"/>
          <w:szCs w:val="32"/>
        </w:rPr>
      </w:pPr>
      <w:r w:rsidRPr="263B72E6">
        <w:rPr>
          <w:rFonts w:eastAsiaTheme="majorEastAsia"/>
          <w:color w:val="2F5496" w:themeColor="accent1" w:themeShade="BF"/>
          <w:sz w:val="32"/>
          <w:szCs w:val="32"/>
        </w:rPr>
        <w:t xml:space="preserve">2. </w:t>
      </w:r>
      <w:r w:rsidR="0857576A" w:rsidRPr="263B72E6">
        <w:rPr>
          <w:rFonts w:eastAsiaTheme="majorEastAsia"/>
          <w:color w:val="2F5496" w:themeColor="accent1" w:themeShade="BF"/>
          <w:sz w:val="32"/>
          <w:szCs w:val="32"/>
        </w:rPr>
        <w:t xml:space="preserve">TIMELINE </w:t>
      </w:r>
    </w:p>
    <w:p w14:paraId="4411E0D2" w14:textId="02D31B55" w:rsidR="0857576A" w:rsidRPr="00ED02A5" w:rsidRDefault="0857576A" w:rsidP="00ED02A5">
      <w:pPr>
        <w:jc w:val="both"/>
        <w:rPr>
          <w:rFonts w:eastAsia="Aptos"/>
          <w:color w:val="000000" w:themeColor="text1"/>
        </w:rPr>
      </w:pPr>
      <w:r w:rsidRPr="5064FC44">
        <w:rPr>
          <w:rFonts w:eastAsia="Aptos"/>
          <w:color w:val="000000" w:themeColor="text1"/>
        </w:rPr>
        <w:t xml:space="preserve">Hereunder the steps that initiated the amendment of the CCR determination proposal are summarized:  </w:t>
      </w:r>
    </w:p>
    <w:p w14:paraId="68C81B1D" w14:textId="278D4FA8" w:rsidR="0857576A" w:rsidRPr="00ED02A5" w:rsidRDefault="0857576A" w:rsidP="00ED02A5">
      <w:pPr>
        <w:pStyle w:val="ListParagraph"/>
        <w:numPr>
          <w:ilvl w:val="0"/>
          <w:numId w:val="5"/>
        </w:numPr>
        <w:jc w:val="both"/>
        <w:rPr>
          <w:rFonts w:eastAsia="Aptos" w:cstheme="minorHAnsi"/>
          <w:color w:val="000000" w:themeColor="text1"/>
        </w:rPr>
      </w:pPr>
      <w:r w:rsidRPr="00ED02A5">
        <w:rPr>
          <w:rFonts w:eastAsia="Aptos" w:cstheme="minorHAnsi"/>
          <w:b/>
          <w:bCs/>
          <w:color w:val="000000" w:themeColor="text1"/>
        </w:rPr>
        <w:t xml:space="preserve">Inter-Regional coordination process with final workshop in Vienna, 04.04.2025 </w:t>
      </w:r>
    </w:p>
    <w:p w14:paraId="1BE792E4" w14:textId="50C391D5" w:rsidR="0857576A" w:rsidRPr="00ED02A5" w:rsidRDefault="0857576A" w:rsidP="00ED02A5">
      <w:pPr>
        <w:ind w:left="720"/>
        <w:jc w:val="both"/>
        <w:rPr>
          <w:rFonts w:eastAsia="Aptos" w:cstheme="minorHAnsi"/>
          <w:color w:val="000000" w:themeColor="text1"/>
        </w:rPr>
      </w:pPr>
      <w:r w:rsidRPr="00ED02A5">
        <w:rPr>
          <w:rFonts w:eastAsia="Aptos" w:cstheme="minorHAnsi"/>
          <w:color w:val="000000" w:themeColor="text1"/>
        </w:rPr>
        <w:t>• The principles for the further merger of Core and Italy North CCRs for all CCR-related obligations, as well as the topic of the WB3 accession, were discussed and concluded at inter-regional level between ACER, CE NRAs, and TSOs</w:t>
      </w:r>
    </w:p>
    <w:p w14:paraId="58F8DDB2" w14:textId="208126D0" w:rsidR="0857576A" w:rsidRPr="00ED02A5" w:rsidRDefault="0857576A" w:rsidP="00ED02A5">
      <w:pPr>
        <w:ind w:left="720"/>
        <w:jc w:val="both"/>
        <w:rPr>
          <w:rFonts w:eastAsia="Aptos" w:cstheme="minorHAnsi"/>
          <w:color w:val="000000" w:themeColor="text1"/>
        </w:rPr>
      </w:pPr>
      <w:r w:rsidRPr="00ED02A5">
        <w:rPr>
          <w:rFonts w:eastAsia="Aptos" w:cstheme="minorHAnsi"/>
          <w:color w:val="000000" w:themeColor="text1"/>
        </w:rPr>
        <w:t>• Prior to this concluding workshop on inter-regional level, multiple coordination and discussion meetings between the most impacted parties took place</w:t>
      </w:r>
    </w:p>
    <w:p w14:paraId="691C7123" w14:textId="3AC42856" w:rsidR="0857576A" w:rsidRPr="00ED02A5" w:rsidRDefault="0857576A" w:rsidP="00ED02A5">
      <w:pPr>
        <w:ind w:left="720"/>
        <w:jc w:val="both"/>
        <w:rPr>
          <w:rFonts w:eastAsia="Aptos" w:cstheme="minorHAnsi"/>
          <w:color w:val="000000" w:themeColor="text1"/>
        </w:rPr>
      </w:pPr>
      <w:r w:rsidRPr="00ED02A5">
        <w:rPr>
          <w:rFonts w:eastAsia="Aptos" w:cstheme="minorHAnsi"/>
          <w:color w:val="000000" w:themeColor="text1"/>
        </w:rPr>
        <w:t xml:space="preserve"> • In parallel, an agreement was reached between the CE TSOs and the WB3 TSOs on the creation of the ECE CCR and its conditional accession to the CE CCR</w:t>
      </w:r>
    </w:p>
    <w:p w14:paraId="72A9B61A" w14:textId="6EF366A8" w:rsidR="0857576A" w:rsidRPr="00ED02A5" w:rsidRDefault="0857576A" w:rsidP="00ED02A5">
      <w:pPr>
        <w:pStyle w:val="ListParagraph"/>
        <w:numPr>
          <w:ilvl w:val="0"/>
          <w:numId w:val="4"/>
        </w:numPr>
        <w:ind w:left="851" w:hanging="142"/>
        <w:jc w:val="both"/>
        <w:rPr>
          <w:rFonts w:eastAsia="Aptos"/>
          <w:color w:val="000000" w:themeColor="text1"/>
        </w:rPr>
      </w:pPr>
      <w:r w:rsidRPr="5064FC44">
        <w:rPr>
          <w:rFonts w:eastAsia="Aptos"/>
          <w:color w:val="000000" w:themeColor="text1"/>
        </w:rPr>
        <w:t>The CE TSOs reaffirmed their commitment to submit an amendment for the further merger, together with the Energy Community (EnC)-related amendment requested by ACER, by 31 July 2025.</w:t>
      </w:r>
    </w:p>
    <w:p w14:paraId="6F354036" w14:textId="409AAF66" w:rsidR="452E3384" w:rsidRPr="00ED02A5" w:rsidRDefault="452E3384" w:rsidP="263B72E6">
      <w:pPr>
        <w:ind w:left="720"/>
        <w:jc w:val="both"/>
        <w:rPr>
          <w:rFonts w:eastAsia="Aptos"/>
          <w:color w:val="000000" w:themeColor="text1"/>
        </w:rPr>
      </w:pPr>
    </w:p>
    <w:p w14:paraId="3B0ADC84" w14:textId="27B72B1C" w:rsidR="0857576A" w:rsidRPr="00ED02A5" w:rsidRDefault="0857576A" w:rsidP="00ED02A5">
      <w:pPr>
        <w:jc w:val="both"/>
        <w:rPr>
          <w:rFonts w:eastAsia="Aptos"/>
          <w:color w:val="000000" w:themeColor="text1"/>
        </w:rPr>
      </w:pPr>
      <w:r w:rsidRPr="5064FC44">
        <w:rPr>
          <w:rFonts w:eastAsia="Aptos"/>
          <w:color w:val="000000" w:themeColor="text1"/>
        </w:rPr>
        <w:t xml:space="preserve">(b) </w:t>
      </w:r>
      <w:r w:rsidRPr="5064FC44">
        <w:rPr>
          <w:rFonts w:eastAsia="Aptos"/>
          <w:b/>
          <w:bCs/>
          <w:color w:val="000000" w:themeColor="text1"/>
        </w:rPr>
        <w:t>Drafting a proposal</w:t>
      </w:r>
      <w:r w:rsidRPr="5064FC44">
        <w:rPr>
          <w:rFonts w:eastAsia="Aptos"/>
          <w:color w:val="000000" w:themeColor="text1"/>
        </w:rPr>
        <w:t xml:space="preserve"> to amend the Determination of CCRs Methodology in order to merge Core and Italy North CCRs. </w:t>
      </w:r>
    </w:p>
    <w:p w14:paraId="7C0F63AD" w14:textId="082A0A4E" w:rsidR="00761E6B" w:rsidRPr="00ED02A5" w:rsidRDefault="00761E6B" w:rsidP="263B72E6">
      <w:pPr>
        <w:pStyle w:val="Heading1"/>
        <w:numPr>
          <w:ilvl w:val="1"/>
          <w:numId w:val="8"/>
        </w:numPr>
        <w:ind w:left="720"/>
        <w:jc w:val="both"/>
        <w:rPr>
          <w:rFonts w:asciiTheme="minorHAnsi" w:hAnsiTheme="minorHAnsi" w:cstheme="minorBidi"/>
        </w:rPr>
      </w:pPr>
      <w:r w:rsidRPr="2E04FF72">
        <w:rPr>
          <w:rFonts w:asciiTheme="minorHAnsi" w:hAnsiTheme="minorHAnsi" w:cstheme="minorBidi"/>
        </w:rPr>
        <w:t xml:space="preserve">Conclusion </w:t>
      </w:r>
    </w:p>
    <w:p w14:paraId="7920714C" w14:textId="7B7DBA53" w:rsidR="452E3384" w:rsidRPr="00ED02A5" w:rsidRDefault="452E3384" w:rsidP="00ED02A5">
      <w:pPr>
        <w:rPr>
          <w:rFonts w:cstheme="minorHAnsi"/>
        </w:rPr>
      </w:pPr>
    </w:p>
    <w:p w14:paraId="7138FCD6" w14:textId="5B3C343E" w:rsidR="276125F5" w:rsidRPr="00ED02A5" w:rsidRDefault="276125F5" w:rsidP="452E3384">
      <w:pPr>
        <w:jc w:val="both"/>
        <w:rPr>
          <w:rFonts w:eastAsia="Calibri"/>
        </w:rPr>
      </w:pPr>
      <w:r w:rsidRPr="5064FC44">
        <w:rPr>
          <w:rFonts w:eastAsia="Aptos"/>
          <w:color w:val="000000" w:themeColor="text1"/>
        </w:rPr>
        <w:t>For all the reasons presented above, TSOs/ENTSO-E propose to amendment the Determination of Capacity Calculation Regions to follow the request by ACER to assign EnC borders to respective CCRs and to follow obligations for stepwise Core and Italy North CCRs merger.</w:t>
      </w:r>
    </w:p>
    <w:p w14:paraId="27640FFC" w14:textId="086F90B2" w:rsidR="452E3384" w:rsidRPr="00ED02A5" w:rsidRDefault="452E3384" w:rsidP="452E3384">
      <w:pPr>
        <w:rPr>
          <w:rFonts w:cstheme="minorHAnsi"/>
        </w:rPr>
      </w:pPr>
    </w:p>
    <w:p w14:paraId="1D2A724C" w14:textId="658AEC8D" w:rsidR="00E44377" w:rsidRPr="00ED02A5" w:rsidRDefault="00E44377" w:rsidP="263B72E6">
      <w:pPr>
        <w:pStyle w:val="Heading1"/>
        <w:numPr>
          <w:ilvl w:val="1"/>
          <w:numId w:val="8"/>
        </w:numPr>
        <w:ind w:left="720" w:hanging="270"/>
        <w:jc w:val="both"/>
        <w:rPr>
          <w:rFonts w:asciiTheme="minorHAnsi" w:hAnsiTheme="minorHAnsi" w:cstheme="minorBidi"/>
        </w:rPr>
      </w:pPr>
      <w:r w:rsidRPr="263B72E6">
        <w:rPr>
          <w:rFonts w:asciiTheme="minorHAnsi" w:hAnsiTheme="minorHAnsi" w:cstheme="minorBidi"/>
        </w:rPr>
        <w:lastRenderedPageBreak/>
        <w:t>Annex 1 – Public consultation responses</w:t>
      </w:r>
    </w:p>
    <w:sectPr w:rsidR="00E44377" w:rsidRPr="00ED02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PF BeauSans Pro&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5C7D"/>
    <w:multiLevelType w:val="hybridMultilevel"/>
    <w:tmpl w:val="FFFFFFFF"/>
    <w:lvl w:ilvl="0" w:tplc="3E7ECC32">
      <w:start w:val="1"/>
      <w:numFmt w:val="decimal"/>
      <w:lvlText w:val="%1."/>
      <w:lvlJc w:val="left"/>
      <w:pPr>
        <w:ind w:left="720" w:hanging="360"/>
      </w:pPr>
    </w:lvl>
    <w:lvl w:ilvl="1" w:tplc="1F1CF14E">
      <w:start w:val="1"/>
      <w:numFmt w:val="lowerLetter"/>
      <w:lvlText w:val="%2."/>
      <w:lvlJc w:val="left"/>
      <w:pPr>
        <w:ind w:left="1440" w:hanging="360"/>
      </w:pPr>
    </w:lvl>
    <w:lvl w:ilvl="2" w:tplc="E03041DA">
      <w:start w:val="1"/>
      <w:numFmt w:val="lowerRoman"/>
      <w:lvlText w:val="%3."/>
      <w:lvlJc w:val="right"/>
      <w:pPr>
        <w:ind w:left="2160" w:hanging="180"/>
      </w:pPr>
    </w:lvl>
    <w:lvl w:ilvl="3" w:tplc="C1ECF694">
      <w:start w:val="1"/>
      <w:numFmt w:val="decimal"/>
      <w:lvlText w:val="%4."/>
      <w:lvlJc w:val="left"/>
      <w:pPr>
        <w:ind w:left="2880" w:hanging="360"/>
      </w:pPr>
    </w:lvl>
    <w:lvl w:ilvl="4" w:tplc="27C87EF6">
      <w:start w:val="1"/>
      <w:numFmt w:val="lowerLetter"/>
      <w:lvlText w:val="%5."/>
      <w:lvlJc w:val="left"/>
      <w:pPr>
        <w:ind w:left="3600" w:hanging="360"/>
      </w:pPr>
    </w:lvl>
    <w:lvl w:ilvl="5" w:tplc="46325A0E">
      <w:start w:val="1"/>
      <w:numFmt w:val="lowerRoman"/>
      <w:lvlText w:val="%6."/>
      <w:lvlJc w:val="right"/>
      <w:pPr>
        <w:ind w:left="4320" w:hanging="180"/>
      </w:pPr>
    </w:lvl>
    <w:lvl w:ilvl="6" w:tplc="5232C7C0">
      <w:start w:val="1"/>
      <w:numFmt w:val="decimal"/>
      <w:lvlText w:val="%7."/>
      <w:lvlJc w:val="left"/>
      <w:pPr>
        <w:ind w:left="5040" w:hanging="360"/>
      </w:pPr>
    </w:lvl>
    <w:lvl w:ilvl="7" w:tplc="A5ECD27C">
      <w:start w:val="1"/>
      <w:numFmt w:val="lowerLetter"/>
      <w:lvlText w:val="%8."/>
      <w:lvlJc w:val="left"/>
      <w:pPr>
        <w:ind w:left="5760" w:hanging="360"/>
      </w:pPr>
    </w:lvl>
    <w:lvl w:ilvl="8" w:tplc="69D8095C">
      <w:start w:val="1"/>
      <w:numFmt w:val="lowerRoman"/>
      <w:lvlText w:val="%9."/>
      <w:lvlJc w:val="right"/>
      <w:pPr>
        <w:ind w:left="6480" w:hanging="180"/>
      </w:pPr>
    </w:lvl>
  </w:abstractNum>
  <w:abstractNum w:abstractNumId="1" w15:restartNumberingAfterBreak="0">
    <w:nsid w:val="09AA950A"/>
    <w:multiLevelType w:val="hybridMultilevel"/>
    <w:tmpl w:val="FFFFFFFF"/>
    <w:lvl w:ilvl="0" w:tplc="9EAE1510">
      <w:start w:val="1"/>
      <w:numFmt w:val="bullet"/>
      <w:lvlText w:val=""/>
      <w:lvlJc w:val="left"/>
      <w:pPr>
        <w:ind w:left="720" w:hanging="360"/>
      </w:pPr>
      <w:rPr>
        <w:rFonts w:ascii="Symbol" w:hAnsi="Symbol" w:hint="default"/>
      </w:rPr>
    </w:lvl>
    <w:lvl w:ilvl="1" w:tplc="57BC5EF0">
      <w:start w:val="1"/>
      <w:numFmt w:val="bullet"/>
      <w:lvlText w:val="o"/>
      <w:lvlJc w:val="left"/>
      <w:pPr>
        <w:ind w:left="1440" w:hanging="360"/>
      </w:pPr>
      <w:rPr>
        <w:rFonts w:ascii="Courier New" w:hAnsi="Courier New" w:hint="default"/>
      </w:rPr>
    </w:lvl>
    <w:lvl w:ilvl="2" w:tplc="92B4AD4E">
      <w:start w:val="1"/>
      <w:numFmt w:val="bullet"/>
      <w:lvlText w:val=""/>
      <w:lvlJc w:val="left"/>
      <w:pPr>
        <w:ind w:left="2160" w:hanging="360"/>
      </w:pPr>
      <w:rPr>
        <w:rFonts w:ascii="Wingdings" w:hAnsi="Wingdings" w:hint="default"/>
      </w:rPr>
    </w:lvl>
    <w:lvl w:ilvl="3" w:tplc="3A74E8D6">
      <w:start w:val="1"/>
      <w:numFmt w:val="bullet"/>
      <w:lvlText w:val=""/>
      <w:lvlJc w:val="left"/>
      <w:pPr>
        <w:ind w:left="2880" w:hanging="360"/>
      </w:pPr>
      <w:rPr>
        <w:rFonts w:ascii="Symbol" w:hAnsi="Symbol" w:hint="default"/>
      </w:rPr>
    </w:lvl>
    <w:lvl w:ilvl="4" w:tplc="D760105C">
      <w:start w:val="1"/>
      <w:numFmt w:val="bullet"/>
      <w:lvlText w:val="o"/>
      <w:lvlJc w:val="left"/>
      <w:pPr>
        <w:ind w:left="3600" w:hanging="360"/>
      </w:pPr>
      <w:rPr>
        <w:rFonts w:ascii="Courier New" w:hAnsi="Courier New" w:hint="default"/>
      </w:rPr>
    </w:lvl>
    <w:lvl w:ilvl="5" w:tplc="E834C896">
      <w:start w:val="1"/>
      <w:numFmt w:val="bullet"/>
      <w:lvlText w:val=""/>
      <w:lvlJc w:val="left"/>
      <w:pPr>
        <w:ind w:left="4320" w:hanging="360"/>
      </w:pPr>
      <w:rPr>
        <w:rFonts w:ascii="Wingdings" w:hAnsi="Wingdings" w:hint="default"/>
      </w:rPr>
    </w:lvl>
    <w:lvl w:ilvl="6" w:tplc="BE1CBAEE">
      <w:start w:val="1"/>
      <w:numFmt w:val="bullet"/>
      <w:lvlText w:val=""/>
      <w:lvlJc w:val="left"/>
      <w:pPr>
        <w:ind w:left="5040" w:hanging="360"/>
      </w:pPr>
      <w:rPr>
        <w:rFonts w:ascii="Symbol" w:hAnsi="Symbol" w:hint="default"/>
      </w:rPr>
    </w:lvl>
    <w:lvl w:ilvl="7" w:tplc="B0564D04">
      <w:start w:val="1"/>
      <w:numFmt w:val="bullet"/>
      <w:lvlText w:val="o"/>
      <w:lvlJc w:val="left"/>
      <w:pPr>
        <w:ind w:left="5760" w:hanging="360"/>
      </w:pPr>
      <w:rPr>
        <w:rFonts w:ascii="Courier New" w:hAnsi="Courier New" w:hint="default"/>
      </w:rPr>
    </w:lvl>
    <w:lvl w:ilvl="8" w:tplc="0D42EF86">
      <w:start w:val="1"/>
      <w:numFmt w:val="bullet"/>
      <w:lvlText w:val=""/>
      <w:lvlJc w:val="left"/>
      <w:pPr>
        <w:ind w:left="6480" w:hanging="360"/>
      </w:pPr>
      <w:rPr>
        <w:rFonts w:ascii="Wingdings" w:hAnsi="Wingdings" w:hint="default"/>
      </w:rPr>
    </w:lvl>
  </w:abstractNum>
  <w:abstractNum w:abstractNumId="2" w15:restartNumberingAfterBreak="0">
    <w:nsid w:val="19BB44B8"/>
    <w:multiLevelType w:val="hybridMultilevel"/>
    <w:tmpl w:val="FFFFFFFF"/>
    <w:lvl w:ilvl="0" w:tplc="ABE27E0A">
      <w:start w:val="1"/>
      <w:numFmt w:val="bullet"/>
      <w:lvlText w:val=""/>
      <w:lvlJc w:val="left"/>
      <w:pPr>
        <w:ind w:left="1080" w:hanging="360"/>
      </w:pPr>
      <w:rPr>
        <w:rFonts w:ascii="Symbol" w:hAnsi="Symbol" w:hint="default"/>
      </w:rPr>
    </w:lvl>
    <w:lvl w:ilvl="1" w:tplc="D3D8A0F4">
      <w:start w:val="1"/>
      <w:numFmt w:val="bullet"/>
      <w:lvlText w:val="o"/>
      <w:lvlJc w:val="left"/>
      <w:pPr>
        <w:ind w:left="1800" w:hanging="360"/>
      </w:pPr>
      <w:rPr>
        <w:rFonts w:ascii="Courier New" w:hAnsi="Courier New" w:hint="default"/>
      </w:rPr>
    </w:lvl>
    <w:lvl w:ilvl="2" w:tplc="416A089C">
      <w:start w:val="1"/>
      <w:numFmt w:val="bullet"/>
      <w:lvlText w:val=""/>
      <w:lvlJc w:val="left"/>
      <w:pPr>
        <w:ind w:left="2520" w:hanging="360"/>
      </w:pPr>
      <w:rPr>
        <w:rFonts w:ascii="Wingdings" w:hAnsi="Wingdings" w:hint="default"/>
      </w:rPr>
    </w:lvl>
    <w:lvl w:ilvl="3" w:tplc="8F949136">
      <w:start w:val="1"/>
      <w:numFmt w:val="bullet"/>
      <w:lvlText w:val=""/>
      <w:lvlJc w:val="left"/>
      <w:pPr>
        <w:ind w:left="3240" w:hanging="360"/>
      </w:pPr>
      <w:rPr>
        <w:rFonts w:ascii="Symbol" w:hAnsi="Symbol" w:hint="default"/>
      </w:rPr>
    </w:lvl>
    <w:lvl w:ilvl="4" w:tplc="38D0F1E4">
      <w:start w:val="1"/>
      <w:numFmt w:val="bullet"/>
      <w:lvlText w:val="o"/>
      <w:lvlJc w:val="left"/>
      <w:pPr>
        <w:ind w:left="3960" w:hanging="360"/>
      </w:pPr>
      <w:rPr>
        <w:rFonts w:ascii="Courier New" w:hAnsi="Courier New" w:hint="default"/>
      </w:rPr>
    </w:lvl>
    <w:lvl w:ilvl="5" w:tplc="3B941634">
      <w:start w:val="1"/>
      <w:numFmt w:val="bullet"/>
      <w:lvlText w:val=""/>
      <w:lvlJc w:val="left"/>
      <w:pPr>
        <w:ind w:left="4680" w:hanging="360"/>
      </w:pPr>
      <w:rPr>
        <w:rFonts w:ascii="Wingdings" w:hAnsi="Wingdings" w:hint="default"/>
      </w:rPr>
    </w:lvl>
    <w:lvl w:ilvl="6" w:tplc="50042766">
      <w:start w:val="1"/>
      <w:numFmt w:val="bullet"/>
      <w:lvlText w:val=""/>
      <w:lvlJc w:val="left"/>
      <w:pPr>
        <w:ind w:left="5400" w:hanging="360"/>
      </w:pPr>
      <w:rPr>
        <w:rFonts w:ascii="Symbol" w:hAnsi="Symbol" w:hint="default"/>
      </w:rPr>
    </w:lvl>
    <w:lvl w:ilvl="7" w:tplc="E962E5CE">
      <w:start w:val="1"/>
      <w:numFmt w:val="bullet"/>
      <w:lvlText w:val="o"/>
      <w:lvlJc w:val="left"/>
      <w:pPr>
        <w:ind w:left="6120" w:hanging="360"/>
      </w:pPr>
      <w:rPr>
        <w:rFonts w:ascii="Courier New" w:hAnsi="Courier New" w:hint="default"/>
      </w:rPr>
    </w:lvl>
    <w:lvl w:ilvl="8" w:tplc="8F74E1C4">
      <w:start w:val="1"/>
      <w:numFmt w:val="bullet"/>
      <w:lvlText w:val=""/>
      <w:lvlJc w:val="left"/>
      <w:pPr>
        <w:ind w:left="6840" w:hanging="360"/>
      </w:pPr>
      <w:rPr>
        <w:rFonts w:ascii="Wingdings" w:hAnsi="Wingdings" w:hint="default"/>
      </w:rPr>
    </w:lvl>
  </w:abstractNum>
  <w:abstractNum w:abstractNumId="3" w15:restartNumberingAfterBreak="0">
    <w:nsid w:val="1A25B57C"/>
    <w:multiLevelType w:val="hybridMultilevel"/>
    <w:tmpl w:val="FFFFFFFF"/>
    <w:lvl w:ilvl="0" w:tplc="F648CB9E">
      <w:start w:val="1"/>
      <w:numFmt w:val="decimal"/>
      <w:lvlText w:val="%1."/>
      <w:lvlJc w:val="left"/>
      <w:pPr>
        <w:ind w:left="720" w:hanging="360"/>
      </w:pPr>
    </w:lvl>
    <w:lvl w:ilvl="1" w:tplc="E7869216">
      <w:start w:val="1"/>
      <w:numFmt w:val="lowerLetter"/>
      <w:lvlText w:val="%2."/>
      <w:lvlJc w:val="left"/>
      <w:pPr>
        <w:ind w:left="1440" w:hanging="360"/>
      </w:pPr>
    </w:lvl>
    <w:lvl w:ilvl="2" w:tplc="CEA8B45C">
      <w:start w:val="1"/>
      <w:numFmt w:val="lowerRoman"/>
      <w:lvlText w:val="%3."/>
      <w:lvlJc w:val="right"/>
      <w:pPr>
        <w:ind w:left="2160" w:hanging="180"/>
      </w:pPr>
    </w:lvl>
    <w:lvl w:ilvl="3" w:tplc="CBE6F41C">
      <w:start w:val="1"/>
      <w:numFmt w:val="decimal"/>
      <w:lvlText w:val="%4."/>
      <w:lvlJc w:val="left"/>
      <w:pPr>
        <w:ind w:left="2880" w:hanging="360"/>
      </w:pPr>
    </w:lvl>
    <w:lvl w:ilvl="4" w:tplc="5A642B4C">
      <w:start w:val="1"/>
      <w:numFmt w:val="lowerLetter"/>
      <w:lvlText w:val="%5."/>
      <w:lvlJc w:val="left"/>
      <w:pPr>
        <w:ind w:left="3600" w:hanging="360"/>
      </w:pPr>
    </w:lvl>
    <w:lvl w:ilvl="5" w:tplc="4F18B04A">
      <w:start w:val="1"/>
      <w:numFmt w:val="lowerRoman"/>
      <w:lvlText w:val="%6."/>
      <w:lvlJc w:val="right"/>
      <w:pPr>
        <w:ind w:left="4320" w:hanging="180"/>
      </w:pPr>
    </w:lvl>
    <w:lvl w:ilvl="6" w:tplc="9A425C34">
      <w:start w:val="1"/>
      <w:numFmt w:val="decimal"/>
      <w:lvlText w:val="%7."/>
      <w:lvlJc w:val="left"/>
      <w:pPr>
        <w:ind w:left="5040" w:hanging="360"/>
      </w:pPr>
    </w:lvl>
    <w:lvl w:ilvl="7" w:tplc="95708ACE">
      <w:start w:val="1"/>
      <w:numFmt w:val="lowerLetter"/>
      <w:lvlText w:val="%8."/>
      <w:lvlJc w:val="left"/>
      <w:pPr>
        <w:ind w:left="5760" w:hanging="360"/>
      </w:pPr>
    </w:lvl>
    <w:lvl w:ilvl="8" w:tplc="785A8112">
      <w:start w:val="1"/>
      <w:numFmt w:val="lowerRoman"/>
      <w:lvlText w:val="%9."/>
      <w:lvlJc w:val="right"/>
      <w:pPr>
        <w:ind w:left="6480" w:hanging="180"/>
      </w:pPr>
    </w:lvl>
  </w:abstractNum>
  <w:abstractNum w:abstractNumId="4" w15:restartNumberingAfterBreak="0">
    <w:nsid w:val="1B72CEEB"/>
    <w:multiLevelType w:val="hybridMultilevel"/>
    <w:tmpl w:val="1E807790"/>
    <w:lvl w:ilvl="0" w:tplc="366C5288">
      <w:start w:val="1"/>
      <w:numFmt w:val="bullet"/>
      <w:lvlText w:val="·"/>
      <w:lvlJc w:val="left"/>
      <w:pPr>
        <w:ind w:left="720" w:hanging="360"/>
      </w:pPr>
      <w:rPr>
        <w:rFonts w:ascii="Symbol" w:hAnsi="Symbol" w:hint="default"/>
      </w:rPr>
    </w:lvl>
    <w:lvl w:ilvl="1" w:tplc="812AA06C">
      <w:start w:val="1"/>
      <w:numFmt w:val="bullet"/>
      <w:lvlText w:val="o"/>
      <w:lvlJc w:val="left"/>
      <w:pPr>
        <w:ind w:left="1440" w:hanging="360"/>
      </w:pPr>
      <w:rPr>
        <w:rFonts w:ascii="Courier New" w:hAnsi="Courier New" w:hint="default"/>
      </w:rPr>
    </w:lvl>
    <w:lvl w:ilvl="2" w:tplc="C9E4C064">
      <w:start w:val="1"/>
      <w:numFmt w:val="bullet"/>
      <w:lvlText w:val=""/>
      <w:lvlJc w:val="left"/>
      <w:pPr>
        <w:ind w:left="2160" w:hanging="360"/>
      </w:pPr>
      <w:rPr>
        <w:rFonts w:ascii="Wingdings" w:hAnsi="Wingdings" w:hint="default"/>
      </w:rPr>
    </w:lvl>
    <w:lvl w:ilvl="3" w:tplc="4FF0337E">
      <w:start w:val="1"/>
      <w:numFmt w:val="bullet"/>
      <w:lvlText w:val=""/>
      <w:lvlJc w:val="left"/>
      <w:pPr>
        <w:ind w:left="2880" w:hanging="360"/>
      </w:pPr>
      <w:rPr>
        <w:rFonts w:ascii="Symbol" w:hAnsi="Symbol" w:hint="default"/>
      </w:rPr>
    </w:lvl>
    <w:lvl w:ilvl="4" w:tplc="B622AEC4">
      <w:start w:val="1"/>
      <w:numFmt w:val="bullet"/>
      <w:lvlText w:val="o"/>
      <w:lvlJc w:val="left"/>
      <w:pPr>
        <w:ind w:left="3600" w:hanging="360"/>
      </w:pPr>
      <w:rPr>
        <w:rFonts w:ascii="Courier New" w:hAnsi="Courier New" w:hint="default"/>
      </w:rPr>
    </w:lvl>
    <w:lvl w:ilvl="5" w:tplc="44BEB06E">
      <w:start w:val="1"/>
      <w:numFmt w:val="bullet"/>
      <w:lvlText w:val=""/>
      <w:lvlJc w:val="left"/>
      <w:pPr>
        <w:ind w:left="4320" w:hanging="360"/>
      </w:pPr>
      <w:rPr>
        <w:rFonts w:ascii="Wingdings" w:hAnsi="Wingdings" w:hint="default"/>
      </w:rPr>
    </w:lvl>
    <w:lvl w:ilvl="6" w:tplc="1556DAA4">
      <w:start w:val="1"/>
      <w:numFmt w:val="bullet"/>
      <w:lvlText w:val=""/>
      <w:lvlJc w:val="left"/>
      <w:pPr>
        <w:ind w:left="5040" w:hanging="360"/>
      </w:pPr>
      <w:rPr>
        <w:rFonts w:ascii="Symbol" w:hAnsi="Symbol" w:hint="default"/>
      </w:rPr>
    </w:lvl>
    <w:lvl w:ilvl="7" w:tplc="4E2E8CFC">
      <w:start w:val="1"/>
      <w:numFmt w:val="bullet"/>
      <w:lvlText w:val="o"/>
      <w:lvlJc w:val="left"/>
      <w:pPr>
        <w:ind w:left="5760" w:hanging="360"/>
      </w:pPr>
      <w:rPr>
        <w:rFonts w:ascii="Courier New" w:hAnsi="Courier New" w:hint="default"/>
      </w:rPr>
    </w:lvl>
    <w:lvl w:ilvl="8" w:tplc="46546BA2">
      <w:start w:val="1"/>
      <w:numFmt w:val="bullet"/>
      <w:lvlText w:val=""/>
      <w:lvlJc w:val="left"/>
      <w:pPr>
        <w:ind w:left="6480" w:hanging="360"/>
      </w:pPr>
      <w:rPr>
        <w:rFonts w:ascii="Wingdings" w:hAnsi="Wingdings" w:hint="default"/>
      </w:rPr>
    </w:lvl>
  </w:abstractNum>
  <w:abstractNum w:abstractNumId="5" w15:restartNumberingAfterBreak="0">
    <w:nsid w:val="1E49A158"/>
    <w:multiLevelType w:val="hybridMultilevel"/>
    <w:tmpl w:val="32FC7A80"/>
    <w:lvl w:ilvl="0" w:tplc="F5CC4036">
      <w:start w:val="1"/>
      <w:numFmt w:val="bullet"/>
      <w:lvlText w:val="-"/>
      <w:lvlJc w:val="left"/>
      <w:pPr>
        <w:ind w:left="720" w:hanging="360"/>
      </w:pPr>
      <w:rPr>
        <w:rFonts w:ascii="&quot;PF BeauSans Pro&quot;" w:hAnsi="&quot;PF BeauSans Pro&quot;" w:hint="default"/>
      </w:rPr>
    </w:lvl>
    <w:lvl w:ilvl="1" w:tplc="EC7010D8">
      <w:start w:val="1"/>
      <w:numFmt w:val="bullet"/>
      <w:lvlText w:val="o"/>
      <w:lvlJc w:val="left"/>
      <w:pPr>
        <w:ind w:left="1440" w:hanging="360"/>
      </w:pPr>
      <w:rPr>
        <w:rFonts w:ascii="Courier New" w:hAnsi="Courier New" w:hint="default"/>
      </w:rPr>
    </w:lvl>
    <w:lvl w:ilvl="2" w:tplc="74AAFD20">
      <w:start w:val="1"/>
      <w:numFmt w:val="bullet"/>
      <w:lvlText w:val=""/>
      <w:lvlJc w:val="left"/>
      <w:pPr>
        <w:ind w:left="2160" w:hanging="360"/>
      </w:pPr>
      <w:rPr>
        <w:rFonts w:ascii="Wingdings" w:hAnsi="Wingdings" w:hint="default"/>
      </w:rPr>
    </w:lvl>
    <w:lvl w:ilvl="3" w:tplc="41BC2B60">
      <w:start w:val="1"/>
      <w:numFmt w:val="bullet"/>
      <w:lvlText w:val=""/>
      <w:lvlJc w:val="left"/>
      <w:pPr>
        <w:ind w:left="2880" w:hanging="360"/>
      </w:pPr>
      <w:rPr>
        <w:rFonts w:ascii="Symbol" w:hAnsi="Symbol" w:hint="default"/>
      </w:rPr>
    </w:lvl>
    <w:lvl w:ilvl="4" w:tplc="81EEE968">
      <w:start w:val="1"/>
      <w:numFmt w:val="bullet"/>
      <w:lvlText w:val="o"/>
      <w:lvlJc w:val="left"/>
      <w:pPr>
        <w:ind w:left="3600" w:hanging="360"/>
      </w:pPr>
      <w:rPr>
        <w:rFonts w:ascii="Courier New" w:hAnsi="Courier New" w:hint="default"/>
      </w:rPr>
    </w:lvl>
    <w:lvl w:ilvl="5" w:tplc="CF3A7698">
      <w:start w:val="1"/>
      <w:numFmt w:val="bullet"/>
      <w:lvlText w:val=""/>
      <w:lvlJc w:val="left"/>
      <w:pPr>
        <w:ind w:left="4320" w:hanging="360"/>
      </w:pPr>
      <w:rPr>
        <w:rFonts w:ascii="Wingdings" w:hAnsi="Wingdings" w:hint="default"/>
      </w:rPr>
    </w:lvl>
    <w:lvl w:ilvl="6" w:tplc="2B18AAB4">
      <w:start w:val="1"/>
      <w:numFmt w:val="bullet"/>
      <w:lvlText w:val=""/>
      <w:lvlJc w:val="left"/>
      <w:pPr>
        <w:ind w:left="5040" w:hanging="360"/>
      </w:pPr>
      <w:rPr>
        <w:rFonts w:ascii="Symbol" w:hAnsi="Symbol" w:hint="default"/>
      </w:rPr>
    </w:lvl>
    <w:lvl w:ilvl="7" w:tplc="4FDAE582">
      <w:start w:val="1"/>
      <w:numFmt w:val="bullet"/>
      <w:lvlText w:val="o"/>
      <w:lvlJc w:val="left"/>
      <w:pPr>
        <w:ind w:left="5760" w:hanging="360"/>
      </w:pPr>
      <w:rPr>
        <w:rFonts w:ascii="Courier New" w:hAnsi="Courier New" w:hint="default"/>
      </w:rPr>
    </w:lvl>
    <w:lvl w:ilvl="8" w:tplc="35E888F8">
      <w:start w:val="1"/>
      <w:numFmt w:val="bullet"/>
      <w:lvlText w:val=""/>
      <w:lvlJc w:val="left"/>
      <w:pPr>
        <w:ind w:left="6480" w:hanging="360"/>
      </w:pPr>
      <w:rPr>
        <w:rFonts w:ascii="Wingdings" w:hAnsi="Wingdings" w:hint="default"/>
      </w:rPr>
    </w:lvl>
  </w:abstractNum>
  <w:abstractNum w:abstractNumId="6" w15:restartNumberingAfterBreak="0">
    <w:nsid w:val="2170BA65"/>
    <w:multiLevelType w:val="hybridMultilevel"/>
    <w:tmpl w:val="FFFFFFFF"/>
    <w:lvl w:ilvl="0" w:tplc="9B663A9E">
      <w:start w:val="1"/>
      <w:numFmt w:val="bullet"/>
      <w:lvlText w:val=""/>
      <w:lvlJc w:val="left"/>
      <w:pPr>
        <w:ind w:left="720" w:hanging="360"/>
      </w:pPr>
      <w:rPr>
        <w:rFonts w:ascii="Symbol" w:hAnsi="Symbol" w:hint="default"/>
      </w:rPr>
    </w:lvl>
    <w:lvl w:ilvl="1" w:tplc="4D4EFDB4">
      <w:start w:val="1"/>
      <w:numFmt w:val="bullet"/>
      <w:lvlText w:val="o"/>
      <w:lvlJc w:val="left"/>
      <w:pPr>
        <w:ind w:left="1440" w:hanging="360"/>
      </w:pPr>
      <w:rPr>
        <w:rFonts w:ascii="Courier New" w:hAnsi="Courier New" w:hint="default"/>
      </w:rPr>
    </w:lvl>
    <w:lvl w:ilvl="2" w:tplc="A612A3BC">
      <w:start w:val="1"/>
      <w:numFmt w:val="bullet"/>
      <w:lvlText w:val=""/>
      <w:lvlJc w:val="left"/>
      <w:pPr>
        <w:ind w:left="2160" w:hanging="360"/>
      </w:pPr>
      <w:rPr>
        <w:rFonts w:ascii="Wingdings" w:hAnsi="Wingdings" w:hint="default"/>
      </w:rPr>
    </w:lvl>
    <w:lvl w:ilvl="3" w:tplc="D68C5D54">
      <w:start w:val="1"/>
      <w:numFmt w:val="bullet"/>
      <w:lvlText w:val=""/>
      <w:lvlJc w:val="left"/>
      <w:pPr>
        <w:ind w:left="2880" w:hanging="360"/>
      </w:pPr>
      <w:rPr>
        <w:rFonts w:ascii="Symbol" w:hAnsi="Symbol" w:hint="default"/>
      </w:rPr>
    </w:lvl>
    <w:lvl w:ilvl="4" w:tplc="B3822F9C">
      <w:start w:val="1"/>
      <w:numFmt w:val="bullet"/>
      <w:lvlText w:val="o"/>
      <w:lvlJc w:val="left"/>
      <w:pPr>
        <w:ind w:left="3600" w:hanging="360"/>
      </w:pPr>
      <w:rPr>
        <w:rFonts w:ascii="Courier New" w:hAnsi="Courier New" w:hint="default"/>
      </w:rPr>
    </w:lvl>
    <w:lvl w:ilvl="5" w:tplc="D1C622C4">
      <w:start w:val="1"/>
      <w:numFmt w:val="bullet"/>
      <w:lvlText w:val=""/>
      <w:lvlJc w:val="left"/>
      <w:pPr>
        <w:ind w:left="4320" w:hanging="360"/>
      </w:pPr>
      <w:rPr>
        <w:rFonts w:ascii="Wingdings" w:hAnsi="Wingdings" w:hint="default"/>
      </w:rPr>
    </w:lvl>
    <w:lvl w:ilvl="6" w:tplc="1FE0519E">
      <w:start w:val="1"/>
      <w:numFmt w:val="bullet"/>
      <w:lvlText w:val=""/>
      <w:lvlJc w:val="left"/>
      <w:pPr>
        <w:ind w:left="5040" w:hanging="360"/>
      </w:pPr>
      <w:rPr>
        <w:rFonts w:ascii="Symbol" w:hAnsi="Symbol" w:hint="default"/>
      </w:rPr>
    </w:lvl>
    <w:lvl w:ilvl="7" w:tplc="B05C35F4">
      <w:start w:val="1"/>
      <w:numFmt w:val="bullet"/>
      <w:lvlText w:val="o"/>
      <w:lvlJc w:val="left"/>
      <w:pPr>
        <w:ind w:left="5760" w:hanging="360"/>
      </w:pPr>
      <w:rPr>
        <w:rFonts w:ascii="Courier New" w:hAnsi="Courier New" w:hint="default"/>
      </w:rPr>
    </w:lvl>
    <w:lvl w:ilvl="8" w:tplc="332801B4">
      <w:start w:val="1"/>
      <w:numFmt w:val="bullet"/>
      <w:lvlText w:val=""/>
      <w:lvlJc w:val="left"/>
      <w:pPr>
        <w:ind w:left="6480" w:hanging="360"/>
      </w:pPr>
      <w:rPr>
        <w:rFonts w:ascii="Wingdings" w:hAnsi="Wingdings" w:hint="default"/>
      </w:rPr>
    </w:lvl>
  </w:abstractNum>
  <w:abstractNum w:abstractNumId="7" w15:restartNumberingAfterBreak="0">
    <w:nsid w:val="31C720CF"/>
    <w:multiLevelType w:val="multilevel"/>
    <w:tmpl w:val="E466CD4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59C533"/>
    <w:multiLevelType w:val="hybridMultilevel"/>
    <w:tmpl w:val="9530D604"/>
    <w:lvl w:ilvl="0" w:tplc="F48E8944">
      <w:start w:val="1"/>
      <w:numFmt w:val="bullet"/>
      <w:lvlText w:val=""/>
      <w:lvlJc w:val="left"/>
      <w:pPr>
        <w:ind w:left="1440" w:hanging="360"/>
      </w:pPr>
      <w:rPr>
        <w:rFonts w:ascii="Symbol" w:hAnsi="Symbol" w:hint="default"/>
      </w:rPr>
    </w:lvl>
    <w:lvl w:ilvl="1" w:tplc="82EAC6BC">
      <w:start w:val="1"/>
      <w:numFmt w:val="bullet"/>
      <w:lvlText w:val="o"/>
      <w:lvlJc w:val="left"/>
      <w:pPr>
        <w:ind w:left="1440" w:hanging="360"/>
      </w:pPr>
      <w:rPr>
        <w:rFonts w:ascii="Courier New" w:hAnsi="Courier New" w:hint="default"/>
      </w:rPr>
    </w:lvl>
    <w:lvl w:ilvl="2" w:tplc="AC5CCFD0">
      <w:start w:val="1"/>
      <w:numFmt w:val="bullet"/>
      <w:lvlText w:val=""/>
      <w:lvlJc w:val="left"/>
      <w:pPr>
        <w:ind w:left="2160" w:hanging="360"/>
      </w:pPr>
      <w:rPr>
        <w:rFonts w:ascii="Wingdings" w:hAnsi="Wingdings" w:hint="default"/>
      </w:rPr>
    </w:lvl>
    <w:lvl w:ilvl="3" w:tplc="1CE6E5E8">
      <w:start w:val="1"/>
      <w:numFmt w:val="bullet"/>
      <w:lvlText w:val=""/>
      <w:lvlJc w:val="left"/>
      <w:pPr>
        <w:ind w:left="2880" w:hanging="360"/>
      </w:pPr>
      <w:rPr>
        <w:rFonts w:ascii="Symbol" w:hAnsi="Symbol" w:hint="default"/>
      </w:rPr>
    </w:lvl>
    <w:lvl w:ilvl="4" w:tplc="72CC6D54">
      <w:start w:val="1"/>
      <w:numFmt w:val="bullet"/>
      <w:lvlText w:val="o"/>
      <w:lvlJc w:val="left"/>
      <w:pPr>
        <w:ind w:left="3600" w:hanging="360"/>
      </w:pPr>
      <w:rPr>
        <w:rFonts w:ascii="Courier New" w:hAnsi="Courier New" w:hint="default"/>
      </w:rPr>
    </w:lvl>
    <w:lvl w:ilvl="5" w:tplc="C270F8C2">
      <w:start w:val="1"/>
      <w:numFmt w:val="bullet"/>
      <w:lvlText w:val=""/>
      <w:lvlJc w:val="left"/>
      <w:pPr>
        <w:ind w:left="4320" w:hanging="360"/>
      </w:pPr>
      <w:rPr>
        <w:rFonts w:ascii="Wingdings" w:hAnsi="Wingdings" w:hint="default"/>
      </w:rPr>
    </w:lvl>
    <w:lvl w:ilvl="6" w:tplc="D826DC28">
      <w:start w:val="1"/>
      <w:numFmt w:val="bullet"/>
      <w:lvlText w:val=""/>
      <w:lvlJc w:val="left"/>
      <w:pPr>
        <w:ind w:left="5040" w:hanging="360"/>
      </w:pPr>
      <w:rPr>
        <w:rFonts w:ascii="Symbol" w:hAnsi="Symbol" w:hint="default"/>
      </w:rPr>
    </w:lvl>
    <w:lvl w:ilvl="7" w:tplc="9A3A0AE8">
      <w:start w:val="1"/>
      <w:numFmt w:val="bullet"/>
      <w:lvlText w:val="o"/>
      <w:lvlJc w:val="left"/>
      <w:pPr>
        <w:ind w:left="5760" w:hanging="360"/>
      </w:pPr>
      <w:rPr>
        <w:rFonts w:ascii="Courier New" w:hAnsi="Courier New" w:hint="default"/>
      </w:rPr>
    </w:lvl>
    <w:lvl w:ilvl="8" w:tplc="CAA80914">
      <w:start w:val="1"/>
      <w:numFmt w:val="bullet"/>
      <w:lvlText w:val=""/>
      <w:lvlJc w:val="left"/>
      <w:pPr>
        <w:ind w:left="6480" w:hanging="360"/>
      </w:pPr>
      <w:rPr>
        <w:rFonts w:ascii="Wingdings" w:hAnsi="Wingdings" w:hint="default"/>
      </w:rPr>
    </w:lvl>
  </w:abstractNum>
  <w:abstractNum w:abstractNumId="9" w15:restartNumberingAfterBreak="0">
    <w:nsid w:val="39E41CA7"/>
    <w:multiLevelType w:val="hybridMultilevel"/>
    <w:tmpl w:val="AACE4B02"/>
    <w:lvl w:ilvl="0" w:tplc="E14A59F8">
      <w:start w:val="1"/>
      <w:numFmt w:val="lowerLetter"/>
      <w:lvlText w:val="(%1)"/>
      <w:lvlJc w:val="left"/>
      <w:pPr>
        <w:ind w:left="720" w:hanging="360"/>
      </w:pPr>
    </w:lvl>
    <w:lvl w:ilvl="1" w:tplc="09FED570">
      <w:start w:val="1"/>
      <w:numFmt w:val="lowerLetter"/>
      <w:lvlText w:val="%2."/>
      <w:lvlJc w:val="left"/>
      <w:pPr>
        <w:ind w:left="1440" w:hanging="360"/>
      </w:pPr>
    </w:lvl>
    <w:lvl w:ilvl="2" w:tplc="D25CCDD8">
      <w:start w:val="1"/>
      <w:numFmt w:val="lowerRoman"/>
      <w:lvlText w:val="%3."/>
      <w:lvlJc w:val="right"/>
      <w:pPr>
        <w:ind w:left="2160" w:hanging="180"/>
      </w:pPr>
    </w:lvl>
    <w:lvl w:ilvl="3" w:tplc="66EE51E8">
      <w:start w:val="1"/>
      <w:numFmt w:val="decimal"/>
      <w:lvlText w:val="%4."/>
      <w:lvlJc w:val="left"/>
      <w:pPr>
        <w:ind w:left="2880" w:hanging="360"/>
      </w:pPr>
    </w:lvl>
    <w:lvl w:ilvl="4" w:tplc="896A1486">
      <w:start w:val="1"/>
      <w:numFmt w:val="lowerLetter"/>
      <w:lvlText w:val="%5."/>
      <w:lvlJc w:val="left"/>
      <w:pPr>
        <w:ind w:left="3600" w:hanging="360"/>
      </w:pPr>
    </w:lvl>
    <w:lvl w:ilvl="5" w:tplc="C3DC404E">
      <w:start w:val="1"/>
      <w:numFmt w:val="lowerRoman"/>
      <w:lvlText w:val="%6."/>
      <w:lvlJc w:val="right"/>
      <w:pPr>
        <w:ind w:left="4320" w:hanging="180"/>
      </w:pPr>
    </w:lvl>
    <w:lvl w:ilvl="6" w:tplc="4298575C">
      <w:start w:val="1"/>
      <w:numFmt w:val="decimal"/>
      <w:lvlText w:val="%7."/>
      <w:lvlJc w:val="left"/>
      <w:pPr>
        <w:ind w:left="5040" w:hanging="360"/>
      </w:pPr>
    </w:lvl>
    <w:lvl w:ilvl="7" w:tplc="F7BEEEDE">
      <w:start w:val="1"/>
      <w:numFmt w:val="lowerLetter"/>
      <w:lvlText w:val="%8."/>
      <w:lvlJc w:val="left"/>
      <w:pPr>
        <w:ind w:left="5760" w:hanging="360"/>
      </w:pPr>
    </w:lvl>
    <w:lvl w:ilvl="8" w:tplc="415852C6">
      <w:start w:val="1"/>
      <w:numFmt w:val="lowerRoman"/>
      <w:lvlText w:val="%9."/>
      <w:lvlJc w:val="right"/>
      <w:pPr>
        <w:ind w:left="6480" w:hanging="180"/>
      </w:pPr>
    </w:lvl>
  </w:abstractNum>
  <w:abstractNum w:abstractNumId="10" w15:restartNumberingAfterBreak="0">
    <w:nsid w:val="402A59C3"/>
    <w:multiLevelType w:val="hybridMultilevel"/>
    <w:tmpl w:val="C540B7E8"/>
    <w:lvl w:ilvl="0" w:tplc="ED1614BE">
      <w:start w:val="1"/>
      <w:numFmt w:val="decimal"/>
      <w:lvlText w:val="(%1)"/>
      <w:lvlJc w:val="left"/>
      <w:pPr>
        <w:ind w:left="720" w:hanging="360"/>
      </w:pPr>
    </w:lvl>
    <w:lvl w:ilvl="1" w:tplc="1D663D04">
      <w:start w:val="1"/>
      <w:numFmt w:val="lowerLetter"/>
      <w:lvlText w:val="%2."/>
      <w:lvlJc w:val="left"/>
      <w:pPr>
        <w:ind w:left="1440" w:hanging="360"/>
      </w:pPr>
    </w:lvl>
    <w:lvl w:ilvl="2" w:tplc="4A1C62BC">
      <w:start w:val="1"/>
      <w:numFmt w:val="lowerRoman"/>
      <w:lvlText w:val="%3."/>
      <w:lvlJc w:val="right"/>
      <w:pPr>
        <w:ind w:left="2160" w:hanging="180"/>
      </w:pPr>
    </w:lvl>
    <w:lvl w:ilvl="3" w:tplc="546C2FA2">
      <w:start w:val="1"/>
      <w:numFmt w:val="decimal"/>
      <w:lvlText w:val="%4."/>
      <w:lvlJc w:val="left"/>
      <w:pPr>
        <w:ind w:left="2880" w:hanging="360"/>
      </w:pPr>
    </w:lvl>
    <w:lvl w:ilvl="4" w:tplc="C8E451E4">
      <w:start w:val="1"/>
      <w:numFmt w:val="lowerLetter"/>
      <w:lvlText w:val="%5."/>
      <w:lvlJc w:val="left"/>
      <w:pPr>
        <w:ind w:left="3600" w:hanging="360"/>
      </w:pPr>
    </w:lvl>
    <w:lvl w:ilvl="5" w:tplc="2782FB32">
      <w:start w:val="1"/>
      <w:numFmt w:val="lowerRoman"/>
      <w:lvlText w:val="%6."/>
      <w:lvlJc w:val="right"/>
      <w:pPr>
        <w:ind w:left="4320" w:hanging="180"/>
      </w:pPr>
    </w:lvl>
    <w:lvl w:ilvl="6" w:tplc="625017C2">
      <w:start w:val="1"/>
      <w:numFmt w:val="decimal"/>
      <w:lvlText w:val="%7."/>
      <w:lvlJc w:val="left"/>
      <w:pPr>
        <w:ind w:left="5040" w:hanging="360"/>
      </w:pPr>
    </w:lvl>
    <w:lvl w:ilvl="7" w:tplc="CDB64A80">
      <w:start w:val="1"/>
      <w:numFmt w:val="lowerLetter"/>
      <w:lvlText w:val="%8."/>
      <w:lvlJc w:val="left"/>
      <w:pPr>
        <w:ind w:left="5760" w:hanging="360"/>
      </w:pPr>
    </w:lvl>
    <w:lvl w:ilvl="8" w:tplc="A8880E5C">
      <w:start w:val="1"/>
      <w:numFmt w:val="lowerRoman"/>
      <w:lvlText w:val="%9."/>
      <w:lvlJc w:val="right"/>
      <w:pPr>
        <w:ind w:left="6480" w:hanging="180"/>
      </w:pPr>
    </w:lvl>
  </w:abstractNum>
  <w:abstractNum w:abstractNumId="11" w15:restartNumberingAfterBreak="0">
    <w:nsid w:val="4154184A"/>
    <w:multiLevelType w:val="hybridMultilevel"/>
    <w:tmpl w:val="75F48EEC"/>
    <w:lvl w:ilvl="0" w:tplc="0F1C0D90">
      <w:numFmt w:val="decimal"/>
      <w:lvlText w:val=""/>
      <w:lvlJc w:val="left"/>
      <w:pPr>
        <w:tabs>
          <w:tab w:val="num" w:pos="360"/>
        </w:tabs>
      </w:pPr>
    </w:lvl>
    <w:lvl w:ilvl="1" w:tplc="B3DA2E98">
      <w:start w:val="1"/>
      <w:numFmt w:val="lowerLetter"/>
      <w:lvlText w:val="%2."/>
      <w:lvlJc w:val="left"/>
      <w:pPr>
        <w:ind w:left="1440" w:hanging="360"/>
      </w:pPr>
    </w:lvl>
    <w:lvl w:ilvl="2" w:tplc="E2266F7E">
      <w:start w:val="1"/>
      <w:numFmt w:val="lowerRoman"/>
      <w:lvlText w:val="%3."/>
      <w:lvlJc w:val="right"/>
      <w:pPr>
        <w:ind w:left="2160" w:hanging="180"/>
      </w:pPr>
    </w:lvl>
    <w:lvl w:ilvl="3" w:tplc="BA04CEA0">
      <w:start w:val="1"/>
      <w:numFmt w:val="decimal"/>
      <w:lvlText w:val="%4."/>
      <w:lvlJc w:val="left"/>
      <w:pPr>
        <w:ind w:left="2880" w:hanging="360"/>
      </w:pPr>
    </w:lvl>
    <w:lvl w:ilvl="4" w:tplc="45A43606">
      <w:start w:val="1"/>
      <w:numFmt w:val="lowerLetter"/>
      <w:lvlText w:val="%5."/>
      <w:lvlJc w:val="left"/>
      <w:pPr>
        <w:ind w:left="3600" w:hanging="360"/>
      </w:pPr>
    </w:lvl>
    <w:lvl w:ilvl="5" w:tplc="D946D1AA">
      <w:start w:val="1"/>
      <w:numFmt w:val="lowerRoman"/>
      <w:lvlText w:val="%6."/>
      <w:lvlJc w:val="right"/>
      <w:pPr>
        <w:ind w:left="4320" w:hanging="180"/>
      </w:pPr>
    </w:lvl>
    <w:lvl w:ilvl="6" w:tplc="0BA871C4">
      <w:start w:val="1"/>
      <w:numFmt w:val="decimal"/>
      <w:lvlText w:val="%7."/>
      <w:lvlJc w:val="left"/>
      <w:pPr>
        <w:ind w:left="5040" w:hanging="360"/>
      </w:pPr>
    </w:lvl>
    <w:lvl w:ilvl="7" w:tplc="FE048568">
      <w:start w:val="1"/>
      <w:numFmt w:val="lowerLetter"/>
      <w:lvlText w:val="%8."/>
      <w:lvlJc w:val="left"/>
      <w:pPr>
        <w:ind w:left="5760" w:hanging="360"/>
      </w:pPr>
    </w:lvl>
    <w:lvl w:ilvl="8" w:tplc="87544C18">
      <w:start w:val="1"/>
      <w:numFmt w:val="lowerRoman"/>
      <w:lvlText w:val="%9."/>
      <w:lvlJc w:val="right"/>
      <w:pPr>
        <w:ind w:left="6480" w:hanging="180"/>
      </w:pPr>
    </w:lvl>
  </w:abstractNum>
  <w:abstractNum w:abstractNumId="12" w15:restartNumberingAfterBreak="0">
    <w:nsid w:val="47DD25EA"/>
    <w:multiLevelType w:val="multilevel"/>
    <w:tmpl w:val="8000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064EA0"/>
    <w:multiLevelType w:val="hybridMultilevel"/>
    <w:tmpl w:val="FFFFFFFF"/>
    <w:lvl w:ilvl="0" w:tplc="C77457A6">
      <w:start w:val="1"/>
      <w:numFmt w:val="bullet"/>
      <w:lvlText w:val=""/>
      <w:lvlJc w:val="left"/>
      <w:pPr>
        <w:ind w:left="720" w:hanging="360"/>
      </w:pPr>
      <w:rPr>
        <w:rFonts w:ascii="Symbol" w:hAnsi="Symbol" w:hint="default"/>
      </w:rPr>
    </w:lvl>
    <w:lvl w:ilvl="1" w:tplc="03229AB4">
      <w:start w:val="1"/>
      <w:numFmt w:val="bullet"/>
      <w:lvlText w:val="o"/>
      <w:lvlJc w:val="left"/>
      <w:pPr>
        <w:ind w:left="1440" w:hanging="360"/>
      </w:pPr>
      <w:rPr>
        <w:rFonts w:ascii="Courier New" w:hAnsi="Courier New" w:hint="default"/>
      </w:rPr>
    </w:lvl>
    <w:lvl w:ilvl="2" w:tplc="5394DF68">
      <w:start w:val="1"/>
      <w:numFmt w:val="bullet"/>
      <w:lvlText w:val=""/>
      <w:lvlJc w:val="left"/>
      <w:pPr>
        <w:ind w:left="2160" w:hanging="360"/>
      </w:pPr>
      <w:rPr>
        <w:rFonts w:ascii="Wingdings" w:hAnsi="Wingdings" w:hint="default"/>
      </w:rPr>
    </w:lvl>
    <w:lvl w:ilvl="3" w:tplc="1D825EAC">
      <w:start w:val="1"/>
      <w:numFmt w:val="bullet"/>
      <w:lvlText w:val=""/>
      <w:lvlJc w:val="left"/>
      <w:pPr>
        <w:ind w:left="2880" w:hanging="360"/>
      </w:pPr>
      <w:rPr>
        <w:rFonts w:ascii="Symbol" w:hAnsi="Symbol" w:hint="default"/>
      </w:rPr>
    </w:lvl>
    <w:lvl w:ilvl="4" w:tplc="792CEFF2">
      <w:start w:val="1"/>
      <w:numFmt w:val="bullet"/>
      <w:lvlText w:val="o"/>
      <w:lvlJc w:val="left"/>
      <w:pPr>
        <w:ind w:left="3600" w:hanging="360"/>
      </w:pPr>
      <w:rPr>
        <w:rFonts w:ascii="Courier New" w:hAnsi="Courier New" w:hint="default"/>
      </w:rPr>
    </w:lvl>
    <w:lvl w:ilvl="5" w:tplc="AEA43956">
      <w:start w:val="1"/>
      <w:numFmt w:val="bullet"/>
      <w:lvlText w:val=""/>
      <w:lvlJc w:val="left"/>
      <w:pPr>
        <w:ind w:left="4320" w:hanging="360"/>
      </w:pPr>
      <w:rPr>
        <w:rFonts w:ascii="Wingdings" w:hAnsi="Wingdings" w:hint="default"/>
      </w:rPr>
    </w:lvl>
    <w:lvl w:ilvl="6" w:tplc="13B0B34E">
      <w:start w:val="1"/>
      <w:numFmt w:val="bullet"/>
      <w:lvlText w:val=""/>
      <w:lvlJc w:val="left"/>
      <w:pPr>
        <w:ind w:left="5040" w:hanging="360"/>
      </w:pPr>
      <w:rPr>
        <w:rFonts w:ascii="Symbol" w:hAnsi="Symbol" w:hint="default"/>
      </w:rPr>
    </w:lvl>
    <w:lvl w:ilvl="7" w:tplc="66D80B8A">
      <w:start w:val="1"/>
      <w:numFmt w:val="bullet"/>
      <w:lvlText w:val="o"/>
      <w:lvlJc w:val="left"/>
      <w:pPr>
        <w:ind w:left="5760" w:hanging="360"/>
      </w:pPr>
      <w:rPr>
        <w:rFonts w:ascii="Courier New" w:hAnsi="Courier New" w:hint="default"/>
      </w:rPr>
    </w:lvl>
    <w:lvl w:ilvl="8" w:tplc="EF72AD96">
      <w:start w:val="1"/>
      <w:numFmt w:val="bullet"/>
      <w:lvlText w:val=""/>
      <w:lvlJc w:val="left"/>
      <w:pPr>
        <w:ind w:left="6480" w:hanging="360"/>
      </w:pPr>
      <w:rPr>
        <w:rFonts w:ascii="Wingdings" w:hAnsi="Wingdings" w:hint="default"/>
      </w:rPr>
    </w:lvl>
  </w:abstractNum>
  <w:abstractNum w:abstractNumId="14" w15:restartNumberingAfterBreak="0">
    <w:nsid w:val="4C5B0D4B"/>
    <w:multiLevelType w:val="hybridMultilevel"/>
    <w:tmpl w:val="33349866"/>
    <w:lvl w:ilvl="0" w:tplc="5922E32C">
      <w:numFmt w:val="decimal"/>
      <w:lvlText w:val=""/>
      <w:lvlJc w:val="left"/>
      <w:pPr>
        <w:tabs>
          <w:tab w:val="num" w:pos="360"/>
        </w:tabs>
      </w:pPr>
    </w:lvl>
    <w:lvl w:ilvl="1" w:tplc="CCFEB5D0">
      <w:start w:val="1"/>
      <w:numFmt w:val="lowerLetter"/>
      <w:lvlText w:val="%2."/>
      <w:lvlJc w:val="left"/>
      <w:pPr>
        <w:ind w:left="1146" w:hanging="360"/>
      </w:pPr>
    </w:lvl>
    <w:lvl w:ilvl="2" w:tplc="A4CA86D2">
      <w:start w:val="1"/>
      <w:numFmt w:val="lowerRoman"/>
      <w:lvlText w:val="%3."/>
      <w:lvlJc w:val="right"/>
      <w:pPr>
        <w:ind w:left="1866" w:hanging="180"/>
      </w:pPr>
    </w:lvl>
    <w:lvl w:ilvl="3" w:tplc="9F8AE298">
      <w:start w:val="1"/>
      <w:numFmt w:val="decimal"/>
      <w:lvlText w:val="%4."/>
      <w:lvlJc w:val="left"/>
      <w:pPr>
        <w:ind w:left="2586" w:hanging="360"/>
      </w:pPr>
    </w:lvl>
    <w:lvl w:ilvl="4" w:tplc="751EA0A8">
      <w:start w:val="1"/>
      <w:numFmt w:val="lowerLetter"/>
      <w:lvlText w:val="%5."/>
      <w:lvlJc w:val="left"/>
      <w:pPr>
        <w:ind w:left="3306" w:hanging="360"/>
      </w:pPr>
    </w:lvl>
    <w:lvl w:ilvl="5" w:tplc="F9386912">
      <w:start w:val="1"/>
      <w:numFmt w:val="lowerRoman"/>
      <w:lvlText w:val="%6."/>
      <w:lvlJc w:val="right"/>
      <w:pPr>
        <w:ind w:left="4026" w:hanging="180"/>
      </w:pPr>
    </w:lvl>
    <w:lvl w:ilvl="6" w:tplc="718ED730">
      <w:start w:val="1"/>
      <w:numFmt w:val="decimal"/>
      <w:lvlText w:val="%7."/>
      <w:lvlJc w:val="left"/>
      <w:pPr>
        <w:ind w:left="4746" w:hanging="360"/>
      </w:pPr>
    </w:lvl>
    <w:lvl w:ilvl="7" w:tplc="C6A42B7E">
      <w:start w:val="1"/>
      <w:numFmt w:val="lowerLetter"/>
      <w:lvlText w:val="%8."/>
      <w:lvlJc w:val="left"/>
      <w:pPr>
        <w:ind w:left="5466" w:hanging="360"/>
      </w:pPr>
    </w:lvl>
    <w:lvl w:ilvl="8" w:tplc="041AC6DA">
      <w:start w:val="1"/>
      <w:numFmt w:val="lowerRoman"/>
      <w:lvlText w:val="%9."/>
      <w:lvlJc w:val="right"/>
      <w:pPr>
        <w:ind w:left="6186" w:hanging="180"/>
      </w:pPr>
    </w:lvl>
  </w:abstractNum>
  <w:abstractNum w:abstractNumId="15" w15:restartNumberingAfterBreak="0">
    <w:nsid w:val="5099526D"/>
    <w:multiLevelType w:val="hybridMultilevel"/>
    <w:tmpl w:val="C2B05E60"/>
    <w:lvl w:ilvl="0" w:tplc="0CEC0730">
      <w:start w:val="1"/>
      <w:numFmt w:val="bullet"/>
      <w:lvlText w:val=""/>
      <w:lvlJc w:val="left"/>
      <w:pPr>
        <w:ind w:left="720" w:hanging="360"/>
      </w:pPr>
      <w:rPr>
        <w:rFonts w:ascii="Symbol" w:hAnsi="Symbol"/>
      </w:rPr>
    </w:lvl>
    <w:lvl w:ilvl="1" w:tplc="159EB082">
      <w:start w:val="1"/>
      <w:numFmt w:val="bullet"/>
      <w:lvlText w:val=""/>
      <w:lvlJc w:val="left"/>
      <w:pPr>
        <w:ind w:left="720" w:hanging="360"/>
      </w:pPr>
      <w:rPr>
        <w:rFonts w:ascii="Symbol" w:hAnsi="Symbol"/>
      </w:rPr>
    </w:lvl>
    <w:lvl w:ilvl="2" w:tplc="0370327E">
      <w:start w:val="1"/>
      <w:numFmt w:val="bullet"/>
      <w:lvlText w:val=""/>
      <w:lvlJc w:val="left"/>
      <w:pPr>
        <w:ind w:left="720" w:hanging="360"/>
      </w:pPr>
      <w:rPr>
        <w:rFonts w:ascii="Symbol" w:hAnsi="Symbol"/>
      </w:rPr>
    </w:lvl>
    <w:lvl w:ilvl="3" w:tplc="91E2FB36">
      <w:start w:val="1"/>
      <w:numFmt w:val="bullet"/>
      <w:lvlText w:val=""/>
      <w:lvlJc w:val="left"/>
      <w:pPr>
        <w:ind w:left="720" w:hanging="360"/>
      </w:pPr>
      <w:rPr>
        <w:rFonts w:ascii="Symbol" w:hAnsi="Symbol"/>
      </w:rPr>
    </w:lvl>
    <w:lvl w:ilvl="4" w:tplc="E4A407EA">
      <w:start w:val="1"/>
      <w:numFmt w:val="bullet"/>
      <w:lvlText w:val=""/>
      <w:lvlJc w:val="left"/>
      <w:pPr>
        <w:ind w:left="720" w:hanging="360"/>
      </w:pPr>
      <w:rPr>
        <w:rFonts w:ascii="Symbol" w:hAnsi="Symbol"/>
      </w:rPr>
    </w:lvl>
    <w:lvl w:ilvl="5" w:tplc="0E3A1DE2">
      <w:start w:val="1"/>
      <w:numFmt w:val="bullet"/>
      <w:lvlText w:val=""/>
      <w:lvlJc w:val="left"/>
      <w:pPr>
        <w:ind w:left="720" w:hanging="360"/>
      </w:pPr>
      <w:rPr>
        <w:rFonts w:ascii="Symbol" w:hAnsi="Symbol"/>
      </w:rPr>
    </w:lvl>
    <w:lvl w:ilvl="6" w:tplc="F10CF7BC">
      <w:start w:val="1"/>
      <w:numFmt w:val="bullet"/>
      <w:lvlText w:val=""/>
      <w:lvlJc w:val="left"/>
      <w:pPr>
        <w:ind w:left="720" w:hanging="360"/>
      </w:pPr>
      <w:rPr>
        <w:rFonts w:ascii="Symbol" w:hAnsi="Symbol"/>
      </w:rPr>
    </w:lvl>
    <w:lvl w:ilvl="7" w:tplc="87AC79C0">
      <w:start w:val="1"/>
      <w:numFmt w:val="bullet"/>
      <w:lvlText w:val=""/>
      <w:lvlJc w:val="left"/>
      <w:pPr>
        <w:ind w:left="720" w:hanging="360"/>
      </w:pPr>
      <w:rPr>
        <w:rFonts w:ascii="Symbol" w:hAnsi="Symbol"/>
      </w:rPr>
    </w:lvl>
    <w:lvl w:ilvl="8" w:tplc="56EE5F8A">
      <w:start w:val="1"/>
      <w:numFmt w:val="bullet"/>
      <w:lvlText w:val=""/>
      <w:lvlJc w:val="left"/>
      <w:pPr>
        <w:ind w:left="720" w:hanging="360"/>
      </w:pPr>
      <w:rPr>
        <w:rFonts w:ascii="Symbol" w:hAnsi="Symbol"/>
      </w:rPr>
    </w:lvl>
  </w:abstractNum>
  <w:abstractNum w:abstractNumId="16" w15:restartNumberingAfterBreak="0">
    <w:nsid w:val="52B91A5F"/>
    <w:multiLevelType w:val="hybridMultilevel"/>
    <w:tmpl w:val="0792C3A4"/>
    <w:lvl w:ilvl="0" w:tplc="187EF448">
      <w:start w:val="1"/>
      <w:numFmt w:val="bullet"/>
      <w:lvlText w:val=""/>
      <w:lvlJc w:val="left"/>
      <w:pPr>
        <w:ind w:left="720" w:hanging="360"/>
      </w:pPr>
      <w:rPr>
        <w:rFonts w:ascii="Symbol" w:hAnsi="Symbol" w:hint="default"/>
      </w:rPr>
    </w:lvl>
    <w:lvl w:ilvl="1" w:tplc="251C223C">
      <w:start w:val="1"/>
      <w:numFmt w:val="bullet"/>
      <w:lvlText w:val="o"/>
      <w:lvlJc w:val="left"/>
      <w:pPr>
        <w:ind w:left="1440" w:hanging="360"/>
      </w:pPr>
      <w:rPr>
        <w:rFonts w:ascii="Courier New" w:hAnsi="Courier New" w:hint="default"/>
      </w:rPr>
    </w:lvl>
    <w:lvl w:ilvl="2" w:tplc="BE4E5BF4">
      <w:start w:val="1"/>
      <w:numFmt w:val="bullet"/>
      <w:lvlText w:val=""/>
      <w:lvlJc w:val="left"/>
      <w:pPr>
        <w:ind w:left="2160" w:hanging="360"/>
      </w:pPr>
      <w:rPr>
        <w:rFonts w:ascii="Symbol" w:hAnsi="Symbol" w:hint="default"/>
      </w:rPr>
    </w:lvl>
    <w:lvl w:ilvl="3" w:tplc="F932AC4C">
      <w:start w:val="1"/>
      <w:numFmt w:val="bullet"/>
      <w:lvlText w:val=""/>
      <w:lvlJc w:val="left"/>
      <w:pPr>
        <w:ind w:left="2880" w:hanging="360"/>
      </w:pPr>
      <w:rPr>
        <w:rFonts w:ascii="Symbol" w:hAnsi="Symbol" w:hint="default"/>
      </w:rPr>
    </w:lvl>
    <w:lvl w:ilvl="4" w:tplc="86BEB76A">
      <w:start w:val="1"/>
      <w:numFmt w:val="bullet"/>
      <w:lvlText w:val="o"/>
      <w:lvlJc w:val="left"/>
      <w:pPr>
        <w:ind w:left="3600" w:hanging="360"/>
      </w:pPr>
      <w:rPr>
        <w:rFonts w:ascii="Courier New" w:hAnsi="Courier New" w:hint="default"/>
      </w:rPr>
    </w:lvl>
    <w:lvl w:ilvl="5" w:tplc="D73A6CB8">
      <w:start w:val="1"/>
      <w:numFmt w:val="bullet"/>
      <w:lvlText w:val=""/>
      <w:lvlJc w:val="left"/>
      <w:pPr>
        <w:ind w:left="4320" w:hanging="360"/>
      </w:pPr>
      <w:rPr>
        <w:rFonts w:ascii="Wingdings" w:hAnsi="Wingdings" w:hint="default"/>
      </w:rPr>
    </w:lvl>
    <w:lvl w:ilvl="6" w:tplc="2980997C">
      <w:start w:val="1"/>
      <w:numFmt w:val="bullet"/>
      <w:lvlText w:val=""/>
      <w:lvlJc w:val="left"/>
      <w:pPr>
        <w:ind w:left="5040" w:hanging="360"/>
      </w:pPr>
      <w:rPr>
        <w:rFonts w:ascii="Symbol" w:hAnsi="Symbol" w:hint="default"/>
      </w:rPr>
    </w:lvl>
    <w:lvl w:ilvl="7" w:tplc="CA4C4C18">
      <w:start w:val="1"/>
      <w:numFmt w:val="bullet"/>
      <w:lvlText w:val="o"/>
      <w:lvlJc w:val="left"/>
      <w:pPr>
        <w:ind w:left="5760" w:hanging="360"/>
      </w:pPr>
      <w:rPr>
        <w:rFonts w:ascii="Courier New" w:hAnsi="Courier New" w:hint="default"/>
      </w:rPr>
    </w:lvl>
    <w:lvl w:ilvl="8" w:tplc="B42C8450">
      <w:start w:val="1"/>
      <w:numFmt w:val="bullet"/>
      <w:lvlText w:val=""/>
      <w:lvlJc w:val="left"/>
      <w:pPr>
        <w:ind w:left="6480" w:hanging="360"/>
      </w:pPr>
      <w:rPr>
        <w:rFonts w:ascii="Wingdings" w:hAnsi="Wingdings" w:hint="default"/>
      </w:rPr>
    </w:lvl>
  </w:abstractNum>
  <w:abstractNum w:abstractNumId="17" w15:restartNumberingAfterBreak="0">
    <w:nsid w:val="55CFD860"/>
    <w:multiLevelType w:val="multilevel"/>
    <w:tmpl w:val="494E87EC"/>
    <w:lvl w:ilvl="0">
      <w:numFmt w:val="decimal"/>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B9372C9"/>
    <w:multiLevelType w:val="hybridMultilevel"/>
    <w:tmpl w:val="9B50B968"/>
    <w:lvl w:ilvl="0" w:tplc="64882D5A">
      <w:start w:val="1"/>
      <w:numFmt w:val="bullet"/>
      <w:lvlText w:val=""/>
      <w:lvlJc w:val="left"/>
      <w:pPr>
        <w:ind w:left="720" w:hanging="360"/>
      </w:pPr>
      <w:rPr>
        <w:rFonts w:ascii="Symbol" w:hAnsi="Symbol"/>
      </w:rPr>
    </w:lvl>
    <w:lvl w:ilvl="1" w:tplc="4074FDCE">
      <w:start w:val="1"/>
      <w:numFmt w:val="bullet"/>
      <w:lvlText w:val=""/>
      <w:lvlJc w:val="left"/>
      <w:pPr>
        <w:ind w:left="720" w:hanging="360"/>
      </w:pPr>
      <w:rPr>
        <w:rFonts w:ascii="Symbol" w:hAnsi="Symbol"/>
      </w:rPr>
    </w:lvl>
    <w:lvl w:ilvl="2" w:tplc="925431D8">
      <w:start w:val="1"/>
      <w:numFmt w:val="bullet"/>
      <w:lvlText w:val=""/>
      <w:lvlJc w:val="left"/>
      <w:pPr>
        <w:ind w:left="720" w:hanging="360"/>
      </w:pPr>
      <w:rPr>
        <w:rFonts w:ascii="Symbol" w:hAnsi="Symbol"/>
      </w:rPr>
    </w:lvl>
    <w:lvl w:ilvl="3" w:tplc="B8589B28">
      <w:start w:val="1"/>
      <w:numFmt w:val="bullet"/>
      <w:lvlText w:val=""/>
      <w:lvlJc w:val="left"/>
      <w:pPr>
        <w:ind w:left="720" w:hanging="360"/>
      </w:pPr>
      <w:rPr>
        <w:rFonts w:ascii="Symbol" w:hAnsi="Symbol"/>
      </w:rPr>
    </w:lvl>
    <w:lvl w:ilvl="4" w:tplc="F7C277E6">
      <w:start w:val="1"/>
      <w:numFmt w:val="bullet"/>
      <w:lvlText w:val=""/>
      <w:lvlJc w:val="left"/>
      <w:pPr>
        <w:ind w:left="720" w:hanging="360"/>
      </w:pPr>
      <w:rPr>
        <w:rFonts w:ascii="Symbol" w:hAnsi="Symbol"/>
      </w:rPr>
    </w:lvl>
    <w:lvl w:ilvl="5" w:tplc="42EE1330">
      <w:start w:val="1"/>
      <w:numFmt w:val="bullet"/>
      <w:lvlText w:val=""/>
      <w:lvlJc w:val="left"/>
      <w:pPr>
        <w:ind w:left="720" w:hanging="360"/>
      </w:pPr>
      <w:rPr>
        <w:rFonts w:ascii="Symbol" w:hAnsi="Symbol"/>
      </w:rPr>
    </w:lvl>
    <w:lvl w:ilvl="6" w:tplc="72107334">
      <w:start w:val="1"/>
      <w:numFmt w:val="bullet"/>
      <w:lvlText w:val=""/>
      <w:lvlJc w:val="left"/>
      <w:pPr>
        <w:ind w:left="720" w:hanging="360"/>
      </w:pPr>
      <w:rPr>
        <w:rFonts w:ascii="Symbol" w:hAnsi="Symbol"/>
      </w:rPr>
    </w:lvl>
    <w:lvl w:ilvl="7" w:tplc="05A4CCBC">
      <w:start w:val="1"/>
      <w:numFmt w:val="bullet"/>
      <w:lvlText w:val=""/>
      <w:lvlJc w:val="left"/>
      <w:pPr>
        <w:ind w:left="720" w:hanging="360"/>
      </w:pPr>
      <w:rPr>
        <w:rFonts w:ascii="Symbol" w:hAnsi="Symbol"/>
      </w:rPr>
    </w:lvl>
    <w:lvl w:ilvl="8" w:tplc="D736CB84">
      <w:start w:val="1"/>
      <w:numFmt w:val="bullet"/>
      <w:lvlText w:val=""/>
      <w:lvlJc w:val="left"/>
      <w:pPr>
        <w:ind w:left="720" w:hanging="360"/>
      </w:pPr>
      <w:rPr>
        <w:rFonts w:ascii="Symbol" w:hAnsi="Symbol"/>
      </w:rPr>
    </w:lvl>
  </w:abstractNum>
  <w:abstractNum w:abstractNumId="19" w15:restartNumberingAfterBreak="0">
    <w:nsid w:val="65C9111C"/>
    <w:multiLevelType w:val="multilevel"/>
    <w:tmpl w:val="88DE0F6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ind w:left="144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2089E6"/>
    <w:multiLevelType w:val="hybridMultilevel"/>
    <w:tmpl w:val="B09A6F34"/>
    <w:lvl w:ilvl="0" w:tplc="8C36971C">
      <w:start w:val="1"/>
      <w:numFmt w:val="lowerLetter"/>
      <w:lvlText w:val="%1)"/>
      <w:lvlJc w:val="left"/>
      <w:pPr>
        <w:ind w:left="720" w:hanging="360"/>
      </w:pPr>
      <w:rPr>
        <w:rFonts w:ascii="Calibri" w:hAnsi="Calibri" w:hint="default"/>
      </w:rPr>
    </w:lvl>
    <w:lvl w:ilvl="1" w:tplc="A44A576E">
      <w:start w:val="1"/>
      <w:numFmt w:val="lowerLetter"/>
      <w:lvlText w:val="%2."/>
      <w:lvlJc w:val="left"/>
      <w:pPr>
        <w:ind w:left="1440" w:hanging="360"/>
      </w:pPr>
    </w:lvl>
    <w:lvl w:ilvl="2" w:tplc="7FF67BBA">
      <w:start w:val="1"/>
      <w:numFmt w:val="lowerRoman"/>
      <w:lvlText w:val="%3."/>
      <w:lvlJc w:val="right"/>
      <w:pPr>
        <w:ind w:left="2160" w:hanging="180"/>
      </w:pPr>
    </w:lvl>
    <w:lvl w:ilvl="3" w:tplc="16C86B74">
      <w:start w:val="1"/>
      <w:numFmt w:val="decimal"/>
      <w:lvlText w:val="%4."/>
      <w:lvlJc w:val="left"/>
      <w:pPr>
        <w:ind w:left="2880" w:hanging="360"/>
      </w:pPr>
    </w:lvl>
    <w:lvl w:ilvl="4" w:tplc="A68CD9F6">
      <w:start w:val="1"/>
      <w:numFmt w:val="lowerLetter"/>
      <w:lvlText w:val="%5."/>
      <w:lvlJc w:val="left"/>
      <w:pPr>
        <w:ind w:left="3600" w:hanging="360"/>
      </w:pPr>
    </w:lvl>
    <w:lvl w:ilvl="5" w:tplc="382EB9DE">
      <w:start w:val="1"/>
      <w:numFmt w:val="lowerRoman"/>
      <w:lvlText w:val="%6."/>
      <w:lvlJc w:val="right"/>
      <w:pPr>
        <w:ind w:left="4320" w:hanging="180"/>
      </w:pPr>
    </w:lvl>
    <w:lvl w:ilvl="6" w:tplc="EDDEF68E">
      <w:start w:val="1"/>
      <w:numFmt w:val="decimal"/>
      <w:lvlText w:val="%7."/>
      <w:lvlJc w:val="left"/>
      <w:pPr>
        <w:ind w:left="5040" w:hanging="360"/>
      </w:pPr>
    </w:lvl>
    <w:lvl w:ilvl="7" w:tplc="5874D4CC">
      <w:start w:val="1"/>
      <w:numFmt w:val="lowerLetter"/>
      <w:lvlText w:val="%8."/>
      <w:lvlJc w:val="left"/>
      <w:pPr>
        <w:ind w:left="5760" w:hanging="360"/>
      </w:pPr>
    </w:lvl>
    <w:lvl w:ilvl="8" w:tplc="2668D17E">
      <w:start w:val="1"/>
      <w:numFmt w:val="lowerRoman"/>
      <w:lvlText w:val="%9."/>
      <w:lvlJc w:val="right"/>
      <w:pPr>
        <w:ind w:left="6480" w:hanging="180"/>
      </w:pPr>
    </w:lvl>
  </w:abstractNum>
  <w:abstractNum w:abstractNumId="21" w15:restartNumberingAfterBreak="0">
    <w:nsid w:val="6B41994C"/>
    <w:multiLevelType w:val="hybridMultilevel"/>
    <w:tmpl w:val="1748AA14"/>
    <w:lvl w:ilvl="0" w:tplc="3FC25ECA">
      <w:start w:val="1"/>
      <w:numFmt w:val="decimal"/>
      <w:lvlText w:val="%1."/>
      <w:lvlJc w:val="left"/>
      <w:pPr>
        <w:ind w:left="720" w:hanging="360"/>
      </w:pPr>
    </w:lvl>
    <w:lvl w:ilvl="1" w:tplc="0264155C">
      <w:start w:val="1"/>
      <w:numFmt w:val="lowerLetter"/>
      <w:lvlText w:val="%2."/>
      <w:lvlJc w:val="left"/>
      <w:pPr>
        <w:ind w:left="1440" w:hanging="360"/>
      </w:pPr>
    </w:lvl>
    <w:lvl w:ilvl="2" w:tplc="F2B21B64">
      <w:start w:val="1"/>
      <w:numFmt w:val="decimal"/>
      <w:lvlText w:val="%3."/>
      <w:lvlJc w:val="left"/>
      <w:pPr>
        <w:ind w:left="2160" w:hanging="180"/>
      </w:pPr>
    </w:lvl>
    <w:lvl w:ilvl="3" w:tplc="14403E44">
      <w:start w:val="1"/>
      <w:numFmt w:val="decimal"/>
      <w:lvlText w:val="%4."/>
      <w:lvlJc w:val="left"/>
      <w:pPr>
        <w:ind w:left="2880" w:hanging="360"/>
      </w:pPr>
    </w:lvl>
    <w:lvl w:ilvl="4" w:tplc="474EFAB0">
      <w:start w:val="1"/>
      <w:numFmt w:val="lowerLetter"/>
      <w:lvlText w:val="%5."/>
      <w:lvlJc w:val="left"/>
      <w:pPr>
        <w:ind w:left="3600" w:hanging="360"/>
      </w:pPr>
    </w:lvl>
    <w:lvl w:ilvl="5" w:tplc="CAA24594">
      <w:start w:val="1"/>
      <w:numFmt w:val="lowerRoman"/>
      <w:lvlText w:val="%6."/>
      <w:lvlJc w:val="right"/>
      <w:pPr>
        <w:ind w:left="4320" w:hanging="180"/>
      </w:pPr>
    </w:lvl>
    <w:lvl w:ilvl="6" w:tplc="D444CDF0">
      <w:start w:val="1"/>
      <w:numFmt w:val="decimal"/>
      <w:lvlText w:val="%7."/>
      <w:lvlJc w:val="left"/>
      <w:pPr>
        <w:ind w:left="5040" w:hanging="360"/>
      </w:pPr>
    </w:lvl>
    <w:lvl w:ilvl="7" w:tplc="10141E92">
      <w:start w:val="1"/>
      <w:numFmt w:val="lowerLetter"/>
      <w:lvlText w:val="%8."/>
      <w:lvlJc w:val="left"/>
      <w:pPr>
        <w:ind w:left="5760" w:hanging="360"/>
      </w:pPr>
    </w:lvl>
    <w:lvl w:ilvl="8" w:tplc="0DE4275E">
      <w:start w:val="1"/>
      <w:numFmt w:val="lowerRoman"/>
      <w:lvlText w:val="%9."/>
      <w:lvlJc w:val="right"/>
      <w:pPr>
        <w:ind w:left="6480" w:hanging="180"/>
      </w:pPr>
    </w:lvl>
  </w:abstractNum>
  <w:abstractNum w:abstractNumId="22" w15:restartNumberingAfterBreak="0">
    <w:nsid w:val="6DE6905A"/>
    <w:multiLevelType w:val="hybridMultilevel"/>
    <w:tmpl w:val="A134B1AC"/>
    <w:lvl w:ilvl="0" w:tplc="8F6EFCBC">
      <w:numFmt w:val="decimal"/>
      <w:lvlText w:val=""/>
      <w:lvlJc w:val="left"/>
      <w:pPr>
        <w:tabs>
          <w:tab w:val="num" w:pos="360"/>
        </w:tabs>
      </w:pPr>
    </w:lvl>
    <w:lvl w:ilvl="1" w:tplc="51DE21BA">
      <w:start w:val="1"/>
      <w:numFmt w:val="lowerLetter"/>
      <w:lvlText w:val="%2."/>
      <w:lvlJc w:val="left"/>
      <w:pPr>
        <w:ind w:left="1146" w:hanging="360"/>
      </w:pPr>
    </w:lvl>
    <w:lvl w:ilvl="2" w:tplc="6420AF6C">
      <w:start w:val="1"/>
      <w:numFmt w:val="lowerRoman"/>
      <w:lvlText w:val="%3."/>
      <w:lvlJc w:val="right"/>
      <w:pPr>
        <w:ind w:left="1866" w:hanging="180"/>
      </w:pPr>
    </w:lvl>
    <w:lvl w:ilvl="3" w:tplc="44828B76">
      <w:start w:val="1"/>
      <w:numFmt w:val="decimal"/>
      <w:lvlText w:val="%4."/>
      <w:lvlJc w:val="left"/>
      <w:pPr>
        <w:ind w:left="2586" w:hanging="360"/>
      </w:pPr>
    </w:lvl>
    <w:lvl w:ilvl="4" w:tplc="97CC0BD6">
      <w:start w:val="1"/>
      <w:numFmt w:val="lowerLetter"/>
      <w:lvlText w:val="%5."/>
      <w:lvlJc w:val="left"/>
      <w:pPr>
        <w:ind w:left="3306" w:hanging="360"/>
      </w:pPr>
    </w:lvl>
    <w:lvl w:ilvl="5" w:tplc="50EAAC08">
      <w:start w:val="1"/>
      <w:numFmt w:val="lowerRoman"/>
      <w:lvlText w:val="%6."/>
      <w:lvlJc w:val="right"/>
      <w:pPr>
        <w:ind w:left="4026" w:hanging="180"/>
      </w:pPr>
    </w:lvl>
    <w:lvl w:ilvl="6" w:tplc="200A8CA4">
      <w:start w:val="1"/>
      <w:numFmt w:val="decimal"/>
      <w:lvlText w:val="%7."/>
      <w:lvlJc w:val="left"/>
      <w:pPr>
        <w:ind w:left="4746" w:hanging="360"/>
      </w:pPr>
    </w:lvl>
    <w:lvl w:ilvl="7" w:tplc="0FB4D6DC">
      <w:start w:val="1"/>
      <w:numFmt w:val="lowerLetter"/>
      <w:lvlText w:val="%8."/>
      <w:lvlJc w:val="left"/>
      <w:pPr>
        <w:ind w:left="5466" w:hanging="360"/>
      </w:pPr>
    </w:lvl>
    <w:lvl w:ilvl="8" w:tplc="51DA72C6">
      <w:start w:val="1"/>
      <w:numFmt w:val="lowerRoman"/>
      <w:lvlText w:val="%9."/>
      <w:lvlJc w:val="right"/>
      <w:pPr>
        <w:ind w:left="6186" w:hanging="180"/>
      </w:pPr>
    </w:lvl>
  </w:abstractNum>
  <w:abstractNum w:abstractNumId="23" w15:restartNumberingAfterBreak="0">
    <w:nsid w:val="777B6A61"/>
    <w:multiLevelType w:val="hybridMultilevel"/>
    <w:tmpl w:val="D3D673B0"/>
    <w:lvl w:ilvl="0" w:tplc="58B48D6C">
      <w:start w:val="1"/>
      <w:numFmt w:val="bullet"/>
      <w:lvlText w:val=""/>
      <w:lvlJc w:val="left"/>
      <w:pPr>
        <w:ind w:left="360" w:hanging="360"/>
      </w:pPr>
      <w:rPr>
        <w:rFonts w:ascii="Wingdings" w:hAnsi="Wingdings" w:hint="default"/>
      </w:rPr>
    </w:lvl>
    <w:lvl w:ilvl="1" w:tplc="D67262DE" w:tentative="1">
      <w:start w:val="1"/>
      <w:numFmt w:val="bullet"/>
      <w:lvlText w:val="o"/>
      <w:lvlJc w:val="left"/>
      <w:pPr>
        <w:ind w:left="1080" w:hanging="360"/>
      </w:pPr>
      <w:rPr>
        <w:rFonts w:ascii="Courier New" w:hAnsi="Courier New" w:hint="default"/>
      </w:rPr>
    </w:lvl>
    <w:lvl w:ilvl="2" w:tplc="3B721378" w:tentative="1">
      <w:start w:val="1"/>
      <w:numFmt w:val="bullet"/>
      <w:lvlText w:val=""/>
      <w:lvlJc w:val="left"/>
      <w:pPr>
        <w:ind w:left="1800" w:hanging="360"/>
      </w:pPr>
      <w:rPr>
        <w:rFonts w:ascii="Wingdings" w:hAnsi="Wingdings" w:hint="default"/>
      </w:rPr>
    </w:lvl>
    <w:lvl w:ilvl="3" w:tplc="2C681D2C" w:tentative="1">
      <w:start w:val="1"/>
      <w:numFmt w:val="bullet"/>
      <w:lvlText w:val=""/>
      <w:lvlJc w:val="left"/>
      <w:pPr>
        <w:ind w:left="2520" w:hanging="360"/>
      </w:pPr>
      <w:rPr>
        <w:rFonts w:ascii="Symbol" w:hAnsi="Symbol" w:hint="default"/>
      </w:rPr>
    </w:lvl>
    <w:lvl w:ilvl="4" w:tplc="6AE0B12C" w:tentative="1">
      <w:start w:val="1"/>
      <w:numFmt w:val="bullet"/>
      <w:lvlText w:val="o"/>
      <w:lvlJc w:val="left"/>
      <w:pPr>
        <w:ind w:left="3240" w:hanging="360"/>
      </w:pPr>
      <w:rPr>
        <w:rFonts w:ascii="Courier New" w:hAnsi="Courier New" w:hint="default"/>
      </w:rPr>
    </w:lvl>
    <w:lvl w:ilvl="5" w:tplc="816C7FB2" w:tentative="1">
      <w:start w:val="1"/>
      <w:numFmt w:val="bullet"/>
      <w:lvlText w:val=""/>
      <w:lvlJc w:val="left"/>
      <w:pPr>
        <w:ind w:left="3960" w:hanging="360"/>
      </w:pPr>
      <w:rPr>
        <w:rFonts w:ascii="Wingdings" w:hAnsi="Wingdings" w:hint="default"/>
      </w:rPr>
    </w:lvl>
    <w:lvl w:ilvl="6" w:tplc="5F82812E" w:tentative="1">
      <w:start w:val="1"/>
      <w:numFmt w:val="bullet"/>
      <w:lvlText w:val=""/>
      <w:lvlJc w:val="left"/>
      <w:pPr>
        <w:ind w:left="4680" w:hanging="360"/>
      </w:pPr>
      <w:rPr>
        <w:rFonts w:ascii="Symbol" w:hAnsi="Symbol" w:hint="default"/>
      </w:rPr>
    </w:lvl>
    <w:lvl w:ilvl="7" w:tplc="3B00D3EE" w:tentative="1">
      <w:start w:val="1"/>
      <w:numFmt w:val="bullet"/>
      <w:lvlText w:val="o"/>
      <w:lvlJc w:val="left"/>
      <w:pPr>
        <w:ind w:left="5400" w:hanging="360"/>
      </w:pPr>
      <w:rPr>
        <w:rFonts w:ascii="Courier New" w:hAnsi="Courier New" w:hint="default"/>
      </w:rPr>
    </w:lvl>
    <w:lvl w:ilvl="8" w:tplc="E76CD3EE" w:tentative="1">
      <w:start w:val="1"/>
      <w:numFmt w:val="bullet"/>
      <w:lvlText w:val=""/>
      <w:lvlJc w:val="left"/>
      <w:pPr>
        <w:ind w:left="6120" w:hanging="360"/>
      </w:pPr>
      <w:rPr>
        <w:rFonts w:ascii="Wingdings" w:hAnsi="Wingdings" w:hint="default"/>
      </w:rPr>
    </w:lvl>
  </w:abstractNum>
  <w:abstractNum w:abstractNumId="24" w15:restartNumberingAfterBreak="0">
    <w:nsid w:val="7D3BE52B"/>
    <w:multiLevelType w:val="hybridMultilevel"/>
    <w:tmpl w:val="FFFFFFFF"/>
    <w:lvl w:ilvl="0" w:tplc="464052B0">
      <w:start w:val="1"/>
      <w:numFmt w:val="bullet"/>
      <w:lvlText w:val=""/>
      <w:lvlJc w:val="left"/>
      <w:pPr>
        <w:ind w:left="1080" w:hanging="360"/>
      </w:pPr>
      <w:rPr>
        <w:rFonts w:ascii="Symbol" w:hAnsi="Symbol" w:hint="default"/>
      </w:rPr>
    </w:lvl>
    <w:lvl w:ilvl="1" w:tplc="BA9C7796">
      <w:start w:val="1"/>
      <w:numFmt w:val="bullet"/>
      <w:lvlText w:val="o"/>
      <w:lvlJc w:val="left"/>
      <w:pPr>
        <w:ind w:left="1800" w:hanging="360"/>
      </w:pPr>
      <w:rPr>
        <w:rFonts w:ascii="Courier New" w:hAnsi="Courier New" w:hint="default"/>
      </w:rPr>
    </w:lvl>
    <w:lvl w:ilvl="2" w:tplc="38661418">
      <w:start w:val="1"/>
      <w:numFmt w:val="bullet"/>
      <w:lvlText w:val=""/>
      <w:lvlJc w:val="left"/>
      <w:pPr>
        <w:ind w:left="2520" w:hanging="360"/>
      </w:pPr>
      <w:rPr>
        <w:rFonts w:ascii="Wingdings" w:hAnsi="Wingdings" w:hint="default"/>
      </w:rPr>
    </w:lvl>
    <w:lvl w:ilvl="3" w:tplc="2E363BF6">
      <w:start w:val="1"/>
      <w:numFmt w:val="bullet"/>
      <w:lvlText w:val=""/>
      <w:lvlJc w:val="left"/>
      <w:pPr>
        <w:ind w:left="3240" w:hanging="360"/>
      </w:pPr>
      <w:rPr>
        <w:rFonts w:ascii="Symbol" w:hAnsi="Symbol" w:hint="default"/>
      </w:rPr>
    </w:lvl>
    <w:lvl w:ilvl="4" w:tplc="D9622B46">
      <w:start w:val="1"/>
      <w:numFmt w:val="bullet"/>
      <w:lvlText w:val="o"/>
      <w:lvlJc w:val="left"/>
      <w:pPr>
        <w:ind w:left="3960" w:hanging="360"/>
      </w:pPr>
      <w:rPr>
        <w:rFonts w:ascii="Courier New" w:hAnsi="Courier New" w:hint="default"/>
      </w:rPr>
    </w:lvl>
    <w:lvl w:ilvl="5" w:tplc="664ABEE0">
      <w:start w:val="1"/>
      <w:numFmt w:val="bullet"/>
      <w:lvlText w:val=""/>
      <w:lvlJc w:val="left"/>
      <w:pPr>
        <w:ind w:left="4680" w:hanging="360"/>
      </w:pPr>
      <w:rPr>
        <w:rFonts w:ascii="Wingdings" w:hAnsi="Wingdings" w:hint="default"/>
      </w:rPr>
    </w:lvl>
    <w:lvl w:ilvl="6" w:tplc="0CA8F7EE">
      <w:start w:val="1"/>
      <w:numFmt w:val="bullet"/>
      <w:lvlText w:val=""/>
      <w:lvlJc w:val="left"/>
      <w:pPr>
        <w:ind w:left="5400" w:hanging="360"/>
      </w:pPr>
      <w:rPr>
        <w:rFonts w:ascii="Symbol" w:hAnsi="Symbol" w:hint="default"/>
      </w:rPr>
    </w:lvl>
    <w:lvl w:ilvl="7" w:tplc="0BA413E8">
      <w:start w:val="1"/>
      <w:numFmt w:val="bullet"/>
      <w:lvlText w:val="o"/>
      <w:lvlJc w:val="left"/>
      <w:pPr>
        <w:ind w:left="6120" w:hanging="360"/>
      </w:pPr>
      <w:rPr>
        <w:rFonts w:ascii="Courier New" w:hAnsi="Courier New" w:hint="default"/>
      </w:rPr>
    </w:lvl>
    <w:lvl w:ilvl="8" w:tplc="1E26D868">
      <w:start w:val="1"/>
      <w:numFmt w:val="bullet"/>
      <w:lvlText w:val=""/>
      <w:lvlJc w:val="left"/>
      <w:pPr>
        <w:ind w:left="6840" w:hanging="360"/>
      </w:pPr>
      <w:rPr>
        <w:rFonts w:ascii="Wingdings" w:hAnsi="Wingdings" w:hint="default"/>
      </w:rPr>
    </w:lvl>
  </w:abstractNum>
  <w:abstractNum w:abstractNumId="25" w15:restartNumberingAfterBreak="0">
    <w:nsid w:val="7D8FA758"/>
    <w:multiLevelType w:val="hybridMultilevel"/>
    <w:tmpl w:val="FFFFFFFF"/>
    <w:lvl w:ilvl="0" w:tplc="A6C0812A">
      <w:numFmt w:val="decimal"/>
      <w:lvlText w:val=""/>
      <w:lvlJc w:val="left"/>
      <w:pPr>
        <w:tabs>
          <w:tab w:val="num" w:pos="360"/>
        </w:tabs>
      </w:pPr>
    </w:lvl>
    <w:lvl w:ilvl="1" w:tplc="A7E6CE8A">
      <w:start w:val="1"/>
      <w:numFmt w:val="lowerLetter"/>
      <w:lvlText w:val="%2."/>
      <w:lvlJc w:val="left"/>
      <w:pPr>
        <w:ind w:left="2160" w:hanging="360"/>
      </w:pPr>
    </w:lvl>
    <w:lvl w:ilvl="2" w:tplc="0096F2B6">
      <w:start w:val="1"/>
      <w:numFmt w:val="lowerRoman"/>
      <w:lvlText w:val="%3."/>
      <w:lvlJc w:val="right"/>
      <w:pPr>
        <w:ind w:left="2880" w:hanging="180"/>
      </w:pPr>
    </w:lvl>
    <w:lvl w:ilvl="3" w:tplc="B5D2B080">
      <w:start w:val="1"/>
      <w:numFmt w:val="decimal"/>
      <w:lvlText w:val="%4."/>
      <w:lvlJc w:val="left"/>
      <w:pPr>
        <w:ind w:left="3600" w:hanging="360"/>
      </w:pPr>
    </w:lvl>
    <w:lvl w:ilvl="4" w:tplc="B76EAF10">
      <w:start w:val="1"/>
      <w:numFmt w:val="lowerLetter"/>
      <w:lvlText w:val="%5."/>
      <w:lvlJc w:val="left"/>
      <w:pPr>
        <w:ind w:left="4320" w:hanging="360"/>
      </w:pPr>
    </w:lvl>
    <w:lvl w:ilvl="5" w:tplc="8CB47A08">
      <w:start w:val="1"/>
      <w:numFmt w:val="lowerRoman"/>
      <w:lvlText w:val="%6."/>
      <w:lvlJc w:val="right"/>
      <w:pPr>
        <w:ind w:left="5040" w:hanging="180"/>
      </w:pPr>
    </w:lvl>
    <w:lvl w:ilvl="6" w:tplc="EEF84FE0">
      <w:start w:val="1"/>
      <w:numFmt w:val="decimal"/>
      <w:lvlText w:val="%7."/>
      <w:lvlJc w:val="left"/>
      <w:pPr>
        <w:ind w:left="5760" w:hanging="360"/>
      </w:pPr>
    </w:lvl>
    <w:lvl w:ilvl="7" w:tplc="D32254B6">
      <w:start w:val="1"/>
      <w:numFmt w:val="lowerLetter"/>
      <w:lvlText w:val="%8."/>
      <w:lvlJc w:val="left"/>
      <w:pPr>
        <w:ind w:left="6480" w:hanging="360"/>
      </w:pPr>
    </w:lvl>
    <w:lvl w:ilvl="8" w:tplc="1CFEC15C">
      <w:start w:val="1"/>
      <w:numFmt w:val="lowerRoman"/>
      <w:lvlText w:val="%9."/>
      <w:lvlJc w:val="right"/>
      <w:pPr>
        <w:ind w:left="7200" w:hanging="180"/>
      </w:pPr>
    </w:lvl>
  </w:abstractNum>
  <w:num w:numId="1" w16cid:durableId="1921325390">
    <w:abstractNumId w:val="13"/>
  </w:num>
  <w:num w:numId="2" w16cid:durableId="1263029615">
    <w:abstractNumId w:val="3"/>
  </w:num>
  <w:num w:numId="3" w16cid:durableId="1368288150">
    <w:abstractNumId w:val="25"/>
  </w:num>
  <w:num w:numId="4" w16cid:durableId="1087385510">
    <w:abstractNumId w:val="8"/>
  </w:num>
  <w:num w:numId="5" w16cid:durableId="992175414">
    <w:abstractNumId w:val="9"/>
  </w:num>
  <w:num w:numId="6" w16cid:durableId="1963605859">
    <w:abstractNumId w:val="4"/>
  </w:num>
  <w:num w:numId="7" w16cid:durableId="2021811667">
    <w:abstractNumId w:val="20"/>
  </w:num>
  <w:num w:numId="8" w16cid:durableId="75980007">
    <w:abstractNumId w:val="19"/>
  </w:num>
  <w:num w:numId="9" w16cid:durableId="740713183">
    <w:abstractNumId w:val="12"/>
  </w:num>
  <w:num w:numId="10" w16cid:durableId="1137142772">
    <w:abstractNumId w:val="15"/>
  </w:num>
  <w:num w:numId="11" w16cid:durableId="478033850">
    <w:abstractNumId w:val="18"/>
  </w:num>
  <w:num w:numId="12" w16cid:durableId="277688808">
    <w:abstractNumId w:val="14"/>
  </w:num>
  <w:num w:numId="13" w16cid:durableId="139613991">
    <w:abstractNumId w:val="11"/>
  </w:num>
  <w:num w:numId="14" w16cid:durableId="1997880660">
    <w:abstractNumId w:val="21"/>
  </w:num>
  <w:num w:numId="15" w16cid:durableId="1512260250">
    <w:abstractNumId w:val="5"/>
  </w:num>
  <w:num w:numId="16" w16cid:durableId="147551353">
    <w:abstractNumId w:val="16"/>
  </w:num>
  <w:num w:numId="17" w16cid:durableId="1755853190">
    <w:abstractNumId w:val="1"/>
  </w:num>
  <w:num w:numId="18" w16cid:durableId="290787392">
    <w:abstractNumId w:val="2"/>
  </w:num>
  <w:num w:numId="19" w16cid:durableId="1324820010">
    <w:abstractNumId w:val="24"/>
  </w:num>
  <w:num w:numId="20" w16cid:durableId="608127987">
    <w:abstractNumId w:val="6"/>
  </w:num>
  <w:num w:numId="21" w16cid:durableId="1837570671">
    <w:abstractNumId w:val="0"/>
  </w:num>
  <w:num w:numId="22" w16cid:durableId="951981910">
    <w:abstractNumId w:val="23"/>
  </w:num>
  <w:num w:numId="23" w16cid:durableId="1587032500">
    <w:abstractNumId w:val="17"/>
  </w:num>
  <w:num w:numId="24" w16cid:durableId="1089039350">
    <w:abstractNumId w:val="22"/>
  </w:num>
  <w:num w:numId="25" w16cid:durableId="324166521">
    <w:abstractNumId w:val="7"/>
  </w:num>
  <w:num w:numId="26" w16cid:durableId="13776622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FB"/>
    <w:rsid w:val="000112DD"/>
    <w:rsid w:val="0001700A"/>
    <w:rsid w:val="00022272"/>
    <w:rsid w:val="000228FE"/>
    <w:rsid w:val="00022C50"/>
    <w:rsid w:val="0003624D"/>
    <w:rsid w:val="00042586"/>
    <w:rsid w:val="0007282E"/>
    <w:rsid w:val="00083CE3"/>
    <w:rsid w:val="000A5A5C"/>
    <w:rsid w:val="000B5633"/>
    <w:rsid w:val="000C7674"/>
    <w:rsid w:val="000D71B0"/>
    <w:rsid w:val="00107044"/>
    <w:rsid w:val="00114832"/>
    <w:rsid w:val="00146F4B"/>
    <w:rsid w:val="001641B5"/>
    <w:rsid w:val="00166F55"/>
    <w:rsid w:val="001673A9"/>
    <w:rsid w:val="00172123"/>
    <w:rsid w:val="001944D1"/>
    <w:rsid w:val="001A786D"/>
    <w:rsid w:val="001BF032"/>
    <w:rsid w:val="001C1248"/>
    <w:rsid w:val="001F6454"/>
    <w:rsid w:val="0020505C"/>
    <w:rsid w:val="00215B74"/>
    <w:rsid w:val="002232AF"/>
    <w:rsid w:val="002255BE"/>
    <w:rsid w:val="00232249"/>
    <w:rsid w:val="00233A64"/>
    <w:rsid w:val="00235729"/>
    <w:rsid w:val="00254B6D"/>
    <w:rsid w:val="0026076F"/>
    <w:rsid w:val="00261929"/>
    <w:rsid w:val="0026397C"/>
    <w:rsid w:val="0027513B"/>
    <w:rsid w:val="00275CB2"/>
    <w:rsid w:val="002771AC"/>
    <w:rsid w:val="0028668C"/>
    <w:rsid w:val="002A0F9E"/>
    <w:rsid w:val="002A4174"/>
    <w:rsid w:val="002B4F6B"/>
    <w:rsid w:val="002D71A9"/>
    <w:rsid w:val="002E631F"/>
    <w:rsid w:val="002EA2BF"/>
    <w:rsid w:val="002F15B8"/>
    <w:rsid w:val="002F2931"/>
    <w:rsid w:val="00356368"/>
    <w:rsid w:val="00360071"/>
    <w:rsid w:val="0038316E"/>
    <w:rsid w:val="003849CA"/>
    <w:rsid w:val="003A5F21"/>
    <w:rsid w:val="003C1B0F"/>
    <w:rsid w:val="003E688E"/>
    <w:rsid w:val="003F269F"/>
    <w:rsid w:val="003F7921"/>
    <w:rsid w:val="004061E8"/>
    <w:rsid w:val="00434D47"/>
    <w:rsid w:val="00471ACF"/>
    <w:rsid w:val="00476723"/>
    <w:rsid w:val="0049765A"/>
    <w:rsid w:val="004A09DB"/>
    <w:rsid w:val="004A3B5E"/>
    <w:rsid w:val="004B12E4"/>
    <w:rsid w:val="004B2D78"/>
    <w:rsid w:val="004B58A1"/>
    <w:rsid w:val="004B6690"/>
    <w:rsid w:val="004C0625"/>
    <w:rsid w:val="004C753A"/>
    <w:rsid w:val="004D3BB4"/>
    <w:rsid w:val="004D71F5"/>
    <w:rsid w:val="004F5BDD"/>
    <w:rsid w:val="00503B78"/>
    <w:rsid w:val="00503B94"/>
    <w:rsid w:val="005162CE"/>
    <w:rsid w:val="00517314"/>
    <w:rsid w:val="00527AE1"/>
    <w:rsid w:val="00533FED"/>
    <w:rsid w:val="00534398"/>
    <w:rsid w:val="00544F68"/>
    <w:rsid w:val="005537FA"/>
    <w:rsid w:val="005720C7"/>
    <w:rsid w:val="005A50B3"/>
    <w:rsid w:val="005A5A8F"/>
    <w:rsid w:val="005C3413"/>
    <w:rsid w:val="005C5749"/>
    <w:rsid w:val="005D2C37"/>
    <w:rsid w:val="005E44B9"/>
    <w:rsid w:val="005F3268"/>
    <w:rsid w:val="0065228B"/>
    <w:rsid w:val="00661943"/>
    <w:rsid w:val="006D233E"/>
    <w:rsid w:val="006D547B"/>
    <w:rsid w:val="006E07F6"/>
    <w:rsid w:val="006E4FE3"/>
    <w:rsid w:val="00704837"/>
    <w:rsid w:val="00706D9E"/>
    <w:rsid w:val="00714D28"/>
    <w:rsid w:val="0072259B"/>
    <w:rsid w:val="00731240"/>
    <w:rsid w:val="00731677"/>
    <w:rsid w:val="00761E6B"/>
    <w:rsid w:val="00765C10"/>
    <w:rsid w:val="00774BF9"/>
    <w:rsid w:val="0078401E"/>
    <w:rsid w:val="00791200"/>
    <w:rsid w:val="007A42DE"/>
    <w:rsid w:val="007B7007"/>
    <w:rsid w:val="007C790B"/>
    <w:rsid w:val="007D37DD"/>
    <w:rsid w:val="007E2D81"/>
    <w:rsid w:val="007F2CFC"/>
    <w:rsid w:val="0081081F"/>
    <w:rsid w:val="0081313B"/>
    <w:rsid w:val="0081685A"/>
    <w:rsid w:val="00821DFC"/>
    <w:rsid w:val="00823AC1"/>
    <w:rsid w:val="008249DE"/>
    <w:rsid w:val="008340B0"/>
    <w:rsid w:val="00854E6B"/>
    <w:rsid w:val="00864463"/>
    <w:rsid w:val="00865625"/>
    <w:rsid w:val="008717E5"/>
    <w:rsid w:val="00873ACC"/>
    <w:rsid w:val="0088A43D"/>
    <w:rsid w:val="00893C64"/>
    <w:rsid w:val="00894058"/>
    <w:rsid w:val="00897031"/>
    <w:rsid w:val="008C31B6"/>
    <w:rsid w:val="008E4EE4"/>
    <w:rsid w:val="008F68A2"/>
    <w:rsid w:val="00903319"/>
    <w:rsid w:val="00903C5F"/>
    <w:rsid w:val="009163D1"/>
    <w:rsid w:val="00926455"/>
    <w:rsid w:val="00930FFB"/>
    <w:rsid w:val="00933AB9"/>
    <w:rsid w:val="009370C3"/>
    <w:rsid w:val="009456A9"/>
    <w:rsid w:val="00972175"/>
    <w:rsid w:val="009857F0"/>
    <w:rsid w:val="009A2FBA"/>
    <w:rsid w:val="009B2BDF"/>
    <w:rsid w:val="009B3D44"/>
    <w:rsid w:val="009C0452"/>
    <w:rsid w:val="009C6D1C"/>
    <w:rsid w:val="009D4B4C"/>
    <w:rsid w:val="009E0F05"/>
    <w:rsid w:val="009E19D8"/>
    <w:rsid w:val="00A00B01"/>
    <w:rsid w:val="00A04BAB"/>
    <w:rsid w:val="00A07CE4"/>
    <w:rsid w:val="00A10688"/>
    <w:rsid w:val="00A114C0"/>
    <w:rsid w:val="00A412BA"/>
    <w:rsid w:val="00A50D2E"/>
    <w:rsid w:val="00A55DC6"/>
    <w:rsid w:val="00A60CC4"/>
    <w:rsid w:val="00A62A89"/>
    <w:rsid w:val="00A73E23"/>
    <w:rsid w:val="00A9145F"/>
    <w:rsid w:val="00A92391"/>
    <w:rsid w:val="00A97896"/>
    <w:rsid w:val="00AA7D1B"/>
    <w:rsid w:val="00AB11E4"/>
    <w:rsid w:val="00AD4EBD"/>
    <w:rsid w:val="00B03E65"/>
    <w:rsid w:val="00B14ABF"/>
    <w:rsid w:val="00B2253B"/>
    <w:rsid w:val="00B54CE1"/>
    <w:rsid w:val="00B9105A"/>
    <w:rsid w:val="00B9710C"/>
    <w:rsid w:val="00BA0499"/>
    <w:rsid w:val="00BD02E3"/>
    <w:rsid w:val="00C04B46"/>
    <w:rsid w:val="00C073C5"/>
    <w:rsid w:val="00C34A54"/>
    <w:rsid w:val="00C513F3"/>
    <w:rsid w:val="00C55DDC"/>
    <w:rsid w:val="00C61926"/>
    <w:rsid w:val="00C724EE"/>
    <w:rsid w:val="00C854AE"/>
    <w:rsid w:val="00C85551"/>
    <w:rsid w:val="00C91588"/>
    <w:rsid w:val="00CA57F5"/>
    <w:rsid w:val="00CB094D"/>
    <w:rsid w:val="00CD2981"/>
    <w:rsid w:val="00CD2EA3"/>
    <w:rsid w:val="00CD4D7F"/>
    <w:rsid w:val="00CF4CD1"/>
    <w:rsid w:val="00CF610D"/>
    <w:rsid w:val="00D01248"/>
    <w:rsid w:val="00D07DAD"/>
    <w:rsid w:val="00D15D58"/>
    <w:rsid w:val="00D31B00"/>
    <w:rsid w:val="00D431FD"/>
    <w:rsid w:val="00D46207"/>
    <w:rsid w:val="00D5205E"/>
    <w:rsid w:val="00D56699"/>
    <w:rsid w:val="00D62501"/>
    <w:rsid w:val="00D678AE"/>
    <w:rsid w:val="00D71636"/>
    <w:rsid w:val="00D8437F"/>
    <w:rsid w:val="00DB3B67"/>
    <w:rsid w:val="00DB5A39"/>
    <w:rsid w:val="00DE2543"/>
    <w:rsid w:val="00DE4BAB"/>
    <w:rsid w:val="00E017F9"/>
    <w:rsid w:val="00E04B5F"/>
    <w:rsid w:val="00E3646C"/>
    <w:rsid w:val="00E44377"/>
    <w:rsid w:val="00E55FCF"/>
    <w:rsid w:val="00EB7B2E"/>
    <w:rsid w:val="00EC15AF"/>
    <w:rsid w:val="00ED02A5"/>
    <w:rsid w:val="00EE1B8A"/>
    <w:rsid w:val="00EE3AC5"/>
    <w:rsid w:val="00EF20E6"/>
    <w:rsid w:val="00F06530"/>
    <w:rsid w:val="00F11664"/>
    <w:rsid w:val="00F273B1"/>
    <w:rsid w:val="00F343CD"/>
    <w:rsid w:val="00F65033"/>
    <w:rsid w:val="00F65E21"/>
    <w:rsid w:val="00F710CC"/>
    <w:rsid w:val="00F86756"/>
    <w:rsid w:val="00F9120C"/>
    <w:rsid w:val="00F95388"/>
    <w:rsid w:val="00FA7F01"/>
    <w:rsid w:val="00FB050D"/>
    <w:rsid w:val="00FB2168"/>
    <w:rsid w:val="00FD51B9"/>
    <w:rsid w:val="00FE0A08"/>
    <w:rsid w:val="01005023"/>
    <w:rsid w:val="01175717"/>
    <w:rsid w:val="013DACAE"/>
    <w:rsid w:val="01AEB069"/>
    <w:rsid w:val="01C098DE"/>
    <w:rsid w:val="024D6063"/>
    <w:rsid w:val="029922F4"/>
    <w:rsid w:val="02B04B58"/>
    <w:rsid w:val="02D16310"/>
    <w:rsid w:val="02F7B716"/>
    <w:rsid w:val="02F7FC44"/>
    <w:rsid w:val="02FE016B"/>
    <w:rsid w:val="03781007"/>
    <w:rsid w:val="03795C77"/>
    <w:rsid w:val="03AC587A"/>
    <w:rsid w:val="03FB0DDC"/>
    <w:rsid w:val="0423C0F2"/>
    <w:rsid w:val="0433689B"/>
    <w:rsid w:val="045C8E50"/>
    <w:rsid w:val="04B8CE05"/>
    <w:rsid w:val="05017D64"/>
    <w:rsid w:val="051C463D"/>
    <w:rsid w:val="052708A0"/>
    <w:rsid w:val="053EAC76"/>
    <w:rsid w:val="056D94C5"/>
    <w:rsid w:val="0571777D"/>
    <w:rsid w:val="05BF0476"/>
    <w:rsid w:val="05C9C8B7"/>
    <w:rsid w:val="05E6DF2F"/>
    <w:rsid w:val="05F45EE1"/>
    <w:rsid w:val="06056693"/>
    <w:rsid w:val="0619CC7B"/>
    <w:rsid w:val="068E02B4"/>
    <w:rsid w:val="06B0133C"/>
    <w:rsid w:val="06C5C1EA"/>
    <w:rsid w:val="06CD18B8"/>
    <w:rsid w:val="06E2307C"/>
    <w:rsid w:val="07189C3C"/>
    <w:rsid w:val="0755DCDC"/>
    <w:rsid w:val="076D65B5"/>
    <w:rsid w:val="07893B72"/>
    <w:rsid w:val="0789B549"/>
    <w:rsid w:val="07B4D93D"/>
    <w:rsid w:val="07C8CC88"/>
    <w:rsid w:val="07E2D3D2"/>
    <w:rsid w:val="07F092C0"/>
    <w:rsid w:val="07FD9349"/>
    <w:rsid w:val="0827F606"/>
    <w:rsid w:val="0857576A"/>
    <w:rsid w:val="0863FF69"/>
    <w:rsid w:val="08BD315E"/>
    <w:rsid w:val="08D6B5D6"/>
    <w:rsid w:val="093C4EA5"/>
    <w:rsid w:val="0949AFF7"/>
    <w:rsid w:val="094B41D0"/>
    <w:rsid w:val="09557D65"/>
    <w:rsid w:val="09691114"/>
    <w:rsid w:val="09E320FD"/>
    <w:rsid w:val="09EA1301"/>
    <w:rsid w:val="09FC2497"/>
    <w:rsid w:val="0A24D72F"/>
    <w:rsid w:val="0A3166F2"/>
    <w:rsid w:val="0A3D4E67"/>
    <w:rsid w:val="0A461BDB"/>
    <w:rsid w:val="0A4A44EE"/>
    <w:rsid w:val="0B1923F6"/>
    <w:rsid w:val="0B3F4BFE"/>
    <w:rsid w:val="0B6A473E"/>
    <w:rsid w:val="0B8C1C07"/>
    <w:rsid w:val="0BA89402"/>
    <w:rsid w:val="0BF8BD34"/>
    <w:rsid w:val="0BFEC69C"/>
    <w:rsid w:val="0C30B956"/>
    <w:rsid w:val="0C3F28DC"/>
    <w:rsid w:val="0C4029A9"/>
    <w:rsid w:val="0C5196A1"/>
    <w:rsid w:val="0C639EF2"/>
    <w:rsid w:val="0C71DF14"/>
    <w:rsid w:val="0C723A25"/>
    <w:rsid w:val="0C7EE80D"/>
    <w:rsid w:val="0C876B01"/>
    <w:rsid w:val="0C97C237"/>
    <w:rsid w:val="0CC7C6B9"/>
    <w:rsid w:val="0CE53704"/>
    <w:rsid w:val="0D22DA8D"/>
    <w:rsid w:val="0D26B005"/>
    <w:rsid w:val="0D512522"/>
    <w:rsid w:val="0D78E24F"/>
    <w:rsid w:val="0D9BEC4E"/>
    <w:rsid w:val="0DADD03C"/>
    <w:rsid w:val="0DCD0B82"/>
    <w:rsid w:val="0E111D83"/>
    <w:rsid w:val="0E1AB5C4"/>
    <w:rsid w:val="0E2BFB6F"/>
    <w:rsid w:val="0E68E313"/>
    <w:rsid w:val="0E8278E0"/>
    <w:rsid w:val="0E94B434"/>
    <w:rsid w:val="0EB92A09"/>
    <w:rsid w:val="0EF0FA53"/>
    <w:rsid w:val="0F1D2D68"/>
    <w:rsid w:val="0F328115"/>
    <w:rsid w:val="0F5002F9"/>
    <w:rsid w:val="0F5A3DB0"/>
    <w:rsid w:val="0F705C3B"/>
    <w:rsid w:val="0FA9B319"/>
    <w:rsid w:val="0FB62520"/>
    <w:rsid w:val="0FEB437C"/>
    <w:rsid w:val="0FF17888"/>
    <w:rsid w:val="1017CF97"/>
    <w:rsid w:val="1025607E"/>
    <w:rsid w:val="1044E8FE"/>
    <w:rsid w:val="10CD3723"/>
    <w:rsid w:val="10E62922"/>
    <w:rsid w:val="10E9F6E6"/>
    <w:rsid w:val="11041D9B"/>
    <w:rsid w:val="11071E62"/>
    <w:rsid w:val="1122DA65"/>
    <w:rsid w:val="113F1B70"/>
    <w:rsid w:val="1140923C"/>
    <w:rsid w:val="114DA173"/>
    <w:rsid w:val="11874559"/>
    <w:rsid w:val="119DE2D0"/>
    <w:rsid w:val="11D67664"/>
    <w:rsid w:val="11F6AB40"/>
    <w:rsid w:val="1221E3F1"/>
    <w:rsid w:val="1244CA2C"/>
    <w:rsid w:val="126E6D78"/>
    <w:rsid w:val="127B9DF9"/>
    <w:rsid w:val="134B18E7"/>
    <w:rsid w:val="13D64A13"/>
    <w:rsid w:val="13EEB4E5"/>
    <w:rsid w:val="1408A946"/>
    <w:rsid w:val="14433FAF"/>
    <w:rsid w:val="144A9E16"/>
    <w:rsid w:val="14984FAF"/>
    <w:rsid w:val="14A553D5"/>
    <w:rsid w:val="14A9ED96"/>
    <w:rsid w:val="14AB1500"/>
    <w:rsid w:val="14C1D9F8"/>
    <w:rsid w:val="14D191C5"/>
    <w:rsid w:val="14D9BFE5"/>
    <w:rsid w:val="14E22EC7"/>
    <w:rsid w:val="1510D9C7"/>
    <w:rsid w:val="15186FE8"/>
    <w:rsid w:val="152E9EB2"/>
    <w:rsid w:val="155164AC"/>
    <w:rsid w:val="15642708"/>
    <w:rsid w:val="1595A6BA"/>
    <w:rsid w:val="15AD85CA"/>
    <w:rsid w:val="15BB28E7"/>
    <w:rsid w:val="15BF7609"/>
    <w:rsid w:val="15D3B3C0"/>
    <w:rsid w:val="15EC901A"/>
    <w:rsid w:val="161D2D5F"/>
    <w:rsid w:val="162E6E51"/>
    <w:rsid w:val="1648EFF6"/>
    <w:rsid w:val="16490696"/>
    <w:rsid w:val="165F98BC"/>
    <w:rsid w:val="1686C217"/>
    <w:rsid w:val="1690E77B"/>
    <w:rsid w:val="16CAD282"/>
    <w:rsid w:val="16CC20F8"/>
    <w:rsid w:val="16E5FB49"/>
    <w:rsid w:val="16FAFB86"/>
    <w:rsid w:val="17170F8F"/>
    <w:rsid w:val="1727DFD0"/>
    <w:rsid w:val="17A2A4AF"/>
    <w:rsid w:val="17B6A458"/>
    <w:rsid w:val="17E9A5CE"/>
    <w:rsid w:val="17EB81FF"/>
    <w:rsid w:val="1804AEAB"/>
    <w:rsid w:val="181CE72B"/>
    <w:rsid w:val="188605CB"/>
    <w:rsid w:val="188ACB4A"/>
    <w:rsid w:val="18F4E5CB"/>
    <w:rsid w:val="18F5E86E"/>
    <w:rsid w:val="18FE9E18"/>
    <w:rsid w:val="1907C186"/>
    <w:rsid w:val="192FAB59"/>
    <w:rsid w:val="19986B94"/>
    <w:rsid w:val="19AA5855"/>
    <w:rsid w:val="1A0A885E"/>
    <w:rsid w:val="1A1FF8F9"/>
    <w:rsid w:val="1A70EEA9"/>
    <w:rsid w:val="1A892AB7"/>
    <w:rsid w:val="1A911896"/>
    <w:rsid w:val="1AC0165B"/>
    <w:rsid w:val="1AEA7FD1"/>
    <w:rsid w:val="1AFA9390"/>
    <w:rsid w:val="1AFC321E"/>
    <w:rsid w:val="1B2D79B3"/>
    <w:rsid w:val="1B6AAF8E"/>
    <w:rsid w:val="1B79D035"/>
    <w:rsid w:val="1B8F86F4"/>
    <w:rsid w:val="1BB14E53"/>
    <w:rsid w:val="1BBEB883"/>
    <w:rsid w:val="1BCCC7CE"/>
    <w:rsid w:val="1BF3B98D"/>
    <w:rsid w:val="1C35CD7E"/>
    <w:rsid w:val="1C661ECC"/>
    <w:rsid w:val="1CA1242B"/>
    <w:rsid w:val="1CB8E4B6"/>
    <w:rsid w:val="1CF44228"/>
    <w:rsid w:val="1D052C1B"/>
    <w:rsid w:val="1D10919A"/>
    <w:rsid w:val="1D2F7D67"/>
    <w:rsid w:val="1D3FF434"/>
    <w:rsid w:val="1D75F17F"/>
    <w:rsid w:val="1DC84276"/>
    <w:rsid w:val="1DE12A7C"/>
    <w:rsid w:val="1DF58C28"/>
    <w:rsid w:val="1E24F090"/>
    <w:rsid w:val="1E56B098"/>
    <w:rsid w:val="1E617AED"/>
    <w:rsid w:val="1EABFEA0"/>
    <w:rsid w:val="1ED8D8CE"/>
    <w:rsid w:val="1F02B92B"/>
    <w:rsid w:val="1F40733F"/>
    <w:rsid w:val="1F4AF160"/>
    <w:rsid w:val="1F832821"/>
    <w:rsid w:val="1FA480F5"/>
    <w:rsid w:val="1FA92464"/>
    <w:rsid w:val="1FC745CD"/>
    <w:rsid w:val="1FCD67B5"/>
    <w:rsid w:val="204C9D04"/>
    <w:rsid w:val="20865957"/>
    <w:rsid w:val="20EE691A"/>
    <w:rsid w:val="2136BBAE"/>
    <w:rsid w:val="213F943E"/>
    <w:rsid w:val="21424210"/>
    <w:rsid w:val="215663C3"/>
    <w:rsid w:val="219E5DB8"/>
    <w:rsid w:val="21B028E4"/>
    <w:rsid w:val="21EDC177"/>
    <w:rsid w:val="2213C4F4"/>
    <w:rsid w:val="22564AEA"/>
    <w:rsid w:val="227430D8"/>
    <w:rsid w:val="229992D5"/>
    <w:rsid w:val="22B9B7F2"/>
    <w:rsid w:val="232508FE"/>
    <w:rsid w:val="23320F3F"/>
    <w:rsid w:val="2352F8B8"/>
    <w:rsid w:val="2354510B"/>
    <w:rsid w:val="235FD11B"/>
    <w:rsid w:val="2387D648"/>
    <w:rsid w:val="23CBBA24"/>
    <w:rsid w:val="23F5C617"/>
    <w:rsid w:val="2433195F"/>
    <w:rsid w:val="2438B9A6"/>
    <w:rsid w:val="244D2E7F"/>
    <w:rsid w:val="24A64B00"/>
    <w:rsid w:val="24CE49DC"/>
    <w:rsid w:val="24EBEA9D"/>
    <w:rsid w:val="25611380"/>
    <w:rsid w:val="2573EEC3"/>
    <w:rsid w:val="257CC566"/>
    <w:rsid w:val="25CC26DC"/>
    <w:rsid w:val="25E5622D"/>
    <w:rsid w:val="263B72E6"/>
    <w:rsid w:val="266BD0A3"/>
    <w:rsid w:val="268BAF8A"/>
    <w:rsid w:val="26979E20"/>
    <w:rsid w:val="26AF9E9D"/>
    <w:rsid w:val="272FA5EF"/>
    <w:rsid w:val="27342621"/>
    <w:rsid w:val="27366E50"/>
    <w:rsid w:val="273C5A35"/>
    <w:rsid w:val="274D48A7"/>
    <w:rsid w:val="276125F5"/>
    <w:rsid w:val="2767B29B"/>
    <w:rsid w:val="2768779D"/>
    <w:rsid w:val="27A1E99C"/>
    <w:rsid w:val="27B2C101"/>
    <w:rsid w:val="27EBE599"/>
    <w:rsid w:val="281A5B32"/>
    <w:rsid w:val="282F1094"/>
    <w:rsid w:val="283BDA34"/>
    <w:rsid w:val="286240F6"/>
    <w:rsid w:val="286DBDD6"/>
    <w:rsid w:val="2871DCBF"/>
    <w:rsid w:val="28A1C066"/>
    <w:rsid w:val="28D40288"/>
    <w:rsid w:val="290D9B44"/>
    <w:rsid w:val="291AEEFC"/>
    <w:rsid w:val="292701F1"/>
    <w:rsid w:val="2975ADD2"/>
    <w:rsid w:val="297E0B72"/>
    <w:rsid w:val="29868770"/>
    <w:rsid w:val="299BF7F4"/>
    <w:rsid w:val="29AFDA2B"/>
    <w:rsid w:val="29EDF8FC"/>
    <w:rsid w:val="2A55DEC6"/>
    <w:rsid w:val="2A7F5C79"/>
    <w:rsid w:val="2A8FD193"/>
    <w:rsid w:val="2AA946C3"/>
    <w:rsid w:val="2ADE09F6"/>
    <w:rsid w:val="2B0DB315"/>
    <w:rsid w:val="2B2EC440"/>
    <w:rsid w:val="2B2F9BDF"/>
    <w:rsid w:val="2BE5CEDF"/>
    <w:rsid w:val="2C11FF61"/>
    <w:rsid w:val="2C1D1B58"/>
    <w:rsid w:val="2C7B0FCF"/>
    <w:rsid w:val="2C893334"/>
    <w:rsid w:val="2C8CC2A4"/>
    <w:rsid w:val="2CF332BE"/>
    <w:rsid w:val="2D079354"/>
    <w:rsid w:val="2D13B91C"/>
    <w:rsid w:val="2D178555"/>
    <w:rsid w:val="2D3634F1"/>
    <w:rsid w:val="2D4F329D"/>
    <w:rsid w:val="2D648FFC"/>
    <w:rsid w:val="2D6C9A5C"/>
    <w:rsid w:val="2D7A5180"/>
    <w:rsid w:val="2DD3C7E9"/>
    <w:rsid w:val="2DFA957F"/>
    <w:rsid w:val="2E04FF72"/>
    <w:rsid w:val="2E25582D"/>
    <w:rsid w:val="2E2D095D"/>
    <w:rsid w:val="2E3E1C2B"/>
    <w:rsid w:val="2ED072B0"/>
    <w:rsid w:val="2F066D33"/>
    <w:rsid w:val="2F3AC3BC"/>
    <w:rsid w:val="2F43162A"/>
    <w:rsid w:val="2F48066C"/>
    <w:rsid w:val="2F484FDC"/>
    <w:rsid w:val="2F5A8CC1"/>
    <w:rsid w:val="2F617814"/>
    <w:rsid w:val="2FEE15CD"/>
    <w:rsid w:val="3054F4FE"/>
    <w:rsid w:val="3068C4C7"/>
    <w:rsid w:val="30760DBA"/>
    <w:rsid w:val="3079F089"/>
    <w:rsid w:val="308F1D92"/>
    <w:rsid w:val="308F841A"/>
    <w:rsid w:val="30B75EB6"/>
    <w:rsid w:val="30BDBCF8"/>
    <w:rsid w:val="30CD4B59"/>
    <w:rsid w:val="30DAB6B4"/>
    <w:rsid w:val="30FAF3DE"/>
    <w:rsid w:val="3149CE31"/>
    <w:rsid w:val="31583E93"/>
    <w:rsid w:val="315C96AE"/>
    <w:rsid w:val="31667552"/>
    <w:rsid w:val="3169B6ED"/>
    <w:rsid w:val="3173736B"/>
    <w:rsid w:val="3176B638"/>
    <w:rsid w:val="318B7CA4"/>
    <w:rsid w:val="318E212A"/>
    <w:rsid w:val="31D5C3E2"/>
    <w:rsid w:val="31E5936F"/>
    <w:rsid w:val="31F9D88C"/>
    <w:rsid w:val="3230775D"/>
    <w:rsid w:val="3256A3CA"/>
    <w:rsid w:val="325E619D"/>
    <w:rsid w:val="328ED535"/>
    <w:rsid w:val="329C9E50"/>
    <w:rsid w:val="32C4B837"/>
    <w:rsid w:val="32CEB35C"/>
    <w:rsid w:val="32E0252D"/>
    <w:rsid w:val="32E73C45"/>
    <w:rsid w:val="330AB91F"/>
    <w:rsid w:val="331BE4A0"/>
    <w:rsid w:val="33793104"/>
    <w:rsid w:val="3383488C"/>
    <w:rsid w:val="33836B37"/>
    <w:rsid w:val="33D1B898"/>
    <w:rsid w:val="33D75509"/>
    <w:rsid w:val="33DB3621"/>
    <w:rsid w:val="3433F667"/>
    <w:rsid w:val="343E1C3A"/>
    <w:rsid w:val="34558C27"/>
    <w:rsid w:val="348D50E9"/>
    <w:rsid w:val="349F3AA7"/>
    <w:rsid w:val="34A1CF87"/>
    <w:rsid w:val="34C5A8BA"/>
    <w:rsid w:val="34D00B6C"/>
    <w:rsid w:val="34F83ADB"/>
    <w:rsid w:val="3575AD1A"/>
    <w:rsid w:val="359317B7"/>
    <w:rsid w:val="35D70419"/>
    <w:rsid w:val="35DC06AE"/>
    <w:rsid w:val="36357033"/>
    <w:rsid w:val="364EFB21"/>
    <w:rsid w:val="36638420"/>
    <w:rsid w:val="3676F35A"/>
    <w:rsid w:val="36A376F9"/>
    <w:rsid w:val="36AB2779"/>
    <w:rsid w:val="36B0DA5A"/>
    <w:rsid w:val="3777F096"/>
    <w:rsid w:val="37ACF6F2"/>
    <w:rsid w:val="37C5CEBC"/>
    <w:rsid w:val="388F9706"/>
    <w:rsid w:val="389B76E1"/>
    <w:rsid w:val="389F29D0"/>
    <w:rsid w:val="38ACC7C4"/>
    <w:rsid w:val="38E48079"/>
    <w:rsid w:val="391A7C56"/>
    <w:rsid w:val="3954B0F4"/>
    <w:rsid w:val="3960FAAD"/>
    <w:rsid w:val="398B6008"/>
    <w:rsid w:val="39A179B2"/>
    <w:rsid w:val="39A24003"/>
    <w:rsid w:val="39A87D8E"/>
    <w:rsid w:val="39C7E82A"/>
    <w:rsid w:val="39DAABE1"/>
    <w:rsid w:val="39EDA2D0"/>
    <w:rsid w:val="39FFE026"/>
    <w:rsid w:val="3A076430"/>
    <w:rsid w:val="3A56D9E6"/>
    <w:rsid w:val="3A785E47"/>
    <w:rsid w:val="3A7B5028"/>
    <w:rsid w:val="3ABFA6CA"/>
    <w:rsid w:val="3AC9B324"/>
    <w:rsid w:val="3AED314A"/>
    <w:rsid w:val="3AF446EE"/>
    <w:rsid w:val="3B1DDC09"/>
    <w:rsid w:val="3B247CE3"/>
    <w:rsid w:val="3B2D5A47"/>
    <w:rsid w:val="3B5B68E6"/>
    <w:rsid w:val="3B718D63"/>
    <w:rsid w:val="3B7EF5F2"/>
    <w:rsid w:val="3B84B78C"/>
    <w:rsid w:val="3B993125"/>
    <w:rsid w:val="3B9AF321"/>
    <w:rsid w:val="3BA262F3"/>
    <w:rsid w:val="3BB48933"/>
    <w:rsid w:val="3BBA99F2"/>
    <w:rsid w:val="3BBDFF05"/>
    <w:rsid w:val="3C07FF10"/>
    <w:rsid w:val="3C0D18A7"/>
    <w:rsid w:val="3CAFB863"/>
    <w:rsid w:val="3CCCFEB4"/>
    <w:rsid w:val="3CDD4F99"/>
    <w:rsid w:val="3D59E36C"/>
    <w:rsid w:val="3D651F7F"/>
    <w:rsid w:val="3D81324E"/>
    <w:rsid w:val="3DB68AEA"/>
    <w:rsid w:val="3DBE130E"/>
    <w:rsid w:val="3DC838A0"/>
    <w:rsid w:val="3DECA574"/>
    <w:rsid w:val="3E0ECA76"/>
    <w:rsid w:val="3E98FC40"/>
    <w:rsid w:val="3EB5D370"/>
    <w:rsid w:val="3EB9AE1D"/>
    <w:rsid w:val="3EC39418"/>
    <w:rsid w:val="3ED6B6A0"/>
    <w:rsid w:val="3EEF5B38"/>
    <w:rsid w:val="3F19E67B"/>
    <w:rsid w:val="3F1AA09B"/>
    <w:rsid w:val="3F1ED54F"/>
    <w:rsid w:val="3F5D7C69"/>
    <w:rsid w:val="3F738781"/>
    <w:rsid w:val="3FAB8D6E"/>
    <w:rsid w:val="3FAFA524"/>
    <w:rsid w:val="3FB16691"/>
    <w:rsid w:val="3FD54FC9"/>
    <w:rsid w:val="3FEC11C2"/>
    <w:rsid w:val="4005520E"/>
    <w:rsid w:val="40B6D08A"/>
    <w:rsid w:val="40CE056C"/>
    <w:rsid w:val="40D674BF"/>
    <w:rsid w:val="40D804D3"/>
    <w:rsid w:val="40E8FC4F"/>
    <w:rsid w:val="40EFA9B8"/>
    <w:rsid w:val="40F37271"/>
    <w:rsid w:val="415E8894"/>
    <w:rsid w:val="418F927F"/>
    <w:rsid w:val="41B82BA9"/>
    <w:rsid w:val="41C314E5"/>
    <w:rsid w:val="42129394"/>
    <w:rsid w:val="42171E18"/>
    <w:rsid w:val="421A0539"/>
    <w:rsid w:val="42538654"/>
    <w:rsid w:val="4254301C"/>
    <w:rsid w:val="425796F8"/>
    <w:rsid w:val="426C9B66"/>
    <w:rsid w:val="42B75552"/>
    <w:rsid w:val="42CD0702"/>
    <w:rsid w:val="42D9D87A"/>
    <w:rsid w:val="42EDCD3D"/>
    <w:rsid w:val="43219761"/>
    <w:rsid w:val="4327EE6A"/>
    <w:rsid w:val="434F4775"/>
    <w:rsid w:val="436EBEFB"/>
    <w:rsid w:val="437A5F24"/>
    <w:rsid w:val="43BA7C35"/>
    <w:rsid w:val="43D5F336"/>
    <w:rsid w:val="43E2E261"/>
    <w:rsid w:val="43E86165"/>
    <w:rsid w:val="440EA452"/>
    <w:rsid w:val="4417D174"/>
    <w:rsid w:val="44539D9E"/>
    <w:rsid w:val="44C820F7"/>
    <w:rsid w:val="45068D93"/>
    <w:rsid w:val="45120E5C"/>
    <w:rsid w:val="452E3384"/>
    <w:rsid w:val="45626EFA"/>
    <w:rsid w:val="45675232"/>
    <w:rsid w:val="4567A02E"/>
    <w:rsid w:val="456EEE27"/>
    <w:rsid w:val="45B2881C"/>
    <w:rsid w:val="45B67540"/>
    <w:rsid w:val="45F264C8"/>
    <w:rsid w:val="46292BB4"/>
    <w:rsid w:val="4659B950"/>
    <w:rsid w:val="46C5B042"/>
    <w:rsid w:val="46EA0318"/>
    <w:rsid w:val="46F64847"/>
    <w:rsid w:val="47160470"/>
    <w:rsid w:val="4721079A"/>
    <w:rsid w:val="4721F0CB"/>
    <w:rsid w:val="472BB7DF"/>
    <w:rsid w:val="476BE3E5"/>
    <w:rsid w:val="47762F1C"/>
    <w:rsid w:val="4788D171"/>
    <w:rsid w:val="47AD200A"/>
    <w:rsid w:val="47AFE327"/>
    <w:rsid w:val="4809460C"/>
    <w:rsid w:val="4845B3DC"/>
    <w:rsid w:val="48BFD563"/>
    <w:rsid w:val="48ECFE6E"/>
    <w:rsid w:val="490956A0"/>
    <w:rsid w:val="492990C4"/>
    <w:rsid w:val="496615E1"/>
    <w:rsid w:val="499056E3"/>
    <w:rsid w:val="49EDF06E"/>
    <w:rsid w:val="4A16E77D"/>
    <w:rsid w:val="4A2C3B94"/>
    <w:rsid w:val="4A38EE39"/>
    <w:rsid w:val="4AA76FC9"/>
    <w:rsid w:val="4ABA22C2"/>
    <w:rsid w:val="4AE92116"/>
    <w:rsid w:val="4AFE035D"/>
    <w:rsid w:val="4AFFF487"/>
    <w:rsid w:val="4B0D3E09"/>
    <w:rsid w:val="4B1A8B75"/>
    <w:rsid w:val="4B352F80"/>
    <w:rsid w:val="4B37E16F"/>
    <w:rsid w:val="4B93A02D"/>
    <w:rsid w:val="4B9EA54B"/>
    <w:rsid w:val="4BBAAD6E"/>
    <w:rsid w:val="4BBED28A"/>
    <w:rsid w:val="4C1E6717"/>
    <w:rsid w:val="4C25B128"/>
    <w:rsid w:val="4C986592"/>
    <w:rsid w:val="4CD17583"/>
    <w:rsid w:val="4D21DA8B"/>
    <w:rsid w:val="4D2DC98F"/>
    <w:rsid w:val="4D9D9764"/>
    <w:rsid w:val="4DAF19F0"/>
    <w:rsid w:val="4DBADDE9"/>
    <w:rsid w:val="4DBD5E01"/>
    <w:rsid w:val="4DCDDC34"/>
    <w:rsid w:val="4DD4EFD2"/>
    <w:rsid w:val="4DDEED4C"/>
    <w:rsid w:val="4DF12EF5"/>
    <w:rsid w:val="4DF7D2B0"/>
    <w:rsid w:val="4E00D106"/>
    <w:rsid w:val="4E314379"/>
    <w:rsid w:val="4E386FCD"/>
    <w:rsid w:val="4E7009E1"/>
    <w:rsid w:val="4E73D2BB"/>
    <w:rsid w:val="4E8458CF"/>
    <w:rsid w:val="4EA06894"/>
    <w:rsid w:val="4ED0BAFA"/>
    <w:rsid w:val="4ED4FC82"/>
    <w:rsid w:val="4F16C9B7"/>
    <w:rsid w:val="4F5D5202"/>
    <w:rsid w:val="4F658740"/>
    <w:rsid w:val="4F71EDD9"/>
    <w:rsid w:val="4F90B609"/>
    <w:rsid w:val="4FA7E31E"/>
    <w:rsid w:val="4FB5C385"/>
    <w:rsid w:val="50046943"/>
    <w:rsid w:val="502C6E09"/>
    <w:rsid w:val="503308F3"/>
    <w:rsid w:val="504EDDE2"/>
    <w:rsid w:val="5064FC44"/>
    <w:rsid w:val="509B47F8"/>
    <w:rsid w:val="509FBC00"/>
    <w:rsid w:val="50CD29D1"/>
    <w:rsid w:val="50D92EBA"/>
    <w:rsid w:val="50DCA20F"/>
    <w:rsid w:val="50E0EF95"/>
    <w:rsid w:val="50F44BC7"/>
    <w:rsid w:val="511D4788"/>
    <w:rsid w:val="5138479E"/>
    <w:rsid w:val="5140382F"/>
    <w:rsid w:val="5157ED90"/>
    <w:rsid w:val="516913B2"/>
    <w:rsid w:val="51E8C2C3"/>
    <w:rsid w:val="51EB8D17"/>
    <w:rsid w:val="52090EF5"/>
    <w:rsid w:val="521334C1"/>
    <w:rsid w:val="5238C283"/>
    <w:rsid w:val="525C4E30"/>
    <w:rsid w:val="52818AB1"/>
    <w:rsid w:val="528D98D7"/>
    <w:rsid w:val="52B31D8A"/>
    <w:rsid w:val="52E100A9"/>
    <w:rsid w:val="534E22FF"/>
    <w:rsid w:val="534FD76D"/>
    <w:rsid w:val="53AB7427"/>
    <w:rsid w:val="53CC2F58"/>
    <w:rsid w:val="5419FABB"/>
    <w:rsid w:val="541D8F96"/>
    <w:rsid w:val="5437B679"/>
    <w:rsid w:val="543BF14D"/>
    <w:rsid w:val="5446177C"/>
    <w:rsid w:val="5470283C"/>
    <w:rsid w:val="54C7F3C2"/>
    <w:rsid w:val="55433D98"/>
    <w:rsid w:val="5546163C"/>
    <w:rsid w:val="55775082"/>
    <w:rsid w:val="557B2874"/>
    <w:rsid w:val="55AA1D90"/>
    <w:rsid w:val="55DFCF87"/>
    <w:rsid w:val="5636EACA"/>
    <w:rsid w:val="563A8447"/>
    <w:rsid w:val="564A2D11"/>
    <w:rsid w:val="5654B08E"/>
    <w:rsid w:val="569CF6BB"/>
    <w:rsid w:val="56ACAD64"/>
    <w:rsid w:val="56B2E675"/>
    <w:rsid w:val="56CC4B35"/>
    <w:rsid w:val="57387C7A"/>
    <w:rsid w:val="573D87B5"/>
    <w:rsid w:val="57673BBF"/>
    <w:rsid w:val="576B680D"/>
    <w:rsid w:val="5776D516"/>
    <w:rsid w:val="5776DA86"/>
    <w:rsid w:val="5781811C"/>
    <w:rsid w:val="57A2BCCE"/>
    <w:rsid w:val="57A4FF9A"/>
    <w:rsid w:val="57A8A0B2"/>
    <w:rsid w:val="57C39814"/>
    <w:rsid w:val="580D6CA4"/>
    <w:rsid w:val="5813CB07"/>
    <w:rsid w:val="581C4655"/>
    <w:rsid w:val="582E94EF"/>
    <w:rsid w:val="588ABA53"/>
    <w:rsid w:val="58AF064A"/>
    <w:rsid w:val="58D6CE5D"/>
    <w:rsid w:val="58EF8366"/>
    <w:rsid w:val="5919B286"/>
    <w:rsid w:val="593AC2A9"/>
    <w:rsid w:val="59B1323C"/>
    <w:rsid w:val="59BCEF38"/>
    <w:rsid w:val="59D737BB"/>
    <w:rsid w:val="59E83479"/>
    <w:rsid w:val="59F70408"/>
    <w:rsid w:val="5A2BB96D"/>
    <w:rsid w:val="5A3C9203"/>
    <w:rsid w:val="5A661B48"/>
    <w:rsid w:val="5A8F6127"/>
    <w:rsid w:val="5A93596C"/>
    <w:rsid w:val="5AC77804"/>
    <w:rsid w:val="5ADE0FA6"/>
    <w:rsid w:val="5AEF0FC0"/>
    <w:rsid w:val="5AF76E00"/>
    <w:rsid w:val="5B032E39"/>
    <w:rsid w:val="5B42C37E"/>
    <w:rsid w:val="5B565057"/>
    <w:rsid w:val="5B7555B3"/>
    <w:rsid w:val="5B85AF2E"/>
    <w:rsid w:val="5BC2F901"/>
    <w:rsid w:val="5BCCB8DB"/>
    <w:rsid w:val="5BEE06E3"/>
    <w:rsid w:val="5C02DADD"/>
    <w:rsid w:val="5C3812CB"/>
    <w:rsid w:val="5C430ABC"/>
    <w:rsid w:val="5C7E8527"/>
    <w:rsid w:val="5CF30BAD"/>
    <w:rsid w:val="5D3138DE"/>
    <w:rsid w:val="5D9EC2FC"/>
    <w:rsid w:val="5DB86578"/>
    <w:rsid w:val="5DC47912"/>
    <w:rsid w:val="5E12976D"/>
    <w:rsid w:val="5E4CEB21"/>
    <w:rsid w:val="5E536754"/>
    <w:rsid w:val="5E9E2281"/>
    <w:rsid w:val="5EAFA355"/>
    <w:rsid w:val="5EAFF6E9"/>
    <w:rsid w:val="5ED32DF3"/>
    <w:rsid w:val="5EF6C95F"/>
    <w:rsid w:val="5F007DD8"/>
    <w:rsid w:val="5F0E7448"/>
    <w:rsid w:val="5F172B00"/>
    <w:rsid w:val="5F23F876"/>
    <w:rsid w:val="5F294096"/>
    <w:rsid w:val="5F2AC388"/>
    <w:rsid w:val="5F2DAF3D"/>
    <w:rsid w:val="5F5DC309"/>
    <w:rsid w:val="5F69BCA4"/>
    <w:rsid w:val="5F73F143"/>
    <w:rsid w:val="5F8F6921"/>
    <w:rsid w:val="5F92957E"/>
    <w:rsid w:val="5FA2F3BA"/>
    <w:rsid w:val="5FB1C8CA"/>
    <w:rsid w:val="5FBD669E"/>
    <w:rsid w:val="5FC08B7A"/>
    <w:rsid w:val="5FD37BC9"/>
    <w:rsid w:val="5FE9A5B4"/>
    <w:rsid w:val="5FFD6150"/>
    <w:rsid w:val="6005D398"/>
    <w:rsid w:val="6053B55F"/>
    <w:rsid w:val="60642DB2"/>
    <w:rsid w:val="607F6818"/>
    <w:rsid w:val="60962AAE"/>
    <w:rsid w:val="60979B29"/>
    <w:rsid w:val="60BBEE98"/>
    <w:rsid w:val="60DE6060"/>
    <w:rsid w:val="60E0375B"/>
    <w:rsid w:val="60F5346A"/>
    <w:rsid w:val="61078BB3"/>
    <w:rsid w:val="610AA009"/>
    <w:rsid w:val="611CC485"/>
    <w:rsid w:val="612CB128"/>
    <w:rsid w:val="6136CD96"/>
    <w:rsid w:val="613FAAE5"/>
    <w:rsid w:val="616C4469"/>
    <w:rsid w:val="61B8B377"/>
    <w:rsid w:val="61DF9A40"/>
    <w:rsid w:val="61F826A4"/>
    <w:rsid w:val="622DB42A"/>
    <w:rsid w:val="62373D4B"/>
    <w:rsid w:val="627F82E3"/>
    <w:rsid w:val="62B62379"/>
    <w:rsid w:val="62C87D7F"/>
    <w:rsid w:val="62C93B10"/>
    <w:rsid w:val="62F3E174"/>
    <w:rsid w:val="62F6B639"/>
    <w:rsid w:val="62F7FFB4"/>
    <w:rsid w:val="62F83470"/>
    <w:rsid w:val="63061788"/>
    <w:rsid w:val="632A7DD1"/>
    <w:rsid w:val="63666063"/>
    <w:rsid w:val="63E4F3D0"/>
    <w:rsid w:val="63FB4AC6"/>
    <w:rsid w:val="64193AD3"/>
    <w:rsid w:val="642B7165"/>
    <w:rsid w:val="643A5145"/>
    <w:rsid w:val="647FF82B"/>
    <w:rsid w:val="64D49772"/>
    <w:rsid w:val="64E99B38"/>
    <w:rsid w:val="64EF7F44"/>
    <w:rsid w:val="651CBB65"/>
    <w:rsid w:val="6522D728"/>
    <w:rsid w:val="652AF872"/>
    <w:rsid w:val="653FCD1F"/>
    <w:rsid w:val="65CA0888"/>
    <w:rsid w:val="65E7D4F6"/>
    <w:rsid w:val="65F8529C"/>
    <w:rsid w:val="6628F6B0"/>
    <w:rsid w:val="666EEDDD"/>
    <w:rsid w:val="66A16748"/>
    <w:rsid w:val="66CBB7C0"/>
    <w:rsid w:val="66FBC6AB"/>
    <w:rsid w:val="671530BB"/>
    <w:rsid w:val="67649E11"/>
    <w:rsid w:val="67690716"/>
    <w:rsid w:val="677572D7"/>
    <w:rsid w:val="677E44D7"/>
    <w:rsid w:val="6785A441"/>
    <w:rsid w:val="67FD38DB"/>
    <w:rsid w:val="680B9270"/>
    <w:rsid w:val="68147F2A"/>
    <w:rsid w:val="682FB1D8"/>
    <w:rsid w:val="6859DE83"/>
    <w:rsid w:val="6877DF2F"/>
    <w:rsid w:val="68BA19DA"/>
    <w:rsid w:val="6923550A"/>
    <w:rsid w:val="6965052A"/>
    <w:rsid w:val="69C29E75"/>
    <w:rsid w:val="69EE1AD9"/>
    <w:rsid w:val="69FD226A"/>
    <w:rsid w:val="6A24E433"/>
    <w:rsid w:val="6A5F50ED"/>
    <w:rsid w:val="6A6716CC"/>
    <w:rsid w:val="6AEDD7D5"/>
    <w:rsid w:val="6B394F47"/>
    <w:rsid w:val="6B44AC17"/>
    <w:rsid w:val="6BA8E57F"/>
    <w:rsid w:val="6BD4D866"/>
    <w:rsid w:val="6BDE17D1"/>
    <w:rsid w:val="6BFAF74C"/>
    <w:rsid w:val="6C066A47"/>
    <w:rsid w:val="6C1D1485"/>
    <w:rsid w:val="6C3ECB30"/>
    <w:rsid w:val="6C86AEA9"/>
    <w:rsid w:val="6C8FD475"/>
    <w:rsid w:val="6CA355F7"/>
    <w:rsid w:val="6CFF89B4"/>
    <w:rsid w:val="6D10760F"/>
    <w:rsid w:val="6D122ECE"/>
    <w:rsid w:val="6D2B34F8"/>
    <w:rsid w:val="6D2D7300"/>
    <w:rsid w:val="6D2EACA9"/>
    <w:rsid w:val="6D864575"/>
    <w:rsid w:val="6DD2EF03"/>
    <w:rsid w:val="6DD74D1E"/>
    <w:rsid w:val="6DE2225E"/>
    <w:rsid w:val="6E0A787D"/>
    <w:rsid w:val="6E570182"/>
    <w:rsid w:val="6E754164"/>
    <w:rsid w:val="6E97406B"/>
    <w:rsid w:val="6E9AA840"/>
    <w:rsid w:val="6EC882F2"/>
    <w:rsid w:val="6EDDD402"/>
    <w:rsid w:val="6EFE281A"/>
    <w:rsid w:val="6F32325D"/>
    <w:rsid w:val="6F36C7D8"/>
    <w:rsid w:val="6F3705C8"/>
    <w:rsid w:val="6F3E1E45"/>
    <w:rsid w:val="6F4DB8A3"/>
    <w:rsid w:val="6F610674"/>
    <w:rsid w:val="6F698F2E"/>
    <w:rsid w:val="6F6F343D"/>
    <w:rsid w:val="6F91BEF8"/>
    <w:rsid w:val="6FBFB3E1"/>
    <w:rsid w:val="6FC7801E"/>
    <w:rsid w:val="6FC7BC23"/>
    <w:rsid w:val="6FE56E24"/>
    <w:rsid w:val="7017D180"/>
    <w:rsid w:val="70347D35"/>
    <w:rsid w:val="7047B95D"/>
    <w:rsid w:val="7079C064"/>
    <w:rsid w:val="70A984A1"/>
    <w:rsid w:val="70AD3496"/>
    <w:rsid w:val="70B178B5"/>
    <w:rsid w:val="70B44EF0"/>
    <w:rsid w:val="70D8B4BC"/>
    <w:rsid w:val="70F09306"/>
    <w:rsid w:val="712C0A38"/>
    <w:rsid w:val="7154A66D"/>
    <w:rsid w:val="71692D9E"/>
    <w:rsid w:val="717BC484"/>
    <w:rsid w:val="71876312"/>
    <w:rsid w:val="71AAC819"/>
    <w:rsid w:val="71C8B24F"/>
    <w:rsid w:val="71F3E627"/>
    <w:rsid w:val="71FBD1DA"/>
    <w:rsid w:val="72058BFF"/>
    <w:rsid w:val="72400E7B"/>
    <w:rsid w:val="725D7EBE"/>
    <w:rsid w:val="7314724E"/>
    <w:rsid w:val="734CDF6B"/>
    <w:rsid w:val="735B2574"/>
    <w:rsid w:val="73AF7561"/>
    <w:rsid w:val="73C084FC"/>
    <w:rsid w:val="73FB3D31"/>
    <w:rsid w:val="74155D46"/>
    <w:rsid w:val="741E6E43"/>
    <w:rsid w:val="74251A54"/>
    <w:rsid w:val="7461C253"/>
    <w:rsid w:val="7469EC9D"/>
    <w:rsid w:val="748C35A3"/>
    <w:rsid w:val="74A255CF"/>
    <w:rsid w:val="74DF591D"/>
    <w:rsid w:val="7533CAC0"/>
    <w:rsid w:val="75356C46"/>
    <w:rsid w:val="75422E30"/>
    <w:rsid w:val="754A9036"/>
    <w:rsid w:val="7551AF0A"/>
    <w:rsid w:val="75968317"/>
    <w:rsid w:val="759CD5FC"/>
    <w:rsid w:val="75A0CD23"/>
    <w:rsid w:val="75A3B0CB"/>
    <w:rsid w:val="75DDE372"/>
    <w:rsid w:val="75E39779"/>
    <w:rsid w:val="76009A37"/>
    <w:rsid w:val="7626DBB6"/>
    <w:rsid w:val="764793F0"/>
    <w:rsid w:val="765CEC01"/>
    <w:rsid w:val="767720B6"/>
    <w:rsid w:val="76882B20"/>
    <w:rsid w:val="76907235"/>
    <w:rsid w:val="76AD6179"/>
    <w:rsid w:val="76D7C85A"/>
    <w:rsid w:val="76DD7765"/>
    <w:rsid w:val="772039D3"/>
    <w:rsid w:val="77481378"/>
    <w:rsid w:val="77FA3427"/>
    <w:rsid w:val="781357C5"/>
    <w:rsid w:val="7818729B"/>
    <w:rsid w:val="7836003B"/>
    <w:rsid w:val="78394954"/>
    <w:rsid w:val="7841A543"/>
    <w:rsid w:val="78420B0C"/>
    <w:rsid w:val="7859F737"/>
    <w:rsid w:val="789652FA"/>
    <w:rsid w:val="78A63CFB"/>
    <w:rsid w:val="78B216B2"/>
    <w:rsid w:val="78E33269"/>
    <w:rsid w:val="790C7647"/>
    <w:rsid w:val="794402FD"/>
    <w:rsid w:val="7999C4A1"/>
    <w:rsid w:val="799C17BB"/>
    <w:rsid w:val="79A8A25A"/>
    <w:rsid w:val="79B23B25"/>
    <w:rsid w:val="79C47B5E"/>
    <w:rsid w:val="7A2A7204"/>
    <w:rsid w:val="7A348E57"/>
    <w:rsid w:val="7A42BFB4"/>
    <w:rsid w:val="7A44A1BF"/>
    <w:rsid w:val="7A4EA26D"/>
    <w:rsid w:val="7A5DF9C0"/>
    <w:rsid w:val="7A767AE0"/>
    <w:rsid w:val="7A86A9FE"/>
    <w:rsid w:val="7B283C86"/>
    <w:rsid w:val="7B296FE6"/>
    <w:rsid w:val="7B416199"/>
    <w:rsid w:val="7B76AA9E"/>
    <w:rsid w:val="7BBA6A66"/>
    <w:rsid w:val="7BF67FFE"/>
    <w:rsid w:val="7C788CEC"/>
    <w:rsid w:val="7C8621AD"/>
    <w:rsid w:val="7C86FA5F"/>
    <w:rsid w:val="7C89007E"/>
    <w:rsid w:val="7CD261D3"/>
    <w:rsid w:val="7CD64D6A"/>
    <w:rsid w:val="7CD9D03C"/>
    <w:rsid w:val="7D058C12"/>
    <w:rsid w:val="7D659631"/>
    <w:rsid w:val="7D76F267"/>
    <w:rsid w:val="7D85D68A"/>
    <w:rsid w:val="7DB3E1A2"/>
    <w:rsid w:val="7DCBD671"/>
    <w:rsid w:val="7DCFAADA"/>
    <w:rsid w:val="7DF40A44"/>
    <w:rsid w:val="7DF4BF43"/>
    <w:rsid w:val="7E88804A"/>
    <w:rsid w:val="7EA6D6DF"/>
    <w:rsid w:val="7EDC5432"/>
    <w:rsid w:val="7EE31877"/>
    <w:rsid w:val="7F527127"/>
    <w:rsid w:val="7F6EDC12"/>
    <w:rsid w:val="7F719AB2"/>
    <w:rsid w:val="7F7BA717"/>
    <w:rsid w:val="7FA97553"/>
    <w:rsid w:val="7FD797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43D16"/>
  <w15:chartTrackingRefBased/>
  <w15:docId w15:val="{514F35D9-ED58-4344-98E4-A6A84BE8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F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5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0F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FFB"/>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930FFB"/>
  </w:style>
  <w:style w:type="paragraph" w:styleId="Subtitle">
    <w:name w:val="Subtitle"/>
    <w:basedOn w:val="Normal"/>
    <w:next w:val="Normal"/>
    <w:link w:val="SubtitleChar"/>
    <w:uiPriority w:val="11"/>
    <w:qFormat/>
    <w:rsid w:val="00930FF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0FFB"/>
    <w:rPr>
      <w:rFonts w:eastAsiaTheme="minorEastAsia"/>
      <w:color w:val="5A5A5A" w:themeColor="text1" w:themeTint="A5"/>
      <w:spacing w:val="15"/>
    </w:rPr>
  </w:style>
  <w:style w:type="character" w:styleId="SubtleEmphasis">
    <w:name w:val="Subtle Emphasis"/>
    <w:basedOn w:val="DefaultParagraphFont"/>
    <w:uiPriority w:val="19"/>
    <w:qFormat/>
    <w:rsid w:val="00930FFB"/>
    <w:rPr>
      <w:i/>
      <w:iCs/>
      <w:color w:val="404040" w:themeColor="text1" w:themeTint="BF"/>
    </w:rPr>
  </w:style>
  <w:style w:type="character" w:customStyle="1" w:styleId="Heading1Char">
    <w:name w:val="Heading 1 Char"/>
    <w:basedOn w:val="DefaultParagraphFont"/>
    <w:link w:val="Heading1"/>
    <w:uiPriority w:val="9"/>
    <w:rsid w:val="00930FF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30FFB"/>
    <w:rPr>
      <w:color w:val="0000FF"/>
      <w:u w:val="single"/>
    </w:rPr>
  </w:style>
  <w:style w:type="table" w:styleId="TableGrid">
    <w:name w:val="Table Grid"/>
    <w:basedOn w:val="TableNormal"/>
    <w:uiPriority w:val="39"/>
    <w:rsid w:val="003E6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E68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xmsosmartlink">
    <w:name w:val="x_msosmartlink"/>
    <w:basedOn w:val="DefaultParagraphFont"/>
    <w:rsid w:val="003E688E"/>
  </w:style>
  <w:style w:type="character" w:customStyle="1" w:styleId="xnormaltextrun">
    <w:name w:val="x_normaltextrun"/>
    <w:basedOn w:val="DefaultParagraphFont"/>
    <w:rsid w:val="003E688E"/>
  </w:style>
  <w:style w:type="paragraph" w:customStyle="1" w:styleId="xmsolistparagraph">
    <w:name w:val="x_msolistparagraph"/>
    <w:basedOn w:val="Normal"/>
    <w:rsid w:val="003E68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xeop">
    <w:name w:val="x_eop"/>
    <w:basedOn w:val="DefaultParagraphFont"/>
    <w:rsid w:val="003E688E"/>
  </w:style>
  <w:style w:type="character" w:customStyle="1" w:styleId="xfindhit">
    <w:name w:val="x_findhit"/>
    <w:basedOn w:val="DefaultParagraphFont"/>
    <w:rsid w:val="003E688E"/>
  </w:style>
  <w:style w:type="character" w:styleId="CommentReference">
    <w:name w:val="annotation reference"/>
    <w:basedOn w:val="DefaultParagraphFont"/>
    <w:uiPriority w:val="99"/>
    <w:semiHidden/>
    <w:unhideWhenUsed/>
    <w:rsid w:val="00107044"/>
    <w:rPr>
      <w:sz w:val="16"/>
      <w:szCs w:val="16"/>
    </w:rPr>
  </w:style>
  <w:style w:type="paragraph" w:styleId="CommentText">
    <w:name w:val="annotation text"/>
    <w:basedOn w:val="Normal"/>
    <w:link w:val="CommentTextChar"/>
    <w:uiPriority w:val="99"/>
    <w:unhideWhenUsed/>
    <w:rsid w:val="00107044"/>
    <w:pPr>
      <w:spacing w:line="240" w:lineRule="auto"/>
    </w:pPr>
    <w:rPr>
      <w:sz w:val="20"/>
      <w:szCs w:val="20"/>
    </w:rPr>
  </w:style>
  <w:style w:type="character" w:customStyle="1" w:styleId="CommentTextChar">
    <w:name w:val="Comment Text Char"/>
    <w:basedOn w:val="DefaultParagraphFont"/>
    <w:link w:val="CommentText"/>
    <w:uiPriority w:val="99"/>
    <w:rsid w:val="00107044"/>
    <w:rPr>
      <w:sz w:val="20"/>
      <w:szCs w:val="20"/>
    </w:rPr>
  </w:style>
  <w:style w:type="paragraph" w:styleId="CommentSubject">
    <w:name w:val="annotation subject"/>
    <w:basedOn w:val="CommentText"/>
    <w:next w:val="CommentText"/>
    <w:link w:val="CommentSubjectChar"/>
    <w:uiPriority w:val="99"/>
    <w:semiHidden/>
    <w:unhideWhenUsed/>
    <w:rsid w:val="00107044"/>
    <w:rPr>
      <w:b/>
      <w:bCs/>
    </w:rPr>
  </w:style>
  <w:style w:type="character" w:customStyle="1" w:styleId="CommentSubjectChar">
    <w:name w:val="Comment Subject Char"/>
    <w:basedOn w:val="CommentTextChar"/>
    <w:link w:val="CommentSubject"/>
    <w:uiPriority w:val="99"/>
    <w:semiHidden/>
    <w:rsid w:val="00107044"/>
    <w:rPr>
      <w:b/>
      <w:bCs/>
      <w:sz w:val="20"/>
      <w:szCs w:val="20"/>
    </w:rPr>
  </w:style>
  <w:style w:type="character" w:customStyle="1" w:styleId="Heading2Char">
    <w:name w:val="Heading 2 Char"/>
    <w:basedOn w:val="DefaultParagraphFont"/>
    <w:link w:val="Heading2"/>
    <w:uiPriority w:val="9"/>
    <w:rsid w:val="00F65033"/>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44377"/>
    <w:rPr>
      <w:color w:val="954F72" w:themeColor="followedHyperlink"/>
      <w:u w:val="single"/>
    </w:rPr>
  </w:style>
  <w:style w:type="character" w:styleId="BookTitle">
    <w:name w:val="Book Title"/>
    <w:basedOn w:val="DefaultParagraphFont"/>
    <w:uiPriority w:val="33"/>
    <w:qFormat/>
    <w:rsid w:val="00F65E21"/>
    <w:rPr>
      <w:b/>
      <w:bCs/>
      <w:i/>
      <w:iCs/>
      <w:spacing w:val="5"/>
    </w:rPr>
  </w:style>
  <w:style w:type="paragraph" w:styleId="Revision">
    <w:name w:val="Revision"/>
    <w:hidden/>
    <w:uiPriority w:val="99"/>
    <w:semiHidden/>
    <w:rsid w:val="00903C5F"/>
    <w:pPr>
      <w:spacing w:after="0" w:line="240" w:lineRule="auto"/>
    </w:pPr>
  </w:style>
  <w:style w:type="paragraph" w:styleId="ListParagraph">
    <w:name w:val="List Paragraph"/>
    <w:basedOn w:val="Normal"/>
    <w:uiPriority w:val="34"/>
    <w:qFormat/>
    <w:rsid w:val="00903C5F"/>
    <w:pPr>
      <w:ind w:left="720"/>
      <w:contextualSpacing/>
    </w:pPr>
  </w:style>
  <w:style w:type="character" w:styleId="UnresolvedMention">
    <w:name w:val="Unresolved Mention"/>
    <w:basedOn w:val="DefaultParagraphFont"/>
    <w:uiPriority w:val="99"/>
    <w:semiHidden/>
    <w:unhideWhenUsed/>
    <w:rsid w:val="00903C5F"/>
    <w:rPr>
      <w:color w:val="605E5C"/>
      <w:shd w:val="clear" w:color="auto" w:fill="E1DFDD"/>
    </w:rPr>
  </w:style>
  <w:style w:type="paragraph" w:styleId="Caption">
    <w:name w:val="caption"/>
    <w:basedOn w:val="Normal"/>
    <w:next w:val="Normal"/>
    <w:uiPriority w:val="35"/>
    <w:unhideWhenUsed/>
    <w:qFormat/>
    <w:rsid w:val="00D07DAD"/>
    <w:pPr>
      <w:spacing w:after="200" w:line="240" w:lineRule="auto"/>
    </w:pPr>
    <w:rPr>
      <w:i/>
      <w:iCs/>
      <w:color w:val="44546A"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36180">
      <w:bodyDiv w:val="1"/>
      <w:marLeft w:val="0"/>
      <w:marRight w:val="0"/>
      <w:marTop w:val="0"/>
      <w:marBottom w:val="0"/>
      <w:divBdr>
        <w:top w:val="none" w:sz="0" w:space="0" w:color="auto"/>
        <w:left w:val="none" w:sz="0" w:space="0" w:color="auto"/>
        <w:bottom w:val="none" w:sz="0" w:space="0" w:color="auto"/>
        <w:right w:val="none" w:sz="0" w:space="0" w:color="auto"/>
      </w:divBdr>
    </w:div>
    <w:div w:id="897086762">
      <w:bodyDiv w:val="1"/>
      <w:marLeft w:val="0"/>
      <w:marRight w:val="0"/>
      <w:marTop w:val="0"/>
      <w:marBottom w:val="0"/>
      <w:divBdr>
        <w:top w:val="none" w:sz="0" w:space="0" w:color="auto"/>
        <w:left w:val="none" w:sz="0" w:space="0" w:color="auto"/>
        <w:bottom w:val="none" w:sz="0" w:space="0" w:color="auto"/>
        <w:right w:val="none" w:sz="0" w:space="0" w:color="auto"/>
      </w:divBdr>
    </w:div>
    <w:div w:id="1030957802">
      <w:bodyDiv w:val="1"/>
      <w:marLeft w:val="0"/>
      <w:marRight w:val="0"/>
      <w:marTop w:val="0"/>
      <w:marBottom w:val="0"/>
      <w:divBdr>
        <w:top w:val="none" w:sz="0" w:space="0" w:color="auto"/>
        <w:left w:val="none" w:sz="0" w:space="0" w:color="auto"/>
        <w:bottom w:val="none" w:sz="0" w:space="0" w:color="auto"/>
        <w:right w:val="none" w:sz="0" w:space="0" w:color="auto"/>
      </w:divBdr>
    </w:div>
    <w:div w:id="1060901417">
      <w:bodyDiv w:val="1"/>
      <w:marLeft w:val="0"/>
      <w:marRight w:val="0"/>
      <w:marTop w:val="0"/>
      <w:marBottom w:val="0"/>
      <w:divBdr>
        <w:top w:val="none" w:sz="0" w:space="0" w:color="auto"/>
        <w:left w:val="none" w:sz="0" w:space="0" w:color="auto"/>
        <w:bottom w:val="none" w:sz="0" w:space="0" w:color="auto"/>
        <w:right w:val="none" w:sz="0" w:space="0" w:color="auto"/>
      </w:divBdr>
    </w:div>
    <w:div w:id="179439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NTSO-E Meeting" ma:contentTypeID="0x0101001A87B86B650DAC4D9058685FC5200A9F01006A0DBDBD1DA0CF458C24B275CCAF3DC7" ma:contentTypeVersion="1" ma:contentTypeDescription="" ma:contentTypeScope="" ma:versionID="791bf5e20afe3ef106ebcac4861ebc52">
  <xsd:schema xmlns:xsd="http://www.w3.org/2001/XMLSchema" xmlns:xs="http://www.w3.org/2001/XMLSchema" xmlns:p="http://schemas.microsoft.com/office/2006/metadata/properties" xmlns:ns2="e3fb2008-9808-4f29-aa32-2f66631018ed" xmlns:ns3="e2954f11-789a-41d1-aff6-bb6f92928a40" targetNamespace="http://schemas.microsoft.com/office/2006/metadata/properties" ma:root="true" ma:fieldsID="dfd4380b8dc07666bb097690e88099ed" ns2:_="" ns3:_="">
    <xsd:import namespace="e3fb2008-9808-4f29-aa32-2f66631018ed"/>
    <xsd:import namespace="e2954f11-789a-41d1-aff6-bb6f92928a40"/>
    <xsd:element name="properties">
      <xsd:complexType>
        <xsd:sequence>
          <xsd:element name="documentManagement">
            <xsd:complexType>
              <xsd:all>
                <xsd:element ref="ns2:TaxCatchAll" minOccurs="0"/>
                <xsd:element ref="ns3:Open_x0020_to_x0020_ACER" minOccurs="0"/>
                <xsd:element ref="ns3:Open_x0020_to_x0020_EC" minOccurs="0"/>
                <xsd:element ref="ns3:Document_x0020_Type" minOccurs="0"/>
                <xsd:element ref="ns3:Work_x0020_Area" minOccurs="0"/>
                <xsd:element ref="ns3:Business_x0020_Record" minOccurs="0"/>
                <xsd:element ref="ns3:Meeting" minOccurs="0"/>
                <xsd:element ref="ns3:Approval_x0020_Level" minOccurs="0"/>
                <xsd:element ref="ns3:o9b5552cd29f405b8612d2920cb859c4" minOccurs="0"/>
                <xsd:element ref="ns3:TaxCatchAllLabel" minOccurs="0"/>
                <xsd:element ref="ns3:a11881793d4943049370f281afa2b378" minOccurs="0"/>
                <xsd:element ref="ns3:i85e4520245b48aa896a2e6f400e83f6" minOccurs="0"/>
                <xsd:element ref="ns2:TaxKeywordTaxHTField" minOccurs="0"/>
                <xsd:element ref="ns3:MediaServiceMetadata" minOccurs="0"/>
                <xsd:element ref="ns3:MediaServiceFastMetadata" minOccurs="0"/>
                <xsd:element ref="ns3:MediaServiceSearchProperties" minOccurs="0"/>
                <xsd:element ref="ns3:MediaServiceObjectDetectorVersions" minOccurs="0"/>
                <xsd:element ref="ns3:MYENTSOE_Sit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b2008-9808-4f29-aa32-2f66631018ed"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81789f3b-ca41-45fb-bb2f-da208630b3f0}" ma:internalName="TaxCatchAll" ma:readOnly="false" ma:showField="CatchAllData" ma:web="e3fb2008-9808-4f29-aa32-2f66631018ed">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displayName="TaxKeywordTaxHTField" ma:hidden="true" ma:internalName="TaxKeywordTaxHTField"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954f11-789a-41d1-aff6-bb6f92928a40" elementFormDefault="qualified">
    <xsd:import namespace="http://schemas.microsoft.com/office/2006/documentManagement/types"/>
    <xsd:import namespace="http://schemas.microsoft.com/office/infopath/2007/PartnerControls"/>
    <xsd:element name="Open_x0020_to_x0020_ACER" ma:index="9" nillable="true" ma:displayName="Open to ACER" ma:default="0" ma:description="This field should indicate if, from a business point of view, there is acceptance to share the data or document with ACER. In case the data or document is not open to ACER and there is a request from ACER, the legal basis for this request needs to be assessed by ENTSO-E Legal Section." ma:internalName="Open_x0020_to_x0020_ACER" ma:readOnly="false">
      <xsd:simpleType>
        <xsd:restriction base="dms:Boolean"/>
      </xsd:simpleType>
    </xsd:element>
    <xsd:element name="Open_x0020_to_x0020_EC" ma:index="10" nillable="true" ma:displayName="Open to EC" ma:default="0" ma:description="This field should indicate if, from a business point of view, there is acceptance to share the data or document with the EC. In case the data or document is not open to the EC and there is a request from the EC, the legal basis for this request needs to be assessed by ENTSO-E Legal Section." ma:internalName="Open_x0020_to_x0020_EC" ma:readOnly="false">
      <xsd:simpleType>
        <xsd:restriction base="dms:Boolean"/>
      </xsd:simpleType>
    </xsd:element>
    <xsd:element name="Document_x0020_Type" ma:index="11" nillable="true" ma:displayName="Document Type" ma:list="{59ebf936-0359-4ab6-8486-d3df2902f282}" ma:internalName="Document_x0020_Type" ma:readOnly="false" ma:showField="Title">
      <xsd:simpleType>
        <xsd:restriction base="dms:Lookup"/>
      </xsd:simpleType>
    </xsd:element>
    <xsd:element name="Work_x0020_Area" ma:index="13" nillable="true" ma:displayName="Work Area" ma:list="{be423f58-9f35-4118-af3f-256c94609e4b}" ma:internalName="Work_x0020_Area" ma:readOnly="false" ma:showField="Title">
      <xsd:simpleType>
        <xsd:restriction base="dms:Lookup"/>
      </xsd:simpleType>
    </xsd:element>
    <xsd:element name="Business_x0020_Record" ma:index="14" nillable="true" ma:displayName="Business Record" ma:list="{a9544491-6a4e-420b-80da-688ea01be0c1}" ma:internalName="Business_x0020_Record" ma:readOnly="false" ma:showField="Title">
      <xsd:simpleType>
        <xsd:restriction base="dms:Lookup"/>
      </xsd:simpleType>
    </xsd:element>
    <xsd:element name="Meeting" ma:index="15" nillable="true" ma:displayName="Meeting" ma:internalName="Meeting" ma:readOnly="false">
      <xsd:simpleType>
        <xsd:restriction base="dms:Text">
          <xsd:maxLength value="255"/>
        </xsd:restriction>
      </xsd:simpleType>
    </xsd:element>
    <xsd:element name="Approval_x0020_Level" ma:index="16" nillable="true" ma:displayName="Approval Level" ma:list="{4a33eac1-7ba7-4776-85b9-1a073416b1af}" ma:internalName="Approval_x0020_Level" ma:readOnly="false" ma:showField="Title">
      <xsd:simpleType>
        <xsd:restriction base="dms:Lookup"/>
      </xsd:simpleType>
    </xsd:element>
    <xsd:element name="o9b5552cd29f405b8612d2920cb859c4" ma:index="17" nillable="true" ma:displayName="Data Classification_0" ma:hidden="true" ma:internalName="o9b5552cd29f405b8612d2920cb859c4" ma:readOnly="false">
      <xsd:simpleType>
        <xsd:restriction base="dms:Note"/>
      </xsd:simpleType>
    </xsd:element>
    <xsd:element name="TaxCatchAllLabel" ma:index="18" nillable="true" ma:displayName="Taxonomy Catch All Column1" ma:hidden="true" ma:list="{81789f3b-ca41-45fb-bb2f-da208630b3f0}"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a11881793d4943049370f281afa2b378" ma:index="19" nillable="true" ma:displayName="Data Origin_0" ma:hidden="true" ma:internalName="a11881793d4943049370f281afa2b378" ma:readOnly="false">
      <xsd:simpleType>
        <xsd:restriction base="dms:Note"/>
      </xsd:simpleType>
    </xsd:element>
    <xsd:element name="i85e4520245b48aa896a2e6f400e83f6" ma:index="20" nillable="true" ma:displayName="Level of Disclosure_0" ma:hidden="true" ma:internalName="i85e4520245b48aa896a2e6f400e83f6" ma:readOnly="false">
      <xsd:simpleType>
        <xsd:restriction base="dms:Not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MYENTSOE_SiteType" ma:index="26" nillable="true" ma:displayName="Site Type" ma:default="MYENTSOE" ma:internalName="MYENTSOE_Site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n_x0020_to_x0020_EC xmlns="e2954f11-789a-41d1-aff6-bb6f92928a40">false</Open_x0020_to_x0020_EC>
    <Document_x0020_Type xmlns="e2954f11-789a-41d1-aff6-bb6f92928a40" xsi:nil="true"/>
    <Work_x0020_Area xmlns="e2954f11-789a-41d1-aff6-bb6f92928a40" xsi:nil="true"/>
    <Business_x0020_Record xmlns="e2954f11-789a-41d1-aff6-bb6f92928a40" xsi:nil="true"/>
    <Meeting xmlns="e2954f11-789a-41d1-aff6-bb6f92928a40">Explanatory document_draft</Meeting>
    <TaxCatchAll xmlns="e3fb2008-9808-4f29-aa32-2f66631018ed" xsi:nil="true"/>
    <Approval_x0020_Level xmlns="e2954f11-789a-41d1-aff6-bb6f92928a40" xsi:nil="true"/>
    <i85e4520245b48aa896a2e6f400e83f6 xmlns="e2954f11-789a-41d1-aff6-bb6f92928a40" xsi:nil="true"/>
    <MYENTSOE_SiteType xmlns="e2954f11-789a-41d1-aff6-bb6f92928a40">MYENTSOE</MYENTSOE_SiteType>
    <a11881793d4943049370f281afa2b378 xmlns="e2954f11-789a-41d1-aff6-bb6f92928a40" xsi:nil="true"/>
    <o9b5552cd29f405b8612d2920cb859c4 xmlns="e2954f11-789a-41d1-aff6-bb6f92928a40" xsi:nil="true"/>
    <Open_x0020_to_x0020_ACER xmlns="e2954f11-789a-41d1-aff6-bb6f92928a40">false</Open_x0020_to_x0020_ACER>
    <TaxKeywordTaxHTField xmlns="e3fb2008-9808-4f29-aa32-2f66631018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9B74259E-AB95-4F24-943D-16929867A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b2008-9808-4f29-aa32-2f66631018ed"/>
    <ds:schemaRef ds:uri="e2954f11-789a-41d1-aff6-bb6f92928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EC1BE-687F-44CE-8B36-C4C6BE2DCC99}">
  <ds:schemaRefs>
    <ds:schemaRef ds:uri="http://schemas.microsoft.com/office/2006/metadata/properties"/>
    <ds:schemaRef ds:uri="http://schemas.microsoft.com/office/infopath/2007/PartnerControls"/>
    <ds:schemaRef ds:uri="e2954f11-789a-41d1-aff6-bb6f92928a40"/>
    <ds:schemaRef ds:uri="e3fb2008-9808-4f29-aa32-2f66631018ed"/>
  </ds:schemaRefs>
</ds:datastoreItem>
</file>

<file path=customXml/itemProps3.xml><?xml version="1.0" encoding="utf-8"?>
<ds:datastoreItem xmlns:ds="http://schemas.openxmlformats.org/officeDocument/2006/customXml" ds:itemID="{0E5896E7-525E-400D-9C20-6788DF68B046}">
  <ds:schemaRefs>
    <ds:schemaRef ds:uri="http://schemas.openxmlformats.org/officeDocument/2006/bibliography"/>
  </ds:schemaRefs>
</ds:datastoreItem>
</file>

<file path=customXml/itemProps4.xml><?xml version="1.0" encoding="utf-8"?>
<ds:datastoreItem xmlns:ds="http://schemas.openxmlformats.org/officeDocument/2006/customXml" ds:itemID="{743A61F5-1DDA-49F2-8D39-5B8A7A475AE8}">
  <ds:schemaRefs>
    <ds:schemaRef ds:uri="http://schemas.microsoft.com/sharepoint/v3/contenttype/forms"/>
  </ds:schemaRefs>
</ds:datastoreItem>
</file>

<file path=docMetadata/LabelInfo.xml><?xml version="1.0" encoding="utf-8"?>
<clbl:labelList xmlns:clbl="http://schemas.microsoft.com/office/2020/mipLabelMetadata">
  <clbl:label id="{22c8c8a3-66f2-43ac-a16c-90612a5f5b89}" enabled="1" method="Privileged" siteId="{eccd734e-7022-4709-aba5-a5dd77929e2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13</Pages>
  <Words>4225</Words>
  <Characters>24083</Characters>
  <Application>Microsoft Office Word</Application>
  <DocSecurity>0</DocSecurity>
  <Lines>200</Lines>
  <Paragraphs>56</Paragraphs>
  <ScaleCrop>false</ScaleCrop>
  <Company/>
  <LinksUpToDate>false</LinksUpToDate>
  <CharactersWithSpaces>28252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Vesela Stefanova</dc:creator>
  <cp:keywords/>
  <dc:description/>
  <cp:lastModifiedBy>Vesela Stefanova</cp:lastModifiedBy>
  <cp:revision>3</cp:revision>
  <dcterms:created xsi:type="dcterms:W3CDTF">2025-05-13T15:07:00Z</dcterms:created>
  <dcterms:modified xsi:type="dcterms:W3CDTF">2025-05-13T17:10:00Z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0x0101001A87B86B650DAC4D9058685FC5200A9F01006A0DBDBD1DA0CF458C24B275CCAF3DC7</vt:lpwstr>
  </property>
  <property fmtid="{D5CDD505-2E9C-101B-9397-08002B2CF9AE}" pid="3" name="TaxKeyword">
    <vt:lpwstr/>
  </property>
  <property fmtid="{D5CDD505-2E9C-101B-9397-08002B2CF9AE}" pid="4" name="e95561f1cfc34e2cbcb5e918df89b872">
    <vt:lpwstr/>
  </property>
  <property fmtid="{D5CDD505-2E9C-101B-9397-08002B2CF9AE}" pid="5" name="MYENTSOE_Classification2">
    <vt:lpwstr/>
  </property>
  <property fmtid="{D5CDD505-2E9C-101B-9397-08002B2CF9AE}" pid="6" name="Confidentiality">
    <vt:lpwstr/>
  </property>
  <property fmtid="{D5CDD505-2E9C-101B-9397-08002B2CF9AE}" pid="7" name="m2ca52d99d2147ff9979ef687bbfed54">
    <vt:lpwstr/>
  </property>
  <property fmtid="{D5CDD505-2E9C-101B-9397-08002B2CF9AE}" pid="8" name="nae4a52b12e84728a187d0ad8e366aef">
    <vt:lpwstr/>
  </property>
  <property fmtid="{D5CDD505-2E9C-101B-9397-08002B2CF9AE}" pid="9" name="MYENTSOE_Classification3">
    <vt:lpwstr/>
  </property>
  <property fmtid="{D5CDD505-2E9C-101B-9397-08002B2CF9AE}" pid="10" name="MYENTSOE_PublicType">
    <vt:lpwstr/>
  </property>
  <property fmtid="{D5CDD505-2E9C-101B-9397-08002B2CF9AE}" pid="11" name="a8c913219f4e4f6e9ae72ed0eb2be318">
    <vt:lpwstr/>
  </property>
  <property fmtid="{D5CDD505-2E9C-101B-9397-08002B2CF9AE}" pid="12" name="MYENTSOE_SharingType">
    <vt:lpwstr/>
  </property>
  <property fmtid="{D5CDD505-2E9C-101B-9397-08002B2CF9AE}" pid="13" name="p5bef1dcb6d14fd3b2b7d20ab85f4832">
    <vt:lpwstr/>
  </property>
  <property fmtid="{D5CDD505-2E9C-101B-9397-08002B2CF9AE}" pid="14" name="p7db27da7ce44ca2b52c7aa713de4287">
    <vt:lpwstr/>
  </property>
  <property fmtid="{D5CDD505-2E9C-101B-9397-08002B2CF9AE}" pid="15" name="MYENTSOE_DocumentClassification">
    <vt:lpwstr/>
  </property>
  <property fmtid="{D5CDD505-2E9C-101B-9397-08002B2CF9AE}" pid="16" name="MYENTSOE_Classification1">
    <vt:lpwstr/>
  </property>
  <property fmtid="{D5CDD505-2E9C-101B-9397-08002B2CF9AE}" pid="17" name="MYENTSOE_Section">
    <vt:lpwstr/>
  </property>
  <property fmtid="{D5CDD505-2E9C-101B-9397-08002B2CF9AE}" pid="18" name="MYENTSOE_Classification4">
    <vt:lpwstr/>
  </property>
  <property fmtid="{D5CDD505-2E9C-101B-9397-08002B2CF9AE}" pid="19" name="pfd5b5a9c47a41319a1823e9fa68f0e8">
    <vt:lpwstr/>
  </property>
  <property fmtid="{D5CDD505-2E9C-101B-9397-08002B2CF9AE}" pid="20" name="nde175624e3c482b934a03159b6e515d">
    <vt:lpwstr/>
  </property>
  <property fmtid="{D5CDD505-2E9C-101B-9397-08002B2CF9AE}" pid="21" name="fe3cf1d00b894a789da0c589c7ef010a">
    <vt:lpwstr/>
  </property>
  <property fmtid="{D5CDD505-2E9C-101B-9397-08002B2CF9AE}" pid="22" name="MYENTSOE_DataClassification">
    <vt:lpwstr/>
  </property>
  <property fmtid="{D5CDD505-2E9C-101B-9397-08002B2CF9AE}" pid="23" name="c81560f8fab1408884ecd27213435d54">
    <vt:lpwstr/>
  </property>
</Properties>
</file>