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42" w:rightFromText="142" w:topFromText="5528" w:vertAnchor="page" w:horzAnchor="page" w:tblpX="1362" w:tblpY="5104"/>
        <w:tblW w:w="0" w:type="auto"/>
        <w:tblBorders>
          <w:top w:val="single" w:sz="8" w:space="0" w:color="23236E"/>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D93766" w:rsidRPr="004C0BF3" w14:paraId="0DD0B773" w14:textId="77777777" w:rsidTr="00BC4925">
        <w:tc>
          <w:tcPr>
            <w:tcW w:w="9524" w:type="dxa"/>
            <w:tcMar>
              <w:top w:w="198" w:type="dxa"/>
            </w:tcMar>
          </w:tcPr>
          <w:p w14:paraId="0DD0B772" w14:textId="31D00DB4" w:rsidR="00D93766" w:rsidRPr="00760634" w:rsidRDefault="0019419C" w:rsidP="008727E3">
            <w:pPr>
              <w:spacing w:after="280" w:line="600" w:lineRule="exact"/>
              <w:jc w:val="center"/>
              <w:rPr>
                <w:rFonts w:cs="Arial"/>
                <w:b/>
                <w:color w:val="23236E"/>
                <w:sz w:val="44"/>
                <w:szCs w:val="44"/>
                <w:lang w:val="en-GB"/>
              </w:rPr>
            </w:pPr>
            <w:r>
              <w:rPr>
                <w:b/>
                <w:sz w:val="32"/>
                <w:lang w:val="en-US"/>
              </w:rPr>
              <w:t xml:space="preserve">Explanatory document for </w:t>
            </w:r>
            <w:sdt>
              <w:sdtPr>
                <w:rPr>
                  <w:b/>
                  <w:sz w:val="32"/>
                  <w:lang w:val="en-US"/>
                </w:rPr>
                <w:alias w:val="Titel"/>
                <w:tag w:val="Titel"/>
                <w:id w:val="32412703"/>
                <w:dataBinding w:prefixMappings="xmlns:ns0='http://purl.org/dc/elements/1.1/' xmlns:ns1='http://schemas.openxmlformats.org/package/2006/metadata/core-properties' " w:xpath="/ns1:coreProperties[1]/ns0:title[1]" w:storeItemID="{6C3C8BC8-F283-45AE-878A-BAB7291924A1}"/>
                <w:text w:multiLine="1"/>
              </w:sdtPr>
              <w:sdtEndPr/>
              <w:sdtContent>
                <w:r w:rsidR="008727E3">
                  <w:rPr>
                    <w:b/>
                    <w:sz w:val="32"/>
                    <w:lang w:val="en-US"/>
                  </w:rPr>
                  <w:t>C</w:t>
                </w:r>
                <w:r w:rsidR="00B01E36">
                  <w:rPr>
                    <w:b/>
                    <w:sz w:val="32"/>
                    <w:lang w:val="en-US"/>
                  </w:rPr>
                  <w:t xml:space="preserve">apacity </w:t>
                </w:r>
                <w:r w:rsidR="008727E3">
                  <w:rPr>
                    <w:b/>
                    <w:sz w:val="32"/>
                    <w:lang w:val="en-US"/>
                  </w:rPr>
                  <w:t>C</w:t>
                </w:r>
                <w:r w:rsidR="00B01E36">
                  <w:rPr>
                    <w:b/>
                    <w:sz w:val="32"/>
                    <w:lang w:val="en-US"/>
                  </w:rPr>
                  <w:t xml:space="preserve">alculation </w:t>
                </w:r>
                <w:r w:rsidR="008727E3">
                  <w:rPr>
                    <w:b/>
                    <w:sz w:val="32"/>
                    <w:lang w:val="en-US"/>
                  </w:rPr>
                  <w:t>R</w:t>
                </w:r>
                <w:r w:rsidR="00B01E36">
                  <w:rPr>
                    <w:b/>
                    <w:sz w:val="32"/>
                    <w:lang w:val="en-US"/>
                  </w:rPr>
                  <w:t>egion</w:t>
                </w:r>
                <w:r w:rsidR="008727E3">
                  <w:rPr>
                    <w:b/>
                    <w:sz w:val="32"/>
                    <w:lang w:val="en-US"/>
                  </w:rPr>
                  <w:t xml:space="preserve"> Nordic</w:t>
                </w:r>
                <w:r w:rsidR="00B01E36">
                  <w:rPr>
                    <w:b/>
                    <w:sz w:val="32"/>
                    <w:lang w:val="en-US"/>
                  </w:rPr>
                  <w:t>s’</w:t>
                </w:r>
                <w:r w:rsidR="003F2F07" w:rsidRPr="00061181">
                  <w:rPr>
                    <w:b/>
                    <w:sz w:val="32"/>
                    <w:lang w:val="en-US"/>
                  </w:rPr>
                  <w:t xml:space="preserve"> proposal for </w:t>
                </w:r>
                <w:r w:rsidR="008727E3">
                  <w:rPr>
                    <w:b/>
                    <w:sz w:val="32"/>
                    <w:lang w:val="en-US"/>
                  </w:rPr>
                  <w:t xml:space="preserve">regional design of long-term transmission rights </w:t>
                </w:r>
                <w:r w:rsidR="003F2F07" w:rsidRPr="00061181">
                  <w:rPr>
                    <w:b/>
                    <w:sz w:val="32"/>
                    <w:lang w:val="en-US"/>
                  </w:rPr>
                  <w:t>in accordance with Articl</w:t>
                </w:r>
                <w:r w:rsidR="008727E3">
                  <w:rPr>
                    <w:b/>
                    <w:sz w:val="32"/>
                    <w:lang w:val="en-US"/>
                  </w:rPr>
                  <w:t>e 31</w:t>
                </w:r>
                <w:r w:rsidR="003F2F07" w:rsidRPr="00061181">
                  <w:rPr>
                    <w:b/>
                    <w:sz w:val="32"/>
                    <w:lang w:val="en-US"/>
                  </w:rPr>
                  <w:t xml:space="preserve"> of the Commission Regulation (EU) 20</w:t>
                </w:r>
                <w:r w:rsidR="008727E3">
                  <w:rPr>
                    <w:b/>
                    <w:sz w:val="32"/>
                    <w:lang w:val="en-US"/>
                  </w:rPr>
                  <w:t>16/1719</w:t>
                </w:r>
                <w:r w:rsidR="003F2F07" w:rsidRPr="00061181">
                  <w:rPr>
                    <w:b/>
                    <w:sz w:val="32"/>
                    <w:lang w:val="en-US"/>
                  </w:rPr>
                  <w:t xml:space="preserve"> o</w:t>
                </w:r>
                <w:r w:rsidR="008727E3">
                  <w:rPr>
                    <w:b/>
                    <w:sz w:val="32"/>
                    <w:lang w:val="en-US"/>
                  </w:rPr>
                  <w:t>f 26</w:t>
                </w:r>
                <w:r w:rsidR="003F2F07" w:rsidRPr="00061181">
                  <w:rPr>
                    <w:b/>
                    <w:sz w:val="32"/>
                    <w:lang w:val="en-US"/>
                  </w:rPr>
                  <w:t xml:space="preserve"> </w:t>
                </w:r>
                <w:r w:rsidR="008727E3">
                  <w:rPr>
                    <w:b/>
                    <w:sz w:val="32"/>
                    <w:lang w:val="en-US"/>
                  </w:rPr>
                  <w:t>September</w:t>
                </w:r>
                <w:r w:rsidR="003F2F07" w:rsidRPr="00061181">
                  <w:rPr>
                    <w:b/>
                    <w:sz w:val="32"/>
                    <w:lang w:val="en-US"/>
                  </w:rPr>
                  <w:t xml:space="preserve"> 20</w:t>
                </w:r>
                <w:r w:rsidR="008727E3">
                  <w:rPr>
                    <w:b/>
                    <w:sz w:val="32"/>
                    <w:lang w:val="en-US"/>
                  </w:rPr>
                  <w:t>16</w:t>
                </w:r>
                <w:r w:rsidR="003F2F07" w:rsidRPr="00061181">
                  <w:rPr>
                    <w:b/>
                    <w:sz w:val="32"/>
                    <w:lang w:val="en-US"/>
                  </w:rPr>
                  <w:t xml:space="preserve"> establishing a</w:t>
                </w:r>
                <w:r w:rsidR="008727E3">
                  <w:rPr>
                    <w:b/>
                    <w:sz w:val="32"/>
                    <w:lang w:val="en-US"/>
                  </w:rPr>
                  <w:t xml:space="preserve"> g</w:t>
                </w:r>
                <w:r w:rsidR="003F2F07" w:rsidRPr="00061181">
                  <w:rPr>
                    <w:b/>
                    <w:sz w:val="32"/>
                    <w:lang w:val="en-US"/>
                  </w:rPr>
                  <w:t xml:space="preserve">uideline on </w:t>
                </w:r>
                <w:r w:rsidR="008727E3">
                  <w:rPr>
                    <w:b/>
                    <w:sz w:val="32"/>
                    <w:lang w:val="en-US"/>
                  </w:rPr>
                  <w:t>forward capacity allocation</w:t>
                </w:r>
              </w:sdtContent>
            </w:sdt>
            <w:r w:rsidR="00D93766" w:rsidRPr="00760634">
              <w:rPr>
                <w:rFonts w:cs="Arial"/>
                <w:b/>
                <w:color w:val="23236E"/>
                <w:sz w:val="44"/>
                <w:szCs w:val="44"/>
                <w:lang w:val="en-GB"/>
              </w:rPr>
              <w:t xml:space="preserve"> </w:t>
            </w:r>
          </w:p>
        </w:tc>
      </w:tr>
      <w:tr w:rsidR="00D93766" w:rsidRPr="004C0BF3" w14:paraId="0DD0B775" w14:textId="77777777" w:rsidTr="00BC4925">
        <w:tc>
          <w:tcPr>
            <w:tcW w:w="9524" w:type="dxa"/>
            <w:tcMar>
              <w:top w:w="198" w:type="dxa"/>
            </w:tcMar>
          </w:tcPr>
          <w:p w14:paraId="0DD0B774" w14:textId="77777777" w:rsidR="00D93766" w:rsidRPr="00760634" w:rsidRDefault="00D93766" w:rsidP="00BC4925">
            <w:pPr>
              <w:spacing w:after="280" w:line="600" w:lineRule="exact"/>
              <w:jc w:val="center"/>
              <w:rPr>
                <w:rFonts w:cs="Arial"/>
                <w:b/>
                <w:color w:val="23236E"/>
                <w:sz w:val="40"/>
                <w:szCs w:val="40"/>
                <w:lang w:val="en-GB"/>
              </w:rPr>
            </w:pPr>
          </w:p>
        </w:tc>
      </w:tr>
    </w:tbl>
    <w:p w14:paraId="0DD0B776" w14:textId="77777777" w:rsidR="00D93766" w:rsidRPr="00760634" w:rsidRDefault="00D93766" w:rsidP="00D93766">
      <w:pPr>
        <w:rPr>
          <w:rFonts w:ascii="Times New Roman" w:hAnsi="Times New Roman"/>
          <w:lang w:val="en-GB"/>
        </w:rPr>
      </w:pPr>
    </w:p>
    <w:p w14:paraId="0DD0B777" w14:textId="77777777" w:rsidR="00D93766" w:rsidRPr="00760634" w:rsidRDefault="00D93766" w:rsidP="00D93766">
      <w:pPr>
        <w:rPr>
          <w:rFonts w:ascii="Times New Roman" w:hAnsi="Times New Roman"/>
          <w:lang w:val="en-GB"/>
        </w:rPr>
      </w:pPr>
    </w:p>
    <w:p w14:paraId="0DD0B778" w14:textId="77777777" w:rsidR="00D93766" w:rsidRPr="00760634" w:rsidRDefault="00D93766" w:rsidP="00D93766">
      <w:pPr>
        <w:rPr>
          <w:rFonts w:ascii="Times New Roman" w:hAnsi="Times New Roman"/>
          <w:lang w:val="en-GB"/>
        </w:rPr>
      </w:pPr>
    </w:p>
    <w:p w14:paraId="0DD0B779" w14:textId="77777777" w:rsidR="00D93766" w:rsidRPr="00760634" w:rsidRDefault="00D93766" w:rsidP="00D93766">
      <w:pPr>
        <w:rPr>
          <w:rFonts w:ascii="Times New Roman" w:hAnsi="Times New Roman"/>
          <w:lang w:val="en-GB"/>
        </w:rPr>
      </w:pPr>
    </w:p>
    <w:p w14:paraId="0DD0B77A" w14:textId="77777777" w:rsidR="00D93766" w:rsidRPr="00760634" w:rsidRDefault="00D93766" w:rsidP="00D93766">
      <w:pPr>
        <w:rPr>
          <w:rFonts w:ascii="Times New Roman" w:hAnsi="Times New Roman"/>
          <w:lang w:val="en-GB"/>
        </w:rPr>
      </w:pPr>
    </w:p>
    <w:p w14:paraId="0DD0B77B" w14:textId="77777777" w:rsidR="00D93766" w:rsidRPr="00760634" w:rsidRDefault="00D93766" w:rsidP="00D93766">
      <w:pPr>
        <w:rPr>
          <w:rFonts w:ascii="Times New Roman" w:hAnsi="Times New Roman"/>
          <w:lang w:val="en-GB"/>
        </w:rPr>
      </w:pPr>
    </w:p>
    <w:p w14:paraId="0DD0B77C" w14:textId="77777777" w:rsidR="00D93766" w:rsidRPr="00760634" w:rsidRDefault="00D93766" w:rsidP="00D93766">
      <w:pPr>
        <w:rPr>
          <w:rFonts w:ascii="Times New Roman" w:hAnsi="Times New Roman"/>
          <w:lang w:val="en-GB"/>
        </w:rPr>
      </w:pPr>
    </w:p>
    <w:p w14:paraId="34BF87DC" w14:textId="6F368C15" w:rsidR="00D46A5D" w:rsidRPr="0019419C" w:rsidRDefault="00D93766" w:rsidP="0019419C">
      <w:pPr>
        <w:rPr>
          <w:rFonts w:ascii="Times New Roman" w:hAnsi="Times New Roman"/>
          <w:lang w:val="en-GB"/>
        </w:rPr>
      </w:pPr>
      <w:r w:rsidRPr="00760634">
        <w:rPr>
          <w:rFonts w:ascii="Times New Roman" w:hAnsi="Times New Roman"/>
          <w:lang w:val="en-GB"/>
        </w:rPr>
        <w:br w:type="page"/>
      </w:r>
      <w:bookmarkStart w:id="0" w:name="_Toc378091729"/>
    </w:p>
    <w:p w14:paraId="35B3EABD" w14:textId="39299ED9" w:rsidR="00D0241B" w:rsidRPr="00724E25" w:rsidRDefault="0019419C" w:rsidP="00724E25">
      <w:pPr>
        <w:pStyle w:val="Overskrift1"/>
        <w:rPr>
          <w:rFonts w:ascii="Times New Roman" w:hAnsi="Times New Roman"/>
          <w:color w:val="1F3864" w:themeColor="accent5" w:themeShade="80"/>
          <w:lang w:val="en-GB"/>
        </w:rPr>
      </w:pPr>
      <w:r w:rsidRPr="00724E25">
        <w:rPr>
          <w:rFonts w:ascii="Times New Roman" w:hAnsi="Times New Roman"/>
          <w:color w:val="1F3864" w:themeColor="accent5" w:themeShade="80"/>
          <w:lang w:val="en-GB"/>
        </w:rPr>
        <w:lastRenderedPageBreak/>
        <w:t>Introduction</w:t>
      </w:r>
    </w:p>
    <w:p w14:paraId="5DEA3168" w14:textId="2E8F0805" w:rsidR="0019419C" w:rsidRPr="00544B00" w:rsidRDefault="0019419C" w:rsidP="0019419C">
      <w:pPr>
        <w:pStyle w:val="textregular"/>
      </w:pPr>
      <w:r w:rsidRPr="00544B00">
        <w:t>Th</w:t>
      </w:r>
      <w:r w:rsidRPr="0019419C">
        <w:t xml:space="preserve">e </w:t>
      </w:r>
      <w:hyperlink r:id="rId12" w:history="1">
        <w:r w:rsidRPr="0019419C">
          <w:t>Commission Regulation (EU) 2016/1719 of 26 September 2016 establishing a guideline on forward capacity allocation</w:t>
        </w:r>
      </w:hyperlink>
      <w:r w:rsidRPr="00544B00">
        <w:t xml:space="preserve"> (hereinafter “</w:t>
      </w:r>
      <w:r w:rsidRPr="00544B00">
        <w:rPr>
          <w:b/>
        </w:rPr>
        <w:t>FCA Regulation</w:t>
      </w:r>
      <w:r w:rsidRPr="00596D56">
        <w:t>”</w:t>
      </w:r>
      <w:r w:rsidRPr="00544B00">
        <w:t>) sets out r</w:t>
      </w:r>
      <w:r>
        <w:t>ules regarding the type of long-</w:t>
      </w:r>
      <w:r w:rsidRPr="00544B00">
        <w:t>term transmission rights</w:t>
      </w:r>
      <w:r w:rsidR="000206A1">
        <w:t xml:space="preserve"> (hereinafter “</w:t>
      </w:r>
      <w:r w:rsidR="000206A1" w:rsidRPr="00596D56">
        <w:rPr>
          <w:b/>
        </w:rPr>
        <w:t>LTRs</w:t>
      </w:r>
      <w:r w:rsidR="000206A1">
        <w:t>”)</w:t>
      </w:r>
      <w:r w:rsidRPr="00544B00">
        <w:t xml:space="preserve"> that can be allocated via explicit auction, and the way holders of </w:t>
      </w:r>
      <w:r w:rsidR="00CB222B">
        <w:t>LTRs</w:t>
      </w:r>
      <w:r w:rsidRPr="00544B00">
        <w:t xml:space="preserve"> are compensated in case their right</w:t>
      </w:r>
      <w:r>
        <w:t>s</w:t>
      </w:r>
      <w:r w:rsidRPr="00544B00">
        <w:t xml:space="preserve"> </w:t>
      </w:r>
      <w:r>
        <w:t>are</w:t>
      </w:r>
      <w:r w:rsidRPr="00544B00">
        <w:t xml:space="preserve"> curtailed. The overarching goal is to promote the development of liquid and competitive forward markets in a coordinated way across Europe, and provide market participants with </w:t>
      </w:r>
      <w:r w:rsidR="003D7121">
        <w:t>possibilities</w:t>
      </w:r>
      <w:r w:rsidRPr="00544B00">
        <w:t xml:space="preserve"> to hedge their risk associated with cross-border electricity trading. In order to deliver these objectives, a number of steps are required. </w:t>
      </w:r>
    </w:p>
    <w:p w14:paraId="7C7650FF" w14:textId="4033652F" w:rsidR="0019419C" w:rsidRPr="00544B00" w:rsidRDefault="0019419C" w:rsidP="0019419C">
      <w:pPr>
        <w:pStyle w:val="textregular"/>
      </w:pPr>
      <w:r>
        <w:t>One of these steps is to</w:t>
      </w:r>
      <w:r w:rsidRPr="00544B00">
        <w:t xml:space="preserve"> </w:t>
      </w:r>
      <w:r>
        <w:t xml:space="preserve">propose a regional design of long-term transmission rights </w:t>
      </w:r>
      <w:r w:rsidRPr="00544B00">
        <w:t>(hereinafter “</w:t>
      </w:r>
      <w:r w:rsidR="0008550D" w:rsidRPr="0008550D">
        <w:rPr>
          <w:b/>
        </w:rPr>
        <w:t xml:space="preserve">Proposal for </w:t>
      </w:r>
      <w:r w:rsidR="0008550D">
        <w:rPr>
          <w:b/>
        </w:rPr>
        <w:t>r</w:t>
      </w:r>
      <w:r>
        <w:rPr>
          <w:b/>
        </w:rPr>
        <w:t>egional design of LTRs</w:t>
      </w:r>
      <w:r w:rsidRPr="00544B00">
        <w:t xml:space="preserve">”) </w:t>
      </w:r>
      <w:r>
        <w:t>within the Capacity Calculation Regions (hereinafter “</w:t>
      </w:r>
      <w:r w:rsidRPr="0008550D">
        <w:rPr>
          <w:b/>
        </w:rPr>
        <w:t>CCRs</w:t>
      </w:r>
      <w:r>
        <w:t>”)</w:t>
      </w:r>
      <w:r w:rsidRPr="00544B00">
        <w:t xml:space="preserve">. This </w:t>
      </w:r>
      <w:r w:rsidR="005171AB">
        <w:t>regional de</w:t>
      </w:r>
      <w:r w:rsidR="00CB222B">
        <w:t>s</w:t>
      </w:r>
      <w:r w:rsidR="005171AB">
        <w:t xml:space="preserve">ign of LTRs should </w:t>
      </w:r>
      <w:r w:rsidRPr="00544B00">
        <w:t xml:space="preserve">contribute to a transparent and non-discriminatory allocation of </w:t>
      </w:r>
      <w:r w:rsidR="0008550D">
        <w:t>LTRs</w:t>
      </w:r>
      <w:r w:rsidRPr="00544B00">
        <w:t xml:space="preserve">. </w:t>
      </w:r>
    </w:p>
    <w:p w14:paraId="60AB2F68" w14:textId="055AD3C8" w:rsidR="0008550D" w:rsidRDefault="0019419C" w:rsidP="0019419C">
      <w:pPr>
        <w:pStyle w:val="textregular"/>
      </w:pPr>
      <w:r w:rsidRPr="00544B00">
        <w:t xml:space="preserve">Pursuant to Article </w:t>
      </w:r>
      <w:r w:rsidR="005171AB">
        <w:t>31</w:t>
      </w:r>
      <w:r w:rsidRPr="00544B00">
        <w:t xml:space="preserve"> of the FCA</w:t>
      </w:r>
      <w:r w:rsidR="0008550D">
        <w:t xml:space="preserve"> Regulation</w:t>
      </w:r>
      <w:r w:rsidRPr="00544B00">
        <w:t xml:space="preserve">, all </w:t>
      </w:r>
      <w:r w:rsidR="0008550D">
        <w:t>Transmission System Operators (hereinafter “</w:t>
      </w:r>
      <w:r w:rsidRPr="0008550D">
        <w:rPr>
          <w:b/>
        </w:rPr>
        <w:t>TSOs</w:t>
      </w:r>
      <w:r w:rsidR="0008550D">
        <w:t>”)</w:t>
      </w:r>
      <w:r w:rsidR="005171AB">
        <w:t xml:space="preserve"> in the CCR Nordic</w:t>
      </w:r>
      <w:r w:rsidRPr="00544B00">
        <w:t xml:space="preserve"> have developed a </w:t>
      </w:r>
      <w:r w:rsidR="0008550D">
        <w:t>Proposal for r</w:t>
      </w:r>
      <w:r w:rsidR="005171AB">
        <w:t>egional design of LTRs</w:t>
      </w:r>
      <w:r w:rsidRPr="00544B00">
        <w:t xml:space="preserve">.  </w:t>
      </w:r>
    </w:p>
    <w:p w14:paraId="1C6FD16E" w14:textId="44027706" w:rsidR="0052248E" w:rsidRDefault="0052248E" w:rsidP="0019419C">
      <w:pPr>
        <w:pStyle w:val="textregular"/>
      </w:pPr>
      <w:r>
        <w:t xml:space="preserve">Through discussions between ENTSO-E, ACER and the European Commission it has been decided that CCRs that do not have LTRs on all of their borders when FCA enters into force should await the decisions from the relevant NRAs according to </w:t>
      </w:r>
      <w:r w:rsidR="00EB3E64">
        <w:t>A</w:t>
      </w:r>
      <w:r>
        <w:t xml:space="preserve">rticle 30 of the FCA Regulation and then submit the Proposal for regional design of LTRs according to the later deadline in </w:t>
      </w:r>
      <w:r w:rsidR="00EB3E64">
        <w:t>A</w:t>
      </w:r>
      <w:r>
        <w:t>rticle 31</w:t>
      </w:r>
      <w:r w:rsidR="00596D56">
        <w:t>(3)</w:t>
      </w:r>
      <w:r>
        <w:t>.</w:t>
      </w:r>
      <w:r w:rsidR="004D318D">
        <w:t xml:space="preserve"> </w:t>
      </w:r>
      <w:r w:rsidR="004D318D" w:rsidRPr="004D318D">
        <w:t>Because the approval of the CCRs was delayed, the deadline for submitting the regional design was extended by one month from the FCA Regulation entered into force.</w:t>
      </w:r>
      <w:r>
        <w:t xml:space="preserve"> </w:t>
      </w:r>
      <w:r w:rsidR="00EB3E64">
        <w:t xml:space="preserve">The Proposal for regional design of LTRs for CCR Nordic shall therefore be </w:t>
      </w:r>
      <w:r>
        <w:t>submit</w:t>
      </w:r>
      <w:r w:rsidR="00EB3E64">
        <w:t>ted for approval by the relevant national regulatory authorities (Hereinafter “</w:t>
      </w:r>
      <w:r w:rsidR="00EB3E64" w:rsidRPr="00596D56">
        <w:rPr>
          <w:b/>
        </w:rPr>
        <w:t>NRAs</w:t>
      </w:r>
      <w:r w:rsidR="00EB3E64">
        <w:t>”) no later than</w:t>
      </w:r>
      <w:r>
        <w:t xml:space="preserve"> on November 17, 2017.</w:t>
      </w:r>
    </w:p>
    <w:p w14:paraId="620E4E41" w14:textId="202FDBB0" w:rsidR="0019419C" w:rsidRDefault="0008550D" w:rsidP="0019419C">
      <w:pPr>
        <w:pStyle w:val="textregular"/>
      </w:pPr>
      <w:r>
        <w:t>T</w:t>
      </w:r>
      <w:r w:rsidR="00941383">
        <w:t>his document</w:t>
      </w:r>
      <w:r w:rsidR="0019419C" w:rsidRPr="00544B00">
        <w:t xml:space="preserve"> </w:t>
      </w:r>
      <w:r w:rsidR="003D7121">
        <w:t>contains an explan</w:t>
      </w:r>
      <w:r w:rsidR="00EB3E64">
        <w:t>a</w:t>
      </w:r>
      <w:r w:rsidR="003D7121">
        <w:t>tion</w:t>
      </w:r>
      <w:r w:rsidR="0019419C" w:rsidRPr="00544B00">
        <w:t xml:space="preserve"> of the proposal </w:t>
      </w:r>
      <w:r w:rsidR="006600EC">
        <w:t xml:space="preserve">for the regional design of </w:t>
      </w:r>
      <w:r w:rsidR="00EB3E64">
        <w:t>LTRs</w:t>
      </w:r>
      <w:r w:rsidR="006600EC">
        <w:t xml:space="preserve"> to be applied in the </w:t>
      </w:r>
      <w:r w:rsidR="005171AB">
        <w:t>CCR</w:t>
      </w:r>
      <w:r w:rsidR="00941383">
        <w:t xml:space="preserve"> Nordic</w:t>
      </w:r>
      <w:r w:rsidR="0019419C" w:rsidRPr="00544B00">
        <w:t xml:space="preserve">. </w:t>
      </w:r>
      <w:r w:rsidR="0019419C">
        <w:t xml:space="preserve">The terms used in this document follow the definitions of Article 2 of the </w:t>
      </w:r>
      <w:r>
        <w:t>Proposal for r</w:t>
      </w:r>
      <w:r w:rsidR="005171AB">
        <w:t>egio</w:t>
      </w:r>
      <w:r>
        <w:t xml:space="preserve">nal design of LTRs. </w:t>
      </w:r>
    </w:p>
    <w:p w14:paraId="70BECCF1" w14:textId="62C92A8A" w:rsidR="007B3B61" w:rsidRPr="007B3B61" w:rsidRDefault="007B3B61" w:rsidP="007B3B61">
      <w:pPr>
        <w:pStyle w:val="textregular"/>
        <w:spacing w:before="240"/>
      </w:pPr>
      <w:r>
        <w:t xml:space="preserve">Since the NRAs have decided not to issue LTRs on the bidding zone borders in Finland and Sweden the Finnish TSO, Fingrid, and the Swedish TSO, Svenska kraftnät, according to article 30(7) of the FCA Regulation are exempted from article 31 and do not have to submit this Proposal for regional design of LTRs.  </w:t>
      </w:r>
      <w:r w:rsidR="0008550D" w:rsidRPr="0008550D">
        <w:t xml:space="preserve">In regards to Norway, the </w:t>
      </w:r>
      <w:r w:rsidR="00941383">
        <w:t>FCA</w:t>
      </w:r>
      <w:r w:rsidR="0008550D" w:rsidRPr="0008550D">
        <w:t xml:space="preserve"> Regulation is not yet implemented as Norwegian law due to delay in implementing the Regulation (EC) No 714/2009. No decision has been made from NVE in time of writing, but there are no indications from NVE that there are obstacles to </w:t>
      </w:r>
      <w:r w:rsidR="00941383">
        <w:t xml:space="preserve">implementing the FCA Regulation. </w:t>
      </w:r>
      <w:r w:rsidRPr="0014621E">
        <w:t xml:space="preserve">The proposal is therefore </w:t>
      </w:r>
      <w:r>
        <w:t xml:space="preserve">only </w:t>
      </w:r>
      <w:r w:rsidRPr="0014621E">
        <w:t>submitted for regulatory approval to DERA in Denmark.</w:t>
      </w:r>
    </w:p>
    <w:p w14:paraId="06A264B6" w14:textId="7BCBB101" w:rsidR="0008550D" w:rsidRPr="00941383" w:rsidRDefault="00941383" w:rsidP="00604A76">
      <w:pPr>
        <w:pStyle w:val="textregular"/>
      </w:pPr>
      <w:r>
        <w:t>In case NRAs in CCR Nordic requests relevant TSOs to issue LTRs on borders in CCR Nordic in pursuant to Article 30</w:t>
      </w:r>
      <w:r w:rsidR="00EB3E64">
        <w:t>(8)</w:t>
      </w:r>
      <w:r>
        <w:t xml:space="preserve"> of the FCA Regulation t</w:t>
      </w:r>
      <w:r w:rsidRPr="00941383">
        <w:t xml:space="preserve">he </w:t>
      </w:r>
      <w:r>
        <w:t xml:space="preserve">Proposal for regional design of LTRs will be updated in accordance to </w:t>
      </w:r>
      <w:r w:rsidR="00EB3E64">
        <w:t>A</w:t>
      </w:r>
      <w:r>
        <w:t>rticle 31(4) of the FCA Regulation.</w:t>
      </w:r>
      <w:r w:rsidR="00604A76">
        <w:t xml:space="preserve"> The update has</w:t>
      </w:r>
      <w:r w:rsidR="00596D56">
        <w:t xml:space="preserve"> to be submitted for approval by the relevant TSOs to</w:t>
      </w:r>
      <w:r w:rsidR="00604A76">
        <w:t xml:space="preserve"> </w:t>
      </w:r>
      <w:r w:rsidR="00EB3E64">
        <w:t xml:space="preserve">the relevant </w:t>
      </w:r>
      <w:r w:rsidR="00604A76">
        <w:t>NRAs in CCR Nordic within 6 month after the NRA</w:t>
      </w:r>
      <w:r w:rsidR="00EB3E64">
        <w:t>s</w:t>
      </w:r>
      <w:r w:rsidR="00604A76">
        <w:t xml:space="preserve"> request for implementation </w:t>
      </w:r>
      <w:r w:rsidR="00EB3E64">
        <w:t>of</w:t>
      </w:r>
      <w:r w:rsidR="00604A76">
        <w:t xml:space="preserve"> LTRs. </w:t>
      </w:r>
    </w:p>
    <w:p w14:paraId="37B25AF0" w14:textId="77777777" w:rsidR="0008550D" w:rsidRPr="00544B00" w:rsidRDefault="0008550D" w:rsidP="0019419C">
      <w:pPr>
        <w:pStyle w:val="textregular"/>
      </w:pPr>
    </w:p>
    <w:p w14:paraId="05D7C234" w14:textId="68B7B5AB" w:rsidR="0019419C" w:rsidRPr="00724E25" w:rsidRDefault="0019419C" w:rsidP="00724E25">
      <w:pPr>
        <w:pStyle w:val="Overskrift1"/>
        <w:rPr>
          <w:rFonts w:ascii="Times New Roman" w:hAnsi="Times New Roman"/>
          <w:color w:val="1F3864" w:themeColor="accent5" w:themeShade="80"/>
          <w:lang w:val="en-GB"/>
        </w:rPr>
      </w:pPr>
      <w:r w:rsidRPr="00724E25">
        <w:rPr>
          <w:rFonts w:ascii="Times New Roman" w:hAnsi="Times New Roman"/>
          <w:color w:val="1F3864" w:themeColor="accent5" w:themeShade="80"/>
          <w:lang w:val="en-GB"/>
        </w:rPr>
        <w:t xml:space="preserve">Legal requirements and interpretation </w:t>
      </w:r>
    </w:p>
    <w:p w14:paraId="6BE12FF3" w14:textId="74344E9C" w:rsidR="00604A76" w:rsidRPr="00604A76" w:rsidRDefault="00604A76" w:rsidP="00604A76">
      <w:pPr>
        <w:spacing w:after="240"/>
        <w:jc w:val="both"/>
        <w:rPr>
          <w:rFonts w:ascii="Times New Roman" w:hAnsi="Times New Roman"/>
          <w:lang w:val="en-GB"/>
        </w:rPr>
      </w:pPr>
      <w:r w:rsidRPr="00604A76">
        <w:rPr>
          <w:rFonts w:ascii="Times New Roman" w:hAnsi="Times New Roman"/>
          <w:lang w:val="en-GB"/>
        </w:rPr>
        <w:t xml:space="preserve">This chapter contains references to relevant articles in the </w:t>
      </w:r>
      <w:r w:rsidR="0014621E">
        <w:rPr>
          <w:rFonts w:ascii="Times New Roman" w:hAnsi="Times New Roman"/>
          <w:lang w:val="en-GB"/>
        </w:rPr>
        <w:t>FCA</w:t>
      </w:r>
      <w:r w:rsidRPr="00604A76">
        <w:rPr>
          <w:rFonts w:ascii="Times New Roman" w:hAnsi="Times New Roman"/>
          <w:lang w:val="en-GB"/>
        </w:rPr>
        <w:t xml:space="preserve"> Regulation. Furthermore, a description is given on how these articles are interpreted in order to set the scope for this proposal.</w:t>
      </w:r>
    </w:p>
    <w:p w14:paraId="7BB32BC5" w14:textId="649A11B2" w:rsidR="00CD3D21" w:rsidRDefault="00CD3D21" w:rsidP="0014621E">
      <w:pPr>
        <w:rPr>
          <w:rFonts w:ascii="Times New Roman" w:hAnsi="Times New Roman"/>
          <w:lang w:val="en-GB"/>
        </w:rPr>
      </w:pPr>
      <w:r>
        <w:rPr>
          <w:rFonts w:ascii="Times New Roman" w:hAnsi="Times New Roman"/>
          <w:lang w:val="en-GB"/>
        </w:rPr>
        <w:t>Article 30(8) of the FCA Regulation provides the following:</w:t>
      </w:r>
    </w:p>
    <w:p w14:paraId="23A31B41" w14:textId="6081644F" w:rsidR="00CD3D21" w:rsidRDefault="00CD3D21" w:rsidP="00CD3D21">
      <w:pPr>
        <w:pStyle w:val="textregular"/>
      </w:pPr>
      <w:r w:rsidRPr="00B021B0">
        <w:rPr>
          <w:i/>
        </w:rPr>
        <w:t xml:space="preserve">“Upon a joint request of the TSOs on a bidding zone border or at their own </w:t>
      </w:r>
      <w:r w:rsidR="004D318D" w:rsidRPr="00B021B0">
        <w:rPr>
          <w:i/>
        </w:rPr>
        <w:t>initiative</w:t>
      </w:r>
      <w:r w:rsidRPr="00B021B0">
        <w:rPr>
          <w:i/>
        </w:rPr>
        <w:t>, and at least every 4 years, the competent regulatory authorities of the bidding zone border s</w:t>
      </w:r>
      <w:r w:rsidR="004D318D">
        <w:rPr>
          <w:i/>
        </w:rPr>
        <w:t>h</w:t>
      </w:r>
      <w:r w:rsidRPr="00B021B0">
        <w:rPr>
          <w:i/>
        </w:rPr>
        <w:t>all perform, in corporation with the Agency, an assessment pursuant to paragraph 3 to 5.“</w:t>
      </w:r>
    </w:p>
    <w:p w14:paraId="0AE0778B" w14:textId="77777777" w:rsidR="00596D56" w:rsidRDefault="00596D56" w:rsidP="0014621E">
      <w:pPr>
        <w:rPr>
          <w:rFonts w:ascii="Times New Roman" w:hAnsi="Times New Roman"/>
          <w:lang w:val="en-GB"/>
        </w:rPr>
      </w:pPr>
    </w:p>
    <w:p w14:paraId="50D289AE" w14:textId="028B9C88" w:rsidR="0014621E" w:rsidRDefault="0014621E" w:rsidP="0014621E">
      <w:pPr>
        <w:rPr>
          <w:rFonts w:ascii="Times New Roman" w:hAnsi="Times New Roman"/>
          <w:lang w:val="en-GB"/>
        </w:rPr>
      </w:pPr>
      <w:r>
        <w:rPr>
          <w:rFonts w:ascii="Times New Roman" w:hAnsi="Times New Roman"/>
          <w:lang w:val="en-GB"/>
        </w:rPr>
        <w:lastRenderedPageBreak/>
        <w:t xml:space="preserve">Article 31 of the FCA Regulation provides the following: </w:t>
      </w:r>
    </w:p>
    <w:p w14:paraId="0B751308" w14:textId="1F36C6F7" w:rsidR="0014621E" w:rsidRPr="004C0BF3" w:rsidRDefault="0014621E" w:rsidP="0014621E">
      <w:pPr>
        <w:spacing w:after="120" w:line="240" w:lineRule="auto"/>
        <w:jc w:val="both"/>
        <w:rPr>
          <w:rFonts w:ascii="Times New Roman" w:hAnsi="Times New Roman"/>
          <w:i/>
        </w:rPr>
      </w:pPr>
      <w:r w:rsidRPr="004C0BF3">
        <w:rPr>
          <w:rFonts w:ascii="Times New Roman" w:hAnsi="Times New Roman"/>
          <w:i/>
        </w:rPr>
        <w:t xml:space="preserve">“1. Long-term cross-zonal capacity shall be allocated to market participants by the allocation platform in the form of physical transmission rights pursuant to the UIOSI principle or in the form of FTRs </w:t>
      </w:r>
      <w:r w:rsidRPr="004C0BF3">
        <w:rPr>
          <w:rFonts w:ascii="Times New Roman" w:hAnsi="Times New Roman"/>
        </w:rPr>
        <w:t>–</w:t>
      </w:r>
      <w:r w:rsidRPr="004C0BF3">
        <w:rPr>
          <w:rFonts w:ascii="Times New Roman" w:hAnsi="Times New Roman"/>
          <w:i/>
        </w:rPr>
        <w:t xml:space="preserve"> options or FTRs </w:t>
      </w:r>
      <w:r w:rsidRPr="004C0BF3">
        <w:rPr>
          <w:rFonts w:ascii="Times New Roman" w:hAnsi="Times New Roman"/>
        </w:rPr>
        <w:t>–</w:t>
      </w:r>
      <w:r w:rsidRPr="004C0BF3">
        <w:rPr>
          <w:rFonts w:ascii="Times New Roman" w:hAnsi="Times New Roman"/>
          <w:i/>
        </w:rPr>
        <w:t xml:space="preserve"> obligations.” </w:t>
      </w:r>
    </w:p>
    <w:p w14:paraId="2567DF11" w14:textId="77777777" w:rsidR="0014621E" w:rsidRPr="004C0BF3" w:rsidRDefault="0014621E" w:rsidP="0014621E">
      <w:pPr>
        <w:spacing w:after="120" w:line="240" w:lineRule="auto"/>
        <w:jc w:val="both"/>
        <w:rPr>
          <w:rFonts w:ascii="Times New Roman" w:hAnsi="Times New Roman"/>
          <w:i/>
        </w:rPr>
      </w:pPr>
      <w:r w:rsidRPr="004C0BF3">
        <w:rPr>
          <w:rFonts w:ascii="Times New Roman" w:hAnsi="Times New Roman"/>
          <w:i/>
        </w:rPr>
        <w:t xml:space="preserve">“2. All TSOs issuing long-term transmission rights shall offer long-term cross-zonal capacity, through the single allocation platform, to market participants for at least annual and monthly time frames. All TSOs in each capacity calculation region may jointly propose to offer long-term cross-zonal capacity on additional time frames.” </w:t>
      </w:r>
    </w:p>
    <w:p w14:paraId="1CE55BC1" w14:textId="77777777" w:rsidR="0014621E" w:rsidRPr="004C0BF3" w:rsidRDefault="0014621E" w:rsidP="0014621E">
      <w:pPr>
        <w:spacing w:after="120" w:line="240" w:lineRule="auto"/>
        <w:jc w:val="both"/>
        <w:rPr>
          <w:rFonts w:ascii="Times New Roman" w:hAnsi="Times New Roman"/>
          <w:i/>
        </w:rPr>
      </w:pPr>
      <w:r w:rsidRPr="004C0BF3">
        <w:rPr>
          <w:rFonts w:ascii="Times New Roman" w:hAnsi="Times New Roman"/>
          <w:i/>
        </w:rPr>
        <w:t xml:space="preserve">“3. No later than six months after the entry into force of this Regulation, TSOs in each capacity calculation region where long-term transmission rights exist shall jointly develop a proposal for the regional design of long-term transmission rights to be issued on each bidding zone border within the capacity calculation region. </w:t>
      </w:r>
    </w:p>
    <w:p w14:paraId="25FDC704" w14:textId="77777777" w:rsidR="0014621E" w:rsidRPr="004C0BF3" w:rsidRDefault="0014621E" w:rsidP="0014621E">
      <w:pPr>
        <w:spacing w:after="120" w:line="240" w:lineRule="auto"/>
        <w:jc w:val="both"/>
        <w:rPr>
          <w:rFonts w:ascii="Times New Roman" w:hAnsi="Times New Roman"/>
          <w:i/>
        </w:rPr>
      </w:pPr>
      <w:r w:rsidRPr="004C0BF3">
        <w:rPr>
          <w:rFonts w:ascii="Times New Roman" w:hAnsi="Times New Roman"/>
          <w:i/>
        </w:rPr>
        <w:t xml:space="preserve">No later than six months after the coordinated decisions of the regulatory authorities of the bidding zone border to introduce long-term transmission rights pursuant Article 30(2), TSOs of the concerned capacity calculation region, shall jointly develop a proposal for the regional design of long-term transmission rights to be issued on each bidding zone border within the concerned capacity calculation region. </w:t>
      </w:r>
    </w:p>
    <w:p w14:paraId="13C8BE5F" w14:textId="77777777" w:rsidR="0014621E" w:rsidRPr="004C0BF3" w:rsidRDefault="0014621E" w:rsidP="0014621E">
      <w:pPr>
        <w:spacing w:after="120" w:line="240" w:lineRule="auto"/>
        <w:jc w:val="both"/>
        <w:rPr>
          <w:rFonts w:ascii="Times New Roman" w:hAnsi="Times New Roman"/>
          <w:i/>
        </w:rPr>
      </w:pPr>
      <w:r w:rsidRPr="004C0BF3">
        <w:rPr>
          <w:rFonts w:ascii="Times New Roman" w:hAnsi="Times New Roman"/>
          <w:i/>
        </w:rPr>
        <w:t xml:space="preserve">Regulatory authorities of Member States in which the current regional design of long-term transmission rights is part of a TSO cross-border re-dispatch arrangement for the purpose of ensuring that operation remains within operational security limits may decide to maintain physical long-term transmission rights on its bidding zone borders.” </w:t>
      </w:r>
    </w:p>
    <w:p w14:paraId="173BF4CB" w14:textId="77777777" w:rsidR="0014621E" w:rsidRPr="004C0BF3" w:rsidRDefault="0014621E" w:rsidP="0014621E">
      <w:pPr>
        <w:spacing w:after="120" w:line="240" w:lineRule="auto"/>
        <w:jc w:val="both"/>
        <w:rPr>
          <w:rFonts w:ascii="Times New Roman" w:hAnsi="Times New Roman"/>
          <w:i/>
        </w:rPr>
      </w:pPr>
      <w:r w:rsidRPr="004C0BF3">
        <w:rPr>
          <w:rFonts w:ascii="Times New Roman" w:hAnsi="Times New Roman"/>
          <w:i/>
        </w:rPr>
        <w:t xml:space="preserve">“4. The proposals referred to in paragraph 3 shall include a time schedule for implementation and at least the description of the following items specified in the allocation rules: </w:t>
      </w:r>
    </w:p>
    <w:p w14:paraId="722ABEA6" w14:textId="77777777" w:rsidR="0014621E" w:rsidRPr="004C0BF3" w:rsidRDefault="0014621E" w:rsidP="0014621E">
      <w:pPr>
        <w:spacing w:after="0" w:line="240" w:lineRule="auto"/>
        <w:jc w:val="both"/>
        <w:rPr>
          <w:rFonts w:ascii="Times New Roman" w:hAnsi="Times New Roman"/>
          <w:i/>
        </w:rPr>
      </w:pPr>
      <w:r w:rsidRPr="004C0BF3">
        <w:rPr>
          <w:rFonts w:ascii="Times New Roman" w:hAnsi="Times New Roman"/>
          <w:i/>
        </w:rPr>
        <w:t>(a) type of long-term transmission rights;</w:t>
      </w:r>
    </w:p>
    <w:p w14:paraId="6CE0DB44" w14:textId="77777777" w:rsidR="0014621E" w:rsidRPr="004C0BF3" w:rsidRDefault="0014621E" w:rsidP="0014621E">
      <w:pPr>
        <w:spacing w:after="0" w:line="240" w:lineRule="auto"/>
        <w:jc w:val="both"/>
        <w:rPr>
          <w:rFonts w:ascii="Times New Roman" w:hAnsi="Times New Roman"/>
          <w:i/>
        </w:rPr>
      </w:pPr>
      <w:r w:rsidRPr="004C0BF3">
        <w:rPr>
          <w:rFonts w:ascii="Times New Roman" w:hAnsi="Times New Roman"/>
          <w:i/>
        </w:rPr>
        <w:t xml:space="preserve">(b) forward capacity allocation time frames; </w:t>
      </w:r>
    </w:p>
    <w:p w14:paraId="0948AE60" w14:textId="77777777" w:rsidR="0014621E" w:rsidRPr="004C0BF3" w:rsidRDefault="0014621E" w:rsidP="0014621E">
      <w:pPr>
        <w:spacing w:after="0" w:line="240" w:lineRule="auto"/>
        <w:jc w:val="both"/>
        <w:rPr>
          <w:rFonts w:ascii="Times New Roman" w:hAnsi="Times New Roman"/>
          <w:i/>
        </w:rPr>
      </w:pPr>
      <w:r w:rsidRPr="004C0BF3">
        <w:rPr>
          <w:rFonts w:ascii="Times New Roman" w:hAnsi="Times New Roman"/>
          <w:i/>
        </w:rPr>
        <w:t xml:space="preserve">(c) form of product (base load, peak load, off-peak load); </w:t>
      </w:r>
    </w:p>
    <w:p w14:paraId="4456574A" w14:textId="77777777" w:rsidR="0014621E" w:rsidRPr="004C0BF3" w:rsidRDefault="0014621E" w:rsidP="0014621E">
      <w:pPr>
        <w:spacing w:after="120" w:line="240" w:lineRule="auto"/>
        <w:jc w:val="both"/>
        <w:rPr>
          <w:rFonts w:ascii="Times New Roman" w:hAnsi="Times New Roman"/>
          <w:i/>
        </w:rPr>
      </w:pPr>
      <w:r w:rsidRPr="004C0BF3">
        <w:rPr>
          <w:rFonts w:ascii="Times New Roman" w:hAnsi="Times New Roman"/>
          <w:i/>
        </w:rPr>
        <w:t xml:space="preserve">(d) the bidding zone borders covered.” </w:t>
      </w:r>
    </w:p>
    <w:p w14:paraId="3F5F977C" w14:textId="77777777" w:rsidR="0014621E" w:rsidRPr="004C0BF3" w:rsidRDefault="0014621E" w:rsidP="0014621E">
      <w:pPr>
        <w:spacing w:after="120" w:line="240" w:lineRule="auto"/>
        <w:jc w:val="both"/>
        <w:rPr>
          <w:rFonts w:ascii="Times New Roman" w:hAnsi="Times New Roman"/>
          <w:i/>
        </w:rPr>
      </w:pPr>
      <w:r w:rsidRPr="004C0BF3">
        <w:rPr>
          <w:rFonts w:ascii="Times New Roman" w:hAnsi="Times New Roman"/>
          <w:i/>
        </w:rPr>
        <w:t xml:space="preserve">“5. The proposals shall be subject to consultation in accordance with Article 6. For the proposed long-term transmission rights to be issued, each TSO shall duly consider the result of the consultation.” </w:t>
      </w:r>
    </w:p>
    <w:p w14:paraId="6D923368" w14:textId="65FA11AD" w:rsidR="00724E25" w:rsidRPr="00724E25" w:rsidRDefault="0014621E" w:rsidP="00724E25">
      <w:pPr>
        <w:spacing w:after="240"/>
        <w:jc w:val="both"/>
        <w:rPr>
          <w:rFonts w:ascii="Times New Roman" w:hAnsi="Times New Roman"/>
          <w:lang w:val="en-GB"/>
        </w:rPr>
      </w:pPr>
      <w:r w:rsidRPr="004C0BF3">
        <w:rPr>
          <w:rFonts w:ascii="Times New Roman" w:hAnsi="Times New Roman"/>
          <w:i/>
        </w:rPr>
        <w:t xml:space="preserve">“6. The allocation of physical transmission rights and FTRs - options in parallel at the same bidding zone border is not allowed. The allocation of physical transmission rights and FTRs </w:t>
      </w:r>
      <w:r w:rsidRPr="004C0BF3">
        <w:rPr>
          <w:rFonts w:ascii="Times New Roman" w:hAnsi="Times New Roman"/>
        </w:rPr>
        <w:t>–</w:t>
      </w:r>
      <w:r w:rsidRPr="004C0BF3">
        <w:rPr>
          <w:rFonts w:ascii="Times New Roman" w:hAnsi="Times New Roman"/>
          <w:i/>
        </w:rPr>
        <w:t xml:space="preserve"> obligations in parallel at </w:t>
      </w:r>
      <w:r w:rsidRPr="00724E25">
        <w:rPr>
          <w:rFonts w:ascii="Times New Roman" w:hAnsi="Times New Roman"/>
          <w:i/>
          <w:lang w:val="en-GB"/>
        </w:rPr>
        <w:t>the same bidding zone border is not allowed.”</w:t>
      </w:r>
    </w:p>
    <w:p w14:paraId="55195227" w14:textId="5F18BBDA" w:rsidR="0014621E" w:rsidRPr="00724E25" w:rsidRDefault="0014621E" w:rsidP="00724E25">
      <w:pPr>
        <w:spacing w:after="240"/>
        <w:jc w:val="both"/>
        <w:rPr>
          <w:rFonts w:ascii="Times New Roman" w:hAnsi="Times New Roman"/>
          <w:lang w:val="en-GB"/>
        </w:rPr>
      </w:pPr>
      <w:r w:rsidRPr="00724E25">
        <w:rPr>
          <w:rFonts w:ascii="Times New Roman" w:hAnsi="Times New Roman"/>
          <w:lang w:val="en-GB"/>
        </w:rPr>
        <w:t>In regards to regulatory approval, Article 8 (4) of the FCA Regulation states:</w:t>
      </w:r>
    </w:p>
    <w:p w14:paraId="3DD09D2F" w14:textId="77777777" w:rsidR="0014621E" w:rsidRPr="004C0BF3" w:rsidRDefault="0014621E" w:rsidP="0014621E">
      <w:pPr>
        <w:spacing w:after="120"/>
        <w:contextualSpacing/>
        <w:jc w:val="both"/>
        <w:rPr>
          <w:rFonts w:ascii="Times New Roman" w:hAnsi="Times New Roman"/>
          <w:i/>
        </w:rPr>
      </w:pPr>
      <w:r w:rsidRPr="004C0BF3">
        <w:rPr>
          <w:rFonts w:ascii="Times New Roman" w:hAnsi="Times New Roman"/>
          <w:i/>
        </w:rPr>
        <w:t>“The proposals for the following terms and conditions or methodologies shall be subject to approval by all regulatory authorities of the concerned region: […]</w:t>
      </w:r>
    </w:p>
    <w:p w14:paraId="795F5FD0" w14:textId="5BFCF5A2" w:rsidR="0014621E" w:rsidRPr="004C0BF3" w:rsidRDefault="0014621E" w:rsidP="00724E25">
      <w:pPr>
        <w:spacing w:after="120"/>
        <w:contextualSpacing/>
        <w:jc w:val="both"/>
        <w:rPr>
          <w:rFonts w:ascii="Times New Roman" w:hAnsi="Times New Roman"/>
        </w:rPr>
      </w:pPr>
      <w:r w:rsidRPr="00C4687C">
        <w:rPr>
          <w:rFonts w:ascii="Times New Roman" w:hAnsi="Times New Roman"/>
          <w:i/>
          <w:lang w:val="en-GB"/>
        </w:rPr>
        <w:t>(c) the regional</w:t>
      </w:r>
      <w:r w:rsidRPr="004C0BF3">
        <w:rPr>
          <w:rFonts w:ascii="Times New Roman" w:hAnsi="Times New Roman"/>
          <w:i/>
        </w:rPr>
        <w:t xml:space="preserve"> design of long-term transmission rights pursuant to Article 31”</w:t>
      </w:r>
    </w:p>
    <w:p w14:paraId="553DAC84" w14:textId="430052C8" w:rsidR="0014621E" w:rsidRDefault="0014621E" w:rsidP="0014621E">
      <w:pPr>
        <w:pStyle w:val="textregular"/>
      </w:pPr>
    </w:p>
    <w:p w14:paraId="420EFBE2" w14:textId="77777777" w:rsidR="00724E25" w:rsidRPr="00724E25" w:rsidRDefault="00724E25" w:rsidP="00724E25">
      <w:pPr>
        <w:pStyle w:val="Overskrift2"/>
        <w:rPr>
          <w:rFonts w:ascii="Times New Roman" w:hAnsi="Times New Roman"/>
          <w:color w:val="1F3864" w:themeColor="accent5" w:themeShade="80"/>
          <w:sz w:val="24"/>
          <w:szCs w:val="24"/>
          <w:lang w:val="en-GB"/>
        </w:rPr>
      </w:pPr>
      <w:bookmarkStart w:id="1" w:name="_Toc452387354"/>
      <w:r w:rsidRPr="00724E25">
        <w:rPr>
          <w:rFonts w:ascii="Times New Roman" w:hAnsi="Times New Roman"/>
          <w:color w:val="1F3864" w:themeColor="accent5" w:themeShade="80"/>
          <w:sz w:val="24"/>
          <w:szCs w:val="24"/>
          <w:lang w:val="en-GB"/>
        </w:rPr>
        <w:t>Interpretation and scope of the proposal</w:t>
      </w:r>
      <w:bookmarkEnd w:id="1"/>
    </w:p>
    <w:p w14:paraId="3FF90663" w14:textId="1C27BED8" w:rsidR="0065499C" w:rsidRDefault="00F11ABC" w:rsidP="008730AB">
      <w:pPr>
        <w:pStyle w:val="textregular"/>
      </w:pPr>
      <w:r>
        <w:t>Firstly</w:t>
      </w:r>
      <w:r w:rsidR="0052248E">
        <w:t>,</w:t>
      </w:r>
      <w:r>
        <w:t xml:space="preserve"> it should be noted that the proposal shall be a regional design of LTRs. The </w:t>
      </w:r>
      <w:r w:rsidR="00CD3D21">
        <w:t xml:space="preserve">wording </w:t>
      </w:r>
      <w:r>
        <w:t xml:space="preserve">in </w:t>
      </w:r>
      <w:r w:rsidR="00CD3D21">
        <w:t xml:space="preserve">Article 31 of </w:t>
      </w:r>
      <w:r>
        <w:t>the FCA Regulation is broad</w:t>
      </w:r>
      <w:r w:rsidR="0065499C">
        <w:t>. However it is stated that the</w:t>
      </w:r>
      <w:r>
        <w:t xml:space="preserve"> </w:t>
      </w:r>
      <w:r w:rsidR="004E52E8">
        <w:t>proposal shall</w:t>
      </w:r>
      <w:r w:rsidR="0065499C">
        <w:t xml:space="preserve"> cover at least a description of type of LTRs, time frames, for</w:t>
      </w:r>
      <w:r w:rsidR="004E52E8">
        <w:t>m</w:t>
      </w:r>
      <w:r w:rsidR="0065499C">
        <w:t xml:space="preserve"> of products and the bidding zone covered. It should be noted that the Article 31 of the FCA Regulation states that the proposal shall “at least” include the elements listed in Paragraph 4 of the Article. The list is only a minimum requirement and the Proposal for regional design of LTRs may include more.</w:t>
      </w:r>
    </w:p>
    <w:p w14:paraId="7130D848" w14:textId="7B159065" w:rsidR="008730AB" w:rsidRPr="001276C4" w:rsidRDefault="004E52E8" w:rsidP="008730AB">
      <w:pPr>
        <w:pStyle w:val="textregular"/>
      </w:pPr>
      <w:r>
        <w:lastRenderedPageBreak/>
        <w:t>Based on the above</w:t>
      </w:r>
      <w:r w:rsidR="008730AB" w:rsidRPr="001276C4">
        <w:t xml:space="preserve">, the proposal is focused on </w:t>
      </w:r>
      <w:r w:rsidR="008730AB">
        <w:t xml:space="preserve">a design </w:t>
      </w:r>
      <w:r w:rsidR="008730AB" w:rsidRPr="001276C4">
        <w:t xml:space="preserve">which </w:t>
      </w:r>
      <w:r w:rsidR="00F11ABC">
        <w:t xml:space="preserve">ensures harmonization of the allocation rules, the platform used for capacity allocation and </w:t>
      </w:r>
      <w:r>
        <w:t xml:space="preserve">a common description of the long-term product, time frame and the form of product. </w:t>
      </w:r>
      <w:r w:rsidR="00F11ABC">
        <w:t xml:space="preserve">Furthermore the design will ensure transparency by </w:t>
      </w:r>
      <w:r w:rsidR="0065499C">
        <w:t xml:space="preserve">specifying in the annex the relevant borders and their specifications. </w:t>
      </w:r>
    </w:p>
    <w:p w14:paraId="0655BD35" w14:textId="5C874B5E" w:rsidR="0065499C" w:rsidRDefault="0065499C" w:rsidP="008730AB">
      <w:pPr>
        <w:pStyle w:val="textregular"/>
      </w:pPr>
      <w:r>
        <w:t xml:space="preserve">Secondly it should be noted that </w:t>
      </w:r>
      <w:r w:rsidR="004D318D">
        <w:t>in</w:t>
      </w:r>
      <w:r w:rsidR="00CD3D21">
        <w:t xml:space="preserve"> case the NRAs request TSOs to issue LTRs pursuant to Article 30(8) in the FCA Regulation </w:t>
      </w:r>
      <w:r>
        <w:t>the TSOs in the CCR Nordic shall update the proposal</w:t>
      </w:r>
      <w:r w:rsidR="00CD3D21">
        <w:t>.</w:t>
      </w:r>
      <w:r>
        <w:t xml:space="preserve"> </w:t>
      </w:r>
    </w:p>
    <w:p w14:paraId="3C2AAF80" w14:textId="043733BF" w:rsidR="00596D56" w:rsidRPr="001276C4" w:rsidRDefault="0065499C" w:rsidP="008730AB">
      <w:pPr>
        <w:pStyle w:val="textregular"/>
      </w:pPr>
      <w:r>
        <w:t xml:space="preserve">Based on this the proposal </w:t>
      </w:r>
      <w:r w:rsidRPr="001276C4">
        <w:t xml:space="preserve">must be flexible to additional </w:t>
      </w:r>
      <w:r>
        <w:t>borders. This</w:t>
      </w:r>
      <w:r w:rsidR="008730AB" w:rsidRPr="001276C4">
        <w:t xml:space="preserve"> </w:t>
      </w:r>
      <w:r w:rsidR="00CD3D21">
        <w:t>P</w:t>
      </w:r>
      <w:r w:rsidR="008730AB" w:rsidRPr="001276C4">
        <w:t xml:space="preserve">roposal for </w:t>
      </w:r>
      <w:r>
        <w:t>design</w:t>
      </w:r>
      <w:r w:rsidR="008730AB" w:rsidRPr="001276C4">
        <w:t xml:space="preserve"> is a common proposal by all four TSOs</w:t>
      </w:r>
      <w:r>
        <w:t xml:space="preserve"> in CCR Nordic</w:t>
      </w:r>
      <w:r w:rsidR="008730AB" w:rsidRPr="001276C4">
        <w:t xml:space="preserve"> thereby ensuring that the arrangements are flexible to </w:t>
      </w:r>
      <w:r>
        <w:t>additional borders</w:t>
      </w:r>
      <w:r w:rsidR="008730AB" w:rsidRPr="001276C4">
        <w:t xml:space="preserve">. At the same time the proposed </w:t>
      </w:r>
      <w:r>
        <w:t xml:space="preserve">design is </w:t>
      </w:r>
      <w:r w:rsidR="008730AB" w:rsidRPr="001276C4">
        <w:t xml:space="preserve">flexible to </w:t>
      </w:r>
      <w:r w:rsidR="008730AB">
        <w:t xml:space="preserve">more </w:t>
      </w:r>
      <w:r>
        <w:t>TSOs</w:t>
      </w:r>
      <w:r w:rsidR="008730AB" w:rsidRPr="001276C4">
        <w:t xml:space="preserve">, should </w:t>
      </w:r>
      <w:r w:rsidR="008F7B06">
        <w:t xml:space="preserve">additional TSOs be included in the CCR Nordic at a </w:t>
      </w:r>
      <w:r w:rsidR="008730AB" w:rsidRPr="001276C4">
        <w:t xml:space="preserve">later stage.  </w:t>
      </w:r>
    </w:p>
    <w:p w14:paraId="153D4907" w14:textId="54C8D238" w:rsidR="00724E25" w:rsidRPr="008F7B06" w:rsidRDefault="00724E25" w:rsidP="00724E25">
      <w:pPr>
        <w:pStyle w:val="Brdtekst"/>
        <w:spacing w:after="0"/>
        <w:rPr>
          <w:lang w:val="en-GB"/>
        </w:rPr>
      </w:pPr>
      <w:r w:rsidRPr="00724E25">
        <w:rPr>
          <w:rFonts w:ascii="Times New Roman" w:hAnsi="Times New Roman"/>
          <w:sz w:val="22"/>
          <w:szCs w:val="19"/>
          <w:lang w:val="en-GB" w:eastAsia="de-DE"/>
        </w:rPr>
        <w:t xml:space="preserve">The following is </w:t>
      </w:r>
      <w:r w:rsidRPr="008F7B06">
        <w:rPr>
          <w:rFonts w:ascii="Times New Roman" w:hAnsi="Times New Roman"/>
          <w:sz w:val="22"/>
          <w:szCs w:val="19"/>
          <w:u w:val="single"/>
          <w:lang w:val="en-GB" w:eastAsia="de-DE"/>
        </w:rPr>
        <w:t>not</w:t>
      </w:r>
      <w:r w:rsidRPr="00724E25">
        <w:rPr>
          <w:rFonts w:ascii="Times New Roman" w:hAnsi="Times New Roman"/>
          <w:sz w:val="22"/>
          <w:szCs w:val="19"/>
          <w:lang w:val="en-GB" w:eastAsia="de-DE"/>
        </w:rPr>
        <w:t xml:space="preserve"> part of this proposal</w:t>
      </w:r>
      <w:r w:rsidR="004D318D">
        <w:rPr>
          <w:rFonts w:ascii="Times New Roman" w:hAnsi="Times New Roman"/>
          <w:sz w:val="22"/>
          <w:szCs w:val="19"/>
          <w:lang w:val="en-GB" w:eastAsia="de-DE"/>
        </w:rPr>
        <w:t>,</w:t>
      </w:r>
      <w:r w:rsidR="00857AF5">
        <w:rPr>
          <w:rFonts w:ascii="Times New Roman" w:hAnsi="Times New Roman"/>
          <w:sz w:val="22"/>
          <w:szCs w:val="19"/>
          <w:lang w:val="en-GB" w:eastAsia="de-DE"/>
        </w:rPr>
        <w:t xml:space="preserve"> but should be </w:t>
      </w:r>
      <w:r w:rsidR="004D318D">
        <w:rPr>
          <w:rFonts w:ascii="Times New Roman" w:hAnsi="Times New Roman"/>
          <w:sz w:val="22"/>
          <w:szCs w:val="19"/>
          <w:lang w:val="en-GB" w:eastAsia="de-DE"/>
        </w:rPr>
        <w:t>applied</w:t>
      </w:r>
      <w:r w:rsidR="00857AF5">
        <w:rPr>
          <w:rFonts w:ascii="Times New Roman" w:hAnsi="Times New Roman"/>
          <w:sz w:val="22"/>
          <w:szCs w:val="19"/>
          <w:lang w:val="en-GB" w:eastAsia="de-DE"/>
        </w:rPr>
        <w:t xml:space="preserve"> from such a time these have been approved and implemented</w:t>
      </w:r>
      <w:r w:rsidRPr="00724E25">
        <w:rPr>
          <w:rFonts w:ascii="Times New Roman" w:hAnsi="Times New Roman"/>
          <w:sz w:val="22"/>
          <w:szCs w:val="19"/>
          <w:lang w:val="en-GB" w:eastAsia="de-DE"/>
        </w:rPr>
        <w:t>:</w:t>
      </w:r>
    </w:p>
    <w:p w14:paraId="6B274D09" w14:textId="630D94AF" w:rsidR="00724E25" w:rsidRPr="00724E25" w:rsidRDefault="00724E25" w:rsidP="00724E25">
      <w:pPr>
        <w:pStyle w:val="Brdtekst"/>
        <w:numPr>
          <w:ilvl w:val="0"/>
          <w:numId w:val="34"/>
        </w:numPr>
        <w:spacing w:after="0"/>
        <w:rPr>
          <w:rFonts w:ascii="Times New Roman" w:hAnsi="Times New Roman"/>
          <w:sz w:val="22"/>
          <w:szCs w:val="19"/>
          <w:lang w:val="en-GB" w:eastAsia="de-DE"/>
        </w:rPr>
      </w:pPr>
      <w:r>
        <w:rPr>
          <w:rFonts w:ascii="Times New Roman" w:hAnsi="Times New Roman"/>
          <w:sz w:val="22"/>
          <w:szCs w:val="19"/>
          <w:lang w:val="en-GB" w:eastAsia="de-DE"/>
        </w:rPr>
        <w:t>T</w:t>
      </w:r>
      <w:r w:rsidRPr="00724E25">
        <w:rPr>
          <w:rFonts w:ascii="Times New Roman" w:hAnsi="Times New Roman"/>
          <w:sz w:val="22"/>
          <w:szCs w:val="19"/>
          <w:lang w:val="en-GB" w:eastAsia="de-DE"/>
        </w:rPr>
        <w:t xml:space="preserve">ransparency requirements. This is not seen as directly relating to </w:t>
      </w:r>
      <w:r w:rsidR="008730AB">
        <w:rPr>
          <w:rFonts w:ascii="Times New Roman" w:hAnsi="Times New Roman"/>
          <w:sz w:val="22"/>
          <w:szCs w:val="19"/>
          <w:lang w:val="en-GB" w:eastAsia="de-DE"/>
        </w:rPr>
        <w:t xml:space="preserve">the </w:t>
      </w:r>
      <w:r>
        <w:rPr>
          <w:rFonts w:ascii="Times New Roman" w:hAnsi="Times New Roman"/>
          <w:sz w:val="22"/>
          <w:szCs w:val="19"/>
          <w:lang w:val="en-GB" w:eastAsia="de-DE"/>
        </w:rPr>
        <w:t>regional design</w:t>
      </w:r>
      <w:r w:rsidRPr="00724E25">
        <w:rPr>
          <w:rFonts w:ascii="Times New Roman" w:hAnsi="Times New Roman"/>
          <w:sz w:val="22"/>
          <w:szCs w:val="19"/>
          <w:lang w:val="en-GB" w:eastAsia="de-DE"/>
        </w:rPr>
        <w:t>.</w:t>
      </w:r>
    </w:p>
    <w:p w14:paraId="5DC334A6" w14:textId="71271AAC" w:rsidR="00724E25" w:rsidRPr="00724E25" w:rsidRDefault="00724E25" w:rsidP="00724E25">
      <w:pPr>
        <w:pStyle w:val="Brdtekst"/>
        <w:numPr>
          <w:ilvl w:val="0"/>
          <w:numId w:val="34"/>
        </w:numPr>
        <w:spacing w:after="0"/>
        <w:rPr>
          <w:rFonts w:ascii="Times New Roman" w:hAnsi="Times New Roman"/>
          <w:sz w:val="22"/>
          <w:szCs w:val="19"/>
          <w:lang w:val="en-GB" w:eastAsia="de-DE"/>
        </w:rPr>
      </w:pPr>
      <w:r>
        <w:rPr>
          <w:rFonts w:ascii="Times New Roman" w:hAnsi="Times New Roman"/>
          <w:sz w:val="22"/>
          <w:szCs w:val="19"/>
          <w:lang w:val="en-GB" w:eastAsia="de-DE"/>
        </w:rPr>
        <w:t xml:space="preserve">Single </w:t>
      </w:r>
      <w:r w:rsidR="00857AF5">
        <w:rPr>
          <w:rFonts w:ascii="Times New Roman" w:hAnsi="Times New Roman"/>
          <w:sz w:val="22"/>
          <w:szCs w:val="19"/>
          <w:lang w:val="en-GB" w:eastAsia="de-DE"/>
        </w:rPr>
        <w:t>A</w:t>
      </w:r>
      <w:r>
        <w:rPr>
          <w:rFonts w:ascii="Times New Roman" w:hAnsi="Times New Roman"/>
          <w:sz w:val="22"/>
          <w:szCs w:val="19"/>
          <w:lang w:val="en-GB" w:eastAsia="de-DE"/>
        </w:rPr>
        <w:t xml:space="preserve">llocation </w:t>
      </w:r>
      <w:r w:rsidR="00857AF5">
        <w:rPr>
          <w:rFonts w:ascii="Times New Roman" w:hAnsi="Times New Roman"/>
          <w:sz w:val="22"/>
          <w:szCs w:val="19"/>
          <w:lang w:val="en-GB" w:eastAsia="de-DE"/>
        </w:rPr>
        <w:t>P</w:t>
      </w:r>
      <w:r>
        <w:rPr>
          <w:rFonts w:ascii="Times New Roman" w:hAnsi="Times New Roman"/>
          <w:sz w:val="22"/>
          <w:szCs w:val="19"/>
          <w:lang w:val="en-GB" w:eastAsia="de-DE"/>
        </w:rPr>
        <w:t>latform requirements</w:t>
      </w:r>
      <w:r w:rsidR="00D26AED">
        <w:rPr>
          <w:rFonts w:ascii="Times New Roman" w:hAnsi="Times New Roman"/>
          <w:sz w:val="22"/>
          <w:szCs w:val="19"/>
          <w:lang w:val="en-GB" w:eastAsia="de-DE"/>
        </w:rPr>
        <w:t>, according to Article 48</w:t>
      </w:r>
      <w:r w:rsidRPr="00724E25">
        <w:rPr>
          <w:rFonts w:ascii="Times New Roman" w:hAnsi="Times New Roman"/>
          <w:sz w:val="22"/>
          <w:szCs w:val="19"/>
          <w:lang w:val="en-GB" w:eastAsia="de-DE"/>
        </w:rPr>
        <w:t xml:space="preserve"> of the </w:t>
      </w:r>
      <w:r w:rsidR="00D26AED">
        <w:rPr>
          <w:rFonts w:ascii="Times New Roman" w:hAnsi="Times New Roman"/>
          <w:sz w:val="22"/>
          <w:szCs w:val="19"/>
          <w:lang w:val="en-GB" w:eastAsia="de-DE"/>
        </w:rPr>
        <w:t>FCA</w:t>
      </w:r>
      <w:r w:rsidRPr="00724E25">
        <w:rPr>
          <w:rFonts w:ascii="Times New Roman" w:hAnsi="Times New Roman"/>
          <w:sz w:val="22"/>
          <w:szCs w:val="19"/>
          <w:lang w:val="en-GB" w:eastAsia="de-DE"/>
        </w:rPr>
        <w:t xml:space="preserve"> Regulation, require separate </w:t>
      </w:r>
      <w:r w:rsidR="00D26AED">
        <w:rPr>
          <w:rFonts w:ascii="Times New Roman" w:hAnsi="Times New Roman"/>
          <w:sz w:val="22"/>
          <w:szCs w:val="19"/>
          <w:lang w:val="en-GB" w:eastAsia="de-DE"/>
        </w:rPr>
        <w:t xml:space="preserve">all </w:t>
      </w:r>
      <w:r w:rsidRPr="00724E25">
        <w:rPr>
          <w:rFonts w:ascii="Times New Roman" w:hAnsi="Times New Roman"/>
          <w:sz w:val="22"/>
          <w:szCs w:val="19"/>
          <w:lang w:val="en-GB" w:eastAsia="de-DE"/>
        </w:rPr>
        <w:t>NRA approval.</w:t>
      </w:r>
    </w:p>
    <w:p w14:paraId="7DF711B6" w14:textId="5F9F6A9A" w:rsidR="00D26AED" w:rsidRDefault="00D26AED" w:rsidP="00724E25">
      <w:pPr>
        <w:pStyle w:val="Brdtekst"/>
        <w:numPr>
          <w:ilvl w:val="0"/>
          <w:numId w:val="34"/>
        </w:numPr>
        <w:spacing w:after="0"/>
        <w:rPr>
          <w:rFonts w:ascii="Times New Roman" w:hAnsi="Times New Roman"/>
          <w:sz w:val="22"/>
          <w:szCs w:val="19"/>
          <w:lang w:val="en-GB" w:eastAsia="de-DE"/>
        </w:rPr>
      </w:pPr>
      <w:r>
        <w:rPr>
          <w:rFonts w:ascii="Times New Roman" w:hAnsi="Times New Roman"/>
          <w:sz w:val="22"/>
          <w:szCs w:val="19"/>
          <w:lang w:val="en-GB" w:eastAsia="de-DE"/>
        </w:rPr>
        <w:t>Harmonised allocation rules</w:t>
      </w:r>
      <w:r w:rsidR="00CD3D21">
        <w:rPr>
          <w:rFonts w:ascii="Times New Roman" w:hAnsi="Times New Roman"/>
          <w:sz w:val="22"/>
          <w:szCs w:val="19"/>
          <w:lang w:val="en-GB" w:eastAsia="de-DE"/>
        </w:rPr>
        <w:t xml:space="preserve"> (here</w:t>
      </w:r>
      <w:r w:rsidR="007B3B61">
        <w:rPr>
          <w:rFonts w:ascii="Times New Roman" w:hAnsi="Times New Roman"/>
          <w:sz w:val="22"/>
          <w:szCs w:val="19"/>
          <w:lang w:val="en-GB" w:eastAsia="de-DE"/>
        </w:rPr>
        <w:t>in</w:t>
      </w:r>
      <w:r w:rsidR="00CD3D21">
        <w:rPr>
          <w:rFonts w:ascii="Times New Roman" w:hAnsi="Times New Roman"/>
          <w:sz w:val="22"/>
          <w:szCs w:val="19"/>
          <w:lang w:val="en-GB" w:eastAsia="de-DE"/>
        </w:rPr>
        <w:t>after “</w:t>
      </w:r>
      <w:r w:rsidR="00CD3D21" w:rsidRPr="007B3B61">
        <w:rPr>
          <w:rFonts w:ascii="Times New Roman" w:hAnsi="Times New Roman"/>
          <w:b/>
          <w:sz w:val="22"/>
          <w:szCs w:val="19"/>
          <w:lang w:val="en-GB" w:eastAsia="de-DE"/>
        </w:rPr>
        <w:t>EU HAR</w:t>
      </w:r>
      <w:r w:rsidR="00CD3D21">
        <w:rPr>
          <w:rFonts w:ascii="Times New Roman" w:hAnsi="Times New Roman"/>
          <w:sz w:val="22"/>
          <w:szCs w:val="19"/>
          <w:lang w:val="en-GB" w:eastAsia="de-DE"/>
        </w:rPr>
        <w:t>”)</w:t>
      </w:r>
      <w:r>
        <w:rPr>
          <w:rFonts w:ascii="Times New Roman" w:hAnsi="Times New Roman"/>
          <w:sz w:val="22"/>
          <w:szCs w:val="19"/>
          <w:lang w:val="en-GB" w:eastAsia="de-DE"/>
        </w:rPr>
        <w:t>, according to Article 51 of the FCA Regulation, require separate all NRA approval.</w:t>
      </w:r>
    </w:p>
    <w:p w14:paraId="22FC725D" w14:textId="79284326" w:rsidR="00D26AED" w:rsidRDefault="00D26AED" w:rsidP="00724E25">
      <w:pPr>
        <w:pStyle w:val="Brdtekst"/>
        <w:numPr>
          <w:ilvl w:val="0"/>
          <w:numId w:val="34"/>
        </w:numPr>
        <w:spacing w:after="0"/>
        <w:rPr>
          <w:rFonts w:ascii="Times New Roman" w:hAnsi="Times New Roman"/>
          <w:sz w:val="22"/>
          <w:szCs w:val="19"/>
          <w:lang w:val="en-GB" w:eastAsia="de-DE"/>
        </w:rPr>
      </w:pPr>
      <w:r>
        <w:rPr>
          <w:rFonts w:ascii="Times New Roman" w:hAnsi="Times New Roman"/>
          <w:sz w:val="22"/>
          <w:szCs w:val="19"/>
          <w:lang w:val="en-GB" w:eastAsia="de-DE"/>
        </w:rPr>
        <w:t>Nomination rules, according to Article 36 of the FCA Regulation, require separate approval by relevant NRA</w:t>
      </w:r>
      <w:r w:rsidR="00CD3D21">
        <w:rPr>
          <w:rFonts w:ascii="Times New Roman" w:hAnsi="Times New Roman"/>
          <w:sz w:val="22"/>
          <w:szCs w:val="19"/>
          <w:lang w:val="en-GB" w:eastAsia="de-DE"/>
        </w:rPr>
        <w:t>s</w:t>
      </w:r>
      <w:r>
        <w:rPr>
          <w:rFonts w:ascii="Times New Roman" w:hAnsi="Times New Roman"/>
          <w:sz w:val="22"/>
          <w:szCs w:val="19"/>
          <w:lang w:val="en-GB" w:eastAsia="de-DE"/>
        </w:rPr>
        <w:t>.</w:t>
      </w:r>
    </w:p>
    <w:p w14:paraId="05297768" w14:textId="61068FE7" w:rsidR="00D26AED" w:rsidRDefault="008730AB" w:rsidP="00724E25">
      <w:pPr>
        <w:pStyle w:val="Brdtekst"/>
        <w:numPr>
          <w:ilvl w:val="0"/>
          <w:numId w:val="34"/>
        </w:numPr>
        <w:spacing w:after="0"/>
        <w:rPr>
          <w:rFonts w:ascii="Times New Roman" w:hAnsi="Times New Roman"/>
          <w:sz w:val="22"/>
          <w:szCs w:val="19"/>
          <w:lang w:val="en-GB" w:eastAsia="de-DE"/>
        </w:rPr>
      </w:pPr>
      <w:r>
        <w:rPr>
          <w:rFonts w:ascii="Times New Roman" w:hAnsi="Times New Roman"/>
          <w:sz w:val="22"/>
          <w:szCs w:val="19"/>
          <w:lang w:val="en-GB" w:eastAsia="de-DE"/>
        </w:rPr>
        <w:t>Methodology for splitting long-term cross-zonal capacity, according to Article 16 of the FCA Regulation, require separate NRA approval on CCR level</w:t>
      </w:r>
    </w:p>
    <w:p w14:paraId="6AC13E1B" w14:textId="241F52B4" w:rsidR="0019419C" w:rsidRDefault="008730AB" w:rsidP="008730AB">
      <w:pPr>
        <w:pStyle w:val="Brdtekst"/>
        <w:numPr>
          <w:ilvl w:val="0"/>
          <w:numId w:val="34"/>
        </w:numPr>
        <w:spacing w:after="0"/>
        <w:rPr>
          <w:rFonts w:ascii="Times New Roman" w:hAnsi="Times New Roman"/>
          <w:sz w:val="22"/>
          <w:szCs w:val="19"/>
          <w:lang w:val="en-GB" w:eastAsia="de-DE"/>
        </w:rPr>
      </w:pPr>
      <w:r>
        <w:rPr>
          <w:rFonts w:ascii="Times New Roman" w:hAnsi="Times New Roman"/>
          <w:sz w:val="22"/>
          <w:szCs w:val="19"/>
          <w:lang w:val="en-GB" w:eastAsia="de-DE"/>
        </w:rPr>
        <w:t xml:space="preserve">Methodology for capacity calculation for long-term timeframes, according to Article 10 of the FCA regulation, require separate NRA approval on CCR level.   </w:t>
      </w:r>
    </w:p>
    <w:p w14:paraId="60B48D7E" w14:textId="77777777" w:rsidR="008730AB" w:rsidRPr="008730AB" w:rsidRDefault="008730AB" w:rsidP="008730AB">
      <w:pPr>
        <w:pStyle w:val="Brdtekst"/>
        <w:spacing w:after="0"/>
        <w:ind w:left="720"/>
        <w:rPr>
          <w:rFonts w:ascii="Times New Roman" w:hAnsi="Times New Roman"/>
          <w:sz w:val="22"/>
          <w:szCs w:val="19"/>
          <w:lang w:val="en-GB" w:eastAsia="de-DE"/>
        </w:rPr>
      </w:pPr>
    </w:p>
    <w:p w14:paraId="6E8E4C5A" w14:textId="595E7076" w:rsidR="0019419C" w:rsidRPr="00724E25" w:rsidRDefault="0017252D" w:rsidP="00724E25">
      <w:pPr>
        <w:pStyle w:val="Overskrift1"/>
        <w:rPr>
          <w:rFonts w:ascii="Times New Roman" w:hAnsi="Times New Roman"/>
          <w:color w:val="1F3864" w:themeColor="accent5" w:themeShade="80"/>
          <w:lang w:val="en-GB"/>
        </w:rPr>
      </w:pPr>
      <w:r>
        <w:rPr>
          <w:rFonts w:ascii="Times New Roman" w:hAnsi="Times New Roman"/>
          <w:color w:val="1F3864" w:themeColor="accent5" w:themeShade="80"/>
          <w:lang w:val="en-GB"/>
        </w:rPr>
        <w:t>Present design</w:t>
      </w:r>
    </w:p>
    <w:p w14:paraId="2B0248A0" w14:textId="50FC7B41" w:rsidR="00C4687C" w:rsidRDefault="00597D45" w:rsidP="004E52E8">
      <w:pPr>
        <w:rPr>
          <w:rFonts w:ascii="Times New Roman" w:hAnsi="Times New Roman"/>
          <w:lang w:val="en-GB"/>
        </w:rPr>
      </w:pPr>
      <w:r w:rsidRPr="004E52E8">
        <w:rPr>
          <w:rFonts w:ascii="Times New Roman" w:hAnsi="Times New Roman"/>
          <w:lang w:val="en-GB"/>
        </w:rPr>
        <w:t xml:space="preserve">At the entry into force of the FCA Regulation, </w:t>
      </w:r>
      <w:r w:rsidR="004E52E8" w:rsidRPr="004E52E8">
        <w:rPr>
          <w:rFonts w:ascii="Times New Roman" w:hAnsi="Times New Roman"/>
          <w:lang w:val="en-GB"/>
        </w:rPr>
        <w:t xml:space="preserve">LTRs </w:t>
      </w:r>
      <w:r w:rsidRPr="004E52E8">
        <w:rPr>
          <w:rFonts w:ascii="Times New Roman" w:hAnsi="Times New Roman"/>
          <w:lang w:val="en-GB"/>
        </w:rPr>
        <w:t>were in use on the interconnector between West</w:t>
      </w:r>
      <w:r w:rsidR="004E52E8" w:rsidRPr="004E52E8">
        <w:rPr>
          <w:rFonts w:ascii="Times New Roman" w:hAnsi="Times New Roman"/>
          <w:lang w:val="en-GB"/>
        </w:rPr>
        <w:t xml:space="preserve"> Denmark (DK1)</w:t>
      </w:r>
      <w:r w:rsidRPr="004E52E8">
        <w:rPr>
          <w:rFonts w:ascii="Times New Roman" w:hAnsi="Times New Roman"/>
          <w:lang w:val="en-GB"/>
        </w:rPr>
        <w:t xml:space="preserve"> and East Denmark </w:t>
      </w:r>
      <w:r w:rsidR="004E52E8" w:rsidRPr="004E52E8">
        <w:rPr>
          <w:rFonts w:ascii="Times New Roman" w:hAnsi="Times New Roman"/>
          <w:lang w:val="en-GB"/>
        </w:rPr>
        <w:t xml:space="preserve">(DK2) </w:t>
      </w:r>
      <w:r w:rsidR="004E52E8">
        <w:rPr>
          <w:rFonts w:ascii="Times New Roman" w:hAnsi="Times New Roman"/>
          <w:lang w:val="en-GB"/>
        </w:rPr>
        <w:t>(hereinafter referred as “</w:t>
      </w:r>
      <w:r w:rsidR="004E52E8" w:rsidRPr="004E52E8">
        <w:rPr>
          <w:rFonts w:ascii="Times New Roman" w:hAnsi="Times New Roman"/>
          <w:b/>
          <w:lang w:val="en-GB"/>
        </w:rPr>
        <w:t>Great-belt interconnector</w:t>
      </w:r>
      <w:r w:rsidR="004E52E8">
        <w:rPr>
          <w:rFonts w:ascii="Times New Roman" w:hAnsi="Times New Roman"/>
          <w:lang w:val="en-GB"/>
        </w:rPr>
        <w:t>”)</w:t>
      </w:r>
      <w:r w:rsidRPr="004E52E8">
        <w:rPr>
          <w:rFonts w:ascii="Times New Roman" w:hAnsi="Times New Roman"/>
          <w:lang w:val="en-GB"/>
        </w:rPr>
        <w:t xml:space="preserve"> in CCR Nordic. </w:t>
      </w:r>
    </w:p>
    <w:p w14:paraId="6E7AE916" w14:textId="47EA9C32" w:rsidR="00C4687C" w:rsidRPr="00C4687C" w:rsidRDefault="007B0D02" w:rsidP="00C4687C">
      <w:pPr>
        <w:spacing w:after="240"/>
        <w:jc w:val="both"/>
        <w:rPr>
          <w:rFonts w:ascii="Times New Roman" w:hAnsi="Times New Roman"/>
          <w:lang w:val="en-GB"/>
        </w:rPr>
      </w:pPr>
      <w:r>
        <w:rPr>
          <w:rFonts w:ascii="Times New Roman" w:hAnsi="Times New Roman"/>
          <w:lang w:val="en-GB"/>
        </w:rPr>
        <w:t>The capacity is allocated though the Joint Allocation Office (Hereinafter referred as “</w:t>
      </w:r>
      <w:r w:rsidRPr="007B0D02">
        <w:rPr>
          <w:rFonts w:ascii="Times New Roman" w:hAnsi="Times New Roman"/>
          <w:b/>
          <w:lang w:val="en-GB"/>
        </w:rPr>
        <w:t>JAO</w:t>
      </w:r>
      <w:r>
        <w:rPr>
          <w:rFonts w:ascii="Times New Roman" w:hAnsi="Times New Roman"/>
          <w:lang w:val="en-GB"/>
        </w:rPr>
        <w:t>”)</w:t>
      </w:r>
      <w:r w:rsidR="00C4687C">
        <w:rPr>
          <w:rFonts w:ascii="Times New Roman" w:hAnsi="Times New Roman"/>
          <w:lang w:val="en-GB"/>
        </w:rPr>
        <w:t>.</w:t>
      </w:r>
      <w:r>
        <w:rPr>
          <w:rFonts w:ascii="Times New Roman" w:hAnsi="Times New Roman"/>
          <w:lang w:val="en-GB"/>
        </w:rPr>
        <w:t xml:space="preserve"> </w:t>
      </w:r>
      <w:r w:rsidR="00C4687C" w:rsidRPr="00C4687C">
        <w:rPr>
          <w:rFonts w:ascii="Times New Roman" w:hAnsi="Times New Roman"/>
          <w:lang w:val="en-GB"/>
        </w:rPr>
        <w:t xml:space="preserve">JAO is a joint-venture owned solely by TSOs, constitutes a vehicle of cooperation which is the result of the merger of two former joint-ventures: on the one hand, the Capacity Allocation Service Company (“CASC”) and the Centrale Allocation Office (“CAO”). Those two companies were both regional platforms set up and operated by the TSOs themselves (notably in application of Article 6 of the Directive 2009/72/EC) in order to implement forward capacity allocation in two different regions (central west Europe and -central east Europe). </w:t>
      </w:r>
    </w:p>
    <w:p w14:paraId="5A5BE9E7" w14:textId="4DC08705" w:rsidR="0019419C" w:rsidRDefault="00C4687C" w:rsidP="00680F43">
      <w:pPr>
        <w:spacing w:after="240"/>
        <w:jc w:val="both"/>
        <w:rPr>
          <w:rFonts w:ascii="Times New Roman" w:hAnsi="Times New Roman"/>
          <w:lang w:val="en-GB"/>
        </w:rPr>
      </w:pPr>
      <w:r>
        <w:rPr>
          <w:rFonts w:ascii="Times New Roman" w:hAnsi="Times New Roman"/>
          <w:lang w:val="en-GB"/>
        </w:rPr>
        <w:t xml:space="preserve">The </w:t>
      </w:r>
      <w:r w:rsidR="0052248E">
        <w:rPr>
          <w:rFonts w:ascii="Times New Roman" w:hAnsi="Times New Roman"/>
          <w:lang w:val="en-GB"/>
        </w:rPr>
        <w:t>long-term c</w:t>
      </w:r>
      <w:r>
        <w:rPr>
          <w:rFonts w:ascii="Times New Roman" w:hAnsi="Times New Roman"/>
          <w:lang w:val="en-GB"/>
        </w:rPr>
        <w:t xml:space="preserve">apacity </w:t>
      </w:r>
      <w:r w:rsidR="007B0D02">
        <w:rPr>
          <w:rFonts w:ascii="Times New Roman" w:hAnsi="Times New Roman"/>
          <w:lang w:val="en-GB"/>
        </w:rPr>
        <w:t xml:space="preserve">is sold as </w:t>
      </w:r>
      <w:r>
        <w:rPr>
          <w:rFonts w:ascii="Times New Roman" w:hAnsi="Times New Roman"/>
          <w:lang w:val="en-GB"/>
        </w:rPr>
        <w:t xml:space="preserve">a </w:t>
      </w:r>
      <w:r w:rsidR="007B0D02">
        <w:rPr>
          <w:rFonts w:ascii="Times New Roman" w:hAnsi="Times New Roman"/>
          <w:lang w:val="en-GB"/>
        </w:rPr>
        <w:t xml:space="preserve">base Physical </w:t>
      </w:r>
      <w:r w:rsidR="00857AF5">
        <w:rPr>
          <w:rFonts w:ascii="Times New Roman" w:hAnsi="Times New Roman"/>
          <w:lang w:val="en-GB"/>
        </w:rPr>
        <w:t>t</w:t>
      </w:r>
      <w:r w:rsidR="007B0D02">
        <w:rPr>
          <w:rFonts w:ascii="Times New Roman" w:hAnsi="Times New Roman"/>
          <w:lang w:val="en-GB"/>
        </w:rPr>
        <w:t>ransmission rights</w:t>
      </w:r>
      <w:r w:rsidR="00857AF5">
        <w:rPr>
          <w:rFonts w:ascii="Times New Roman" w:hAnsi="Times New Roman"/>
          <w:lang w:val="en-GB"/>
        </w:rPr>
        <w:t xml:space="preserve"> (Hereinafter “</w:t>
      </w:r>
      <w:r w:rsidR="00857AF5" w:rsidRPr="00741058">
        <w:rPr>
          <w:rFonts w:ascii="Times New Roman" w:hAnsi="Times New Roman"/>
          <w:b/>
          <w:lang w:val="en-GB"/>
        </w:rPr>
        <w:t>PTR</w:t>
      </w:r>
      <w:r w:rsidR="00857AF5">
        <w:rPr>
          <w:rFonts w:ascii="Times New Roman" w:hAnsi="Times New Roman"/>
          <w:lang w:val="en-GB"/>
        </w:rPr>
        <w:t>”)</w:t>
      </w:r>
      <w:r w:rsidR="007B0D02">
        <w:rPr>
          <w:rFonts w:ascii="Times New Roman" w:hAnsi="Times New Roman"/>
          <w:lang w:val="en-GB"/>
        </w:rPr>
        <w:t xml:space="preserve"> on a monthly basis. </w:t>
      </w:r>
      <w:r w:rsidR="007B0D02" w:rsidRPr="004C0BF3">
        <w:rPr>
          <w:rFonts w:ascii="Times New Roman" w:hAnsi="Times New Roman"/>
        </w:rPr>
        <w:t xml:space="preserve">The allocation process/procedure, the requirements for participation, financial matters, nomination rules, curtailment and compensation rules, rules for market participants in case they are transferring their LTRs, and rules as regards to force majeure and liability for the LTRs on the Geat-belt interconnector is given in </w:t>
      </w:r>
      <w:r w:rsidR="007B0D02">
        <w:rPr>
          <w:rFonts w:ascii="Times New Roman" w:hAnsi="Times New Roman"/>
          <w:lang w:val="en-GB"/>
        </w:rPr>
        <w:t xml:space="preserve">the </w:t>
      </w:r>
      <w:r w:rsidR="00CD3D21">
        <w:rPr>
          <w:rFonts w:ascii="Times New Roman" w:hAnsi="Times New Roman"/>
          <w:lang w:val="en-GB"/>
        </w:rPr>
        <w:t xml:space="preserve">EU HAR </w:t>
      </w:r>
      <w:r w:rsidR="007B0D02" w:rsidRPr="004C0BF3">
        <w:rPr>
          <w:rFonts w:ascii="Times New Roman" w:hAnsi="Times New Roman"/>
        </w:rPr>
        <w:t>for 2017</w:t>
      </w:r>
      <w:r w:rsidRPr="004C0BF3">
        <w:rPr>
          <w:rFonts w:ascii="Times New Roman" w:hAnsi="Times New Roman"/>
        </w:rPr>
        <w:t>. The EU HAR for 2017</w:t>
      </w:r>
      <w:r w:rsidR="007B0D02" w:rsidRPr="004C0BF3">
        <w:rPr>
          <w:rFonts w:ascii="Times New Roman" w:hAnsi="Times New Roman"/>
        </w:rPr>
        <w:t xml:space="preserve"> has been</w:t>
      </w:r>
      <w:r w:rsidRPr="004C0BF3">
        <w:rPr>
          <w:rFonts w:ascii="Times New Roman" w:hAnsi="Times New Roman"/>
        </w:rPr>
        <w:t xml:space="preserve"> established</w:t>
      </w:r>
      <w:r w:rsidR="007B0D02" w:rsidRPr="004C0BF3">
        <w:rPr>
          <w:rFonts w:ascii="Times New Roman" w:hAnsi="Times New Roman"/>
        </w:rPr>
        <w:t xml:space="preserve"> by all TSOs as an early implementation</w:t>
      </w:r>
      <w:r w:rsidRPr="004C0BF3">
        <w:rPr>
          <w:rFonts w:ascii="Times New Roman" w:hAnsi="Times New Roman"/>
        </w:rPr>
        <w:t xml:space="preserve"> project </w:t>
      </w:r>
      <w:r w:rsidR="007B0D02" w:rsidRPr="004C0BF3">
        <w:rPr>
          <w:rFonts w:ascii="Times New Roman" w:hAnsi="Times New Roman"/>
        </w:rPr>
        <w:t xml:space="preserve">and approved by all NRAs in 2016. </w:t>
      </w:r>
      <w:r w:rsidR="0052248E" w:rsidRPr="004C0BF3">
        <w:rPr>
          <w:rFonts w:ascii="Times New Roman" w:hAnsi="Times New Roman"/>
        </w:rPr>
        <w:t xml:space="preserve">The EU HAR according to </w:t>
      </w:r>
      <w:r w:rsidR="00857AF5">
        <w:rPr>
          <w:rFonts w:ascii="Times New Roman" w:hAnsi="Times New Roman"/>
        </w:rPr>
        <w:t>A</w:t>
      </w:r>
      <w:r w:rsidR="0052248E" w:rsidRPr="004C0BF3">
        <w:rPr>
          <w:rFonts w:ascii="Times New Roman" w:hAnsi="Times New Roman"/>
        </w:rPr>
        <w:t xml:space="preserve">rticle 51 of the FCA Regulation has been submitted by all TSOs for approval by all NRAs in April </w:t>
      </w:r>
      <w:r w:rsidR="00857AF5">
        <w:rPr>
          <w:rFonts w:ascii="Times New Roman" w:hAnsi="Times New Roman"/>
        </w:rPr>
        <w:t>2017</w:t>
      </w:r>
      <w:r w:rsidR="0052248E" w:rsidRPr="004C0BF3">
        <w:rPr>
          <w:rFonts w:ascii="Times New Roman" w:hAnsi="Times New Roman"/>
        </w:rPr>
        <w:t>.</w:t>
      </w:r>
    </w:p>
    <w:p w14:paraId="2F8DFE9E" w14:textId="0A5AF683" w:rsidR="0019419C" w:rsidRPr="00724E25" w:rsidRDefault="0017252D" w:rsidP="00724E25">
      <w:pPr>
        <w:pStyle w:val="Overskrift1"/>
        <w:rPr>
          <w:rFonts w:ascii="Times New Roman" w:hAnsi="Times New Roman"/>
          <w:color w:val="1F3864" w:themeColor="accent5" w:themeShade="80"/>
          <w:lang w:val="en-GB"/>
        </w:rPr>
      </w:pPr>
      <w:r>
        <w:rPr>
          <w:rFonts w:ascii="Times New Roman" w:hAnsi="Times New Roman"/>
          <w:color w:val="1F3864" w:themeColor="accent5" w:themeShade="80"/>
          <w:lang w:val="en-GB"/>
        </w:rPr>
        <w:lastRenderedPageBreak/>
        <w:t>Prop</w:t>
      </w:r>
      <w:bookmarkStart w:id="2" w:name="_GoBack"/>
      <w:bookmarkEnd w:id="2"/>
      <w:r>
        <w:rPr>
          <w:rFonts w:ascii="Times New Roman" w:hAnsi="Times New Roman"/>
          <w:color w:val="1F3864" w:themeColor="accent5" w:themeShade="80"/>
          <w:lang w:val="en-GB"/>
        </w:rPr>
        <w:t>osed future design</w:t>
      </w:r>
    </w:p>
    <w:p w14:paraId="13293975" w14:textId="6E08BB95" w:rsidR="0019419C" w:rsidRDefault="0017252D" w:rsidP="00680F43">
      <w:pPr>
        <w:spacing w:after="240"/>
        <w:jc w:val="both"/>
        <w:rPr>
          <w:rFonts w:ascii="Times New Roman" w:hAnsi="Times New Roman"/>
          <w:lang w:val="en-GB"/>
        </w:rPr>
      </w:pPr>
      <w:r>
        <w:rPr>
          <w:rFonts w:ascii="Times New Roman" w:hAnsi="Times New Roman"/>
          <w:lang w:val="en-GB"/>
        </w:rPr>
        <w:t>The current design will remain in it</w:t>
      </w:r>
      <w:r w:rsidR="0052248E">
        <w:rPr>
          <w:rFonts w:ascii="Times New Roman" w:hAnsi="Times New Roman"/>
          <w:lang w:val="en-GB"/>
        </w:rPr>
        <w:t>s</w:t>
      </w:r>
      <w:r>
        <w:rPr>
          <w:rFonts w:ascii="Times New Roman" w:hAnsi="Times New Roman"/>
          <w:lang w:val="en-GB"/>
        </w:rPr>
        <w:t xml:space="preserve"> overall shape. This means that the EU</w:t>
      </w:r>
      <w:r w:rsidR="0052248E">
        <w:rPr>
          <w:rFonts w:ascii="Times New Roman" w:hAnsi="Times New Roman"/>
          <w:lang w:val="en-GB"/>
        </w:rPr>
        <w:t xml:space="preserve"> </w:t>
      </w:r>
      <w:r>
        <w:rPr>
          <w:rFonts w:ascii="Times New Roman" w:hAnsi="Times New Roman"/>
          <w:lang w:val="en-GB"/>
        </w:rPr>
        <w:t>HAR will continue to set the rules as regard</w:t>
      </w:r>
      <w:r w:rsidR="00556687">
        <w:rPr>
          <w:rFonts w:ascii="Times New Roman" w:hAnsi="Times New Roman"/>
          <w:lang w:val="en-GB"/>
        </w:rPr>
        <w:t>s</w:t>
      </w:r>
      <w:r>
        <w:rPr>
          <w:rFonts w:ascii="Times New Roman" w:hAnsi="Times New Roman"/>
          <w:lang w:val="en-GB"/>
        </w:rPr>
        <w:t xml:space="preserve"> to allocation of LTRs in the Nordic CCR. </w:t>
      </w:r>
    </w:p>
    <w:p w14:paraId="556588CB" w14:textId="600CE42F" w:rsidR="00696B41" w:rsidRDefault="0017252D" w:rsidP="00857AF5">
      <w:pPr>
        <w:spacing w:after="240"/>
        <w:jc w:val="both"/>
        <w:rPr>
          <w:rFonts w:ascii="Times New Roman" w:hAnsi="Times New Roman"/>
          <w:lang w:val="en-GB"/>
        </w:rPr>
      </w:pPr>
      <w:r>
        <w:rPr>
          <w:rFonts w:ascii="Times New Roman" w:hAnsi="Times New Roman"/>
          <w:lang w:val="en-GB"/>
        </w:rPr>
        <w:t>Furthermore the FCA Regulations requires that the LTRs shall be offered th</w:t>
      </w:r>
      <w:r w:rsidR="0052248E">
        <w:rPr>
          <w:rFonts w:ascii="Times New Roman" w:hAnsi="Times New Roman"/>
          <w:lang w:val="en-GB"/>
        </w:rPr>
        <w:t>r</w:t>
      </w:r>
      <w:r>
        <w:rPr>
          <w:rFonts w:ascii="Times New Roman" w:hAnsi="Times New Roman"/>
          <w:lang w:val="en-GB"/>
        </w:rPr>
        <w:t xml:space="preserve">ough the single allocation platform </w:t>
      </w:r>
      <w:r w:rsidR="00696B41">
        <w:rPr>
          <w:rFonts w:ascii="Times New Roman" w:hAnsi="Times New Roman"/>
          <w:lang w:val="en-GB"/>
        </w:rPr>
        <w:t xml:space="preserve">which is </w:t>
      </w:r>
      <w:r>
        <w:rPr>
          <w:rFonts w:ascii="Times New Roman" w:hAnsi="Times New Roman"/>
          <w:lang w:val="en-GB"/>
        </w:rPr>
        <w:t>to be established by all TSO pursuant to Article 48</w:t>
      </w:r>
      <w:r w:rsidR="00696B41">
        <w:rPr>
          <w:rFonts w:ascii="Times New Roman" w:hAnsi="Times New Roman"/>
          <w:lang w:val="en-GB"/>
        </w:rPr>
        <w:t xml:space="preserve"> in the FCA Regulation</w:t>
      </w:r>
      <w:r>
        <w:rPr>
          <w:rFonts w:ascii="Times New Roman" w:hAnsi="Times New Roman"/>
          <w:lang w:val="en-GB"/>
        </w:rPr>
        <w:t xml:space="preserve">. </w:t>
      </w:r>
      <w:r w:rsidR="0030678F">
        <w:rPr>
          <w:rFonts w:ascii="Times New Roman" w:hAnsi="Times New Roman"/>
          <w:lang w:val="en-GB"/>
        </w:rPr>
        <w:t>The</w:t>
      </w:r>
      <w:r>
        <w:rPr>
          <w:rFonts w:ascii="Times New Roman" w:hAnsi="Times New Roman"/>
          <w:lang w:val="en-GB"/>
        </w:rPr>
        <w:t xml:space="preserve"> </w:t>
      </w:r>
      <w:r w:rsidR="00857AF5">
        <w:rPr>
          <w:rFonts w:ascii="Times New Roman" w:hAnsi="Times New Roman"/>
          <w:lang w:val="en-GB"/>
        </w:rPr>
        <w:t>S</w:t>
      </w:r>
      <w:r>
        <w:rPr>
          <w:rFonts w:ascii="Times New Roman" w:hAnsi="Times New Roman"/>
          <w:lang w:val="en-GB"/>
        </w:rPr>
        <w:t xml:space="preserve">ingle </w:t>
      </w:r>
      <w:r w:rsidR="00857AF5">
        <w:rPr>
          <w:rFonts w:ascii="Times New Roman" w:hAnsi="Times New Roman"/>
          <w:lang w:val="en-GB"/>
        </w:rPr>
        <w:t>A</w:t>
      </w:r>
      <w:r>
        <w:rPr>
          <w:rFonts w:ascii="Times New Roman" w:hAnsi="Times New Roman"/>
          <w:lang w:val="en-GB"/>
        </w:rPr>
        <w:t xml:space="preserve">llocation </w:t>
      </w:r>
      <w:r w:rsidR="00857AF5">
        <w:rPr>
          <w:rFonts w:ascii="Times New Roman" w:hAnsi="Times New Roman"/>
          <w:lang w:val="en-GB"/>
        </w:rPr>
        <w:t>P</w:t>
      </w:r>
      <w:r>
        <w:rPr>
          <w:rFonts w:ascii="Times New Roman" w:hAnsi="Times New Roman"/>
          <w:lang w:val="en-GB"/>
        </w:rPr>
        <w:t xml:space="preserve">latform shall be operational 12 month after the approval of the proposal for the establishment of the </w:t>
      </w:r>
      <w:r w:rsidR="009D5147">
        <w:rPr>
          <w:rFonts w:ascii="Times New Roman" w:hAnsi="Times New Roman"/>
          <w:lang w:val="en-GB"/>
        </w:rPr>
        <w:t>S</w:t>
      </w:r>
      <w:r>
        <w:rPr>
          <w:rFonts w:ascii="Times New Roman" w:hAnsi="Times New Roman"/>
          <w:lang w:val="en-GB"/>
        </w:rPr>
        <w:t xml:space="preserve">ingle </w:t>
      </w:r>
      <w:r w:rsidR="009D5147">
        <w:rPr>
          <w:rFonts w:ascii="Times New Roman" w:hAnsi="Times New Roman"/>
          <w:lang w:val="en-GB"/>
        </w:rPr>
        <w:t>A</w:t>
      </w:r>
      <w:r>
        <w:rPr>
          <w:rFonts w:ascii="Times New Roman" w:hAnsi="Times New Roman"/>
          <w:lang w:val="en-GB"/>
        </w:rPr>
        <w:t xml:space="preserve">llocation </w:t>
      </w:r>
      <w:r w:rsidR="009D5147">
        <w:rPr>
          <w:rFonts w:ascii="Times New Roman" w:hAnsi="Times New Roman"/>
          <w:lang w:val="en-GB"/>
        </w:rPr>
        <w:t>P</w:t>
      </w:r>
      <w:r>
        <w:rPr>
          <w:rFonts w:ascii="Times New Roman" w:hAnsi="Times New Roman"/>
          <w:lang w:val="en-GB"/>
        </w:rPr>
        <w:t xml:space="preserve">latform.  </w:t>
      </w:r>
      <w:r w:rsidR="0030678F">
        <w:rPr>
          <w:rFonts w:ascii="Times New Roman" w:hAnsi="Times New Roman"/>
          <w:lang w:val="en-GB"/>
        </w:rPr>
        <w:t xml:space="preserve">The proposal for the establishment shall be submitted to the NRAs within 6 month after the FCA Regulation enters into force. The period for the TSOs to ensure that the </w:t>
      </w:r>
      <w:r w:rsidR="009D5147">
        <w:rPr>
          <w:rFonts w:ascii="Times New Roman" w:hAnsi="Times New Roman"/>
          <w:lang w:val="en-GB"/>
        </w:rPr>
        <w:t>S</w:t>
      </w:r>
      <w:r w:rsidR="0030678F">
        <w:rPr>
          <w:rFonts w:ascii="Times New Roman" w:hAnsi="Times New Roman"/>
          <w:lang w:val="en-GB"/>
        </w:rPr>
        <w:t xml:space="preserve">ingle </w:t>
      </w:r>
      <w:r w:rsidR="009D5147">
        <w:rPr>
          <w:rFonts w:ascii="Times New Roman" w:hAnsi="Times New Roman"/>
          <w:lang w:val="en-GB"/>
        </w:rPr>
        <w:t>A</w:t>
      </w:r>
      <w:r w:rsidR="0030678F">
        <w:rPr>
          <w:rFonts w:ascii="Times New Roman" w:hAnsi="Times New Roman"/>
          <w:lang w:val="en-GB"/>
        </w:rPr>
        <w:t xml:space="preserve">llocation </w:t>
      </w:r>
      <w:r w:rsidR="009D5147">
        <w:rPr>
          <w:rFonts w:ascii="Times New Roman" w:hAnsi="Times New Roman"/>
          <w:lang w:val="en-GB"/>
        </w:rPr>
        <w:t>P</w:t>
      </w:r>
      <w:r w:rsidR="0030678F">
        <w:rPr>
          <w:rFonts w:ascii="Times New Roman" w:hAnsi="Times New Roman"/>
          <w:lang w:val="en-GB"/>
        </w:rPr>
        <w:t xml:space="preserve">latform is operational, can be extended by the NRAs on request form the TSOs. </w:t>
      </w:r>
      <w:r w:rsidR="00857AF5">
        <w:rPr>
          <w:rFonts w:ascii="Times New Roman" w:hAnsi="Times New Roman"/>
          <w:lang w:val="en-GB"/>
        </w:rPr>
        <w:t>The proposal for the establishment of the Single Allocation Platform according to Article 48 of the FCA Regulation has been submitted by all TSOs for approval by all NRAs in April 2017.</w:t>
      </w:r>
    </w:p>
    <w:p w14:paraId="2AFCCA22" w14:textId="20233B19" w:rsidR="00680F43" w:rsidRDefault="0030678F" w:rsidP="00680F43">
      <w:pPr>
        <w:spacing w:after="240"/>
        <w:jc w:val="both"/>
        <w:rPr>
          <w:rFonts w:ascii="Times New Roman" w:hAnsi="Times New Roman"/>
          <w:lang w:val="en-GB"/>
        </w:rPr>
      </w:pPr>
      <w:r>
        <w:rPr>
          <w:rFonts w:ascii="Times New Roman" w:hAnsi="Times New Roman"/>
          <w:lang w:val="en-GB"/>
        </w:rPr>
        <w:t xml:space="preserve">The FCA regulation </w:t>
      </w:r>
      <w:r w:rsidR="0009085C">
        <w:rPr>
          <w:rFonts w:ascii="Times New Roman" w:hAnsi="Times New Roman"/>
          <w:lang w:val="en-GB"/>
        </w:rPr>
        <w:t>allows</w:t>
      </w:r>
      <w:r>
        <w:rPr>
          <w:rFonts w:ascii="Times New Roman" w:hAnsi="Times New Roman"/>
          <w:lang w:val="en-GB"/>
        </w:rPr>
        <w:t xml:space="preserve"> for the LTRs to be offered in the form of </w:t>
      </w:r>
      <w:r w:rsidR="00857AF5">
        <w:rPr>
          <w:rFonts w:ascii="Times New Roman" w:hAnsi="Times New Roman"/>
          <w:lang w:val="en-GB"/>
        </w:rPr>
        <w:t>PTR</w:t>
      </w:r>
      <w:r>
        <w:rPr>
          <w:rFonts w:ascii="Times New Roman" w:hAnsi="Times New Roman"/>
          <w:lang w:val="en-GB"/>
        </w:rPr>
        <w:t>, Financial transmission rights – options (Hereinafter “</w:t>
      </w:r>
      <w:r w:rsidRPr="0030678F">
        <w:rPr>
          <w:rFonts w:ascii="Times New Roman" w:hAnsi="Times New Roman"/>
          <w:b/>
          <w:lang w:val="en-GB"/>
        </w:rPr>
        <w:t>FTR – options</w:t>
      </w:r>
      <w:r w:rsidR="00556687">
        <w:rPr>
          <w:rFonts w:ascii="Times New Roman" w:hAnsi="Times New Roman"/>
          <w:lang w:val="en-GB"/>
        </w:rPr>
        <w:t xml:space="preserve">”) </w:t>
      </w:r>
      <w:r>
        <w:rPr>
          <w:rFonts w:ascii="Times New Roman" w:hAnsi="Times New Roman"/>
          <w:lang w:val="en-GB"/>
        </w:rPr>
        <w:t>or Financial transmission rights – o</w:t>
      </w:r>
      <w:r w:rsidR="0009085C">
        <w:rPr>
          <w:rFonts w:ascii="Times New Roman" w:hAnsi="Times New Roman"/>
          <w:lang w:val="en-GB"/>
        </w:rPr>
        <w:t>b</w:t>
      </w:r>
      <w:r>
        <w:rPr>
          <w:rFonts w:ascii="Times New Roman" w:hAnsi="Times New Roman"/>
          <w:lang w:val="en-GB"/>
        </w:rPr>
        <w:t>ligations (Hereafter “</w:t>
      </w:r>
      <w:r w:rsidRPr="0030678F">
        <w:rPr>
          <w:rFonts w:ascii="Times New Roman" w:hAnsi="Times New Roman"/>
          <w:b/>
          <w:lang w:val="en-GB"/>
        </w:rPr>
        <w:t>FTR – obligations</w:t>
      </w:r>
      <w:r w:rsidR="00556687">
        <w:rPr>
          <w:rFonts w:ascii="Times New Roman" w:hAnsi="Times New Roman"/>
          <w:lang w:val="en-GB"/>
        </w:rPr>
        <w:t>”)</w:t>
      </w:r>
      <w:r>
        <w:rPr>
          <w:rFonts w:ascii="Times New Roman" w:hAnsi="Times New Roman"/>
          <w:lang w:val="en-GB"/>
        </w:rPr>
        <w:t xml:space="preserve">. </w:t>
      </w:r>
      <w:r w:rsidR="0009085C">
        <w:rPr>
          <w:rFonts w:ascii="Times New Roman" w:hAnsi="Times New Roman"/>
          <w:lang w:val="en-GB"/>
        </w:rPr>
        <w:t>The FCA Regulation further states that t</w:t>
      </w:r>
      <w:r>
        <w:rPr>
          <w:rFonts w:ascii="Times New Roman" w:hAnsi="Times New Roman"/>
          <w:lang w:val="en-GB"/>
        </w:rPr>
        <w:t>he allocation of both PTR and FTR – options at the same cross-zonal interconnector is not allowed</w:t>
      </w:r>
      <w:r w:rsidR="004C0BF3">
        <w:rPr>
          <w:rFonts w:ascii="Times New Roman" w:hAnsi="Times New Roman"/>
          <w:lang w:val="en-GB"/>
        </w:rPr>
        <w:t>,</w:t>
      </w:r>
      <w:r>
        <w:rPr>
          <w:rFonts w:ascii="Times New Roman" w:hAnsi="Times New Roman"/>
          <w:lang w:val="en-GB"/>
        </w:rPr>
        <w:t xml:space="preserve"> </w:t>
      </w:r>
      <w:r w:rsidR="004C0BF3">
        <w:rPr>
          <w:rFonts w:ascii="Times New Roman" w:hAnsi="Times New Roman"/>
          <w:lang w:val="en-GB"/>
        </w:rPr>
        <w:t xml:space="preserve">and that </w:t>
      </w:r>
      <w:r>
        <w:rPr>
          <w:rFonts w:ascii="Times New Roman" w:hAnsi="Times New Roman"/>
          <w:lang w:val="en-GB"/>
        </w:rPr>
        <w:t xml:space="preserve">the allocation of both PTR and FTR – obligations at the same cross-zonal interconnector is not allowed. </w:t>
      </w:r>
      <w:r w:rsidR="0009085C">
        <w:rPr>
          <w:rFonts w:ascii="Times New Roman" w:hAnsi="Times New Roman"/>
          <w:lang w:val="en-GB"/>
        </w:rPr>
        <w:t xml:space="preserve">The regional design for the Nordic CCR will allow for one </w:t>
      </w:r>
      <w:r w:rsidR="00556687">
        <w:rPr>
          <w:rFonts w:ascii="Times New Roman" w:hAnsi="Times New Roman"/>
          <w:lang w:val="en-GB"/>
        </w:rPr>
        <w:t>of</w:t>
      </w:r>
      <w:r w:rsidR="0009085C">
        <w:rPr>
          <w:rFonts w:ascii="Times New Roman" w:hAnsi="Times New Roman"/>
          <w:lang w:val="en-GB"/>
        </w:rPr>
        <w:t xml:space="preserve"> the 3</w:t>
      </w:r>
      <w:r w:rsidR="00556687">
        <w:rPr>
          <w:rFonts w:ascii="Times New Roman" w:hAnsi="Times New Roman"/>
          <w:lang w:val="en-GB"/>
        </w:rPr>
        <w:t xml:space="preserve"> products to be allocated at a</w:t>
      </w:r>
      <w:r w:rsidR="0009085C">
        <w:rPr>
          <w:rFonts w:ascii="Times New Roman" w:hAnsi="Times New Roman"/>
          <w:lang w:val="en-GB"/>
        </w:rPr>
        <w:t xml:space="preserve"> cross-zonal interconnector but not allow for allocation of multiple products at the same cross-zonal interconnector. The definitions of PTR, FTR – options and FTR – obligations is harmonized for all border</w:t>
      </w:r>
      <w:r w:rsidR="00556687">
        <w:rPr>
          <w:rFonts w:ascii="Times New Roman" w:hAnsi="Times New Roman"/>
          <w:lang w:val="en-GB"/>
        </w:rPr>
        <w:t>s and is given in the EU</w:t>
      </w:r>
      <w:r w:rsidR="0052248E">
        <w:rPr>
          <w:rFonts w:ascii="Times New Roman" w:hAnsi="Times New Roman"/>
          <w:lang w:val="en-GB"/>
        </w:rPr>
        <w:t xml:space="preserve"> </w:t>
      </w:r>
      <w:r w:rsidR="00556687">
        <w:rPr>
          <w:rFonts w:ascii="Times New Roman" w:hAnsi="Times New Roman"/>
          <w:lang w:val="en-GB"/>
        </w:rPr>
        <w:t>HAR that</w:t>
      </w:r>
      <w:r w:rsidR="0009085C">
        <w:rPr>
          <w:rFonts w:ascii="Times New Roman" w:hAnsi="Times New Roman"/>
          <w:lang w:val="en-GB"/>
        </w:rPr>
        <w:t xml:space="preserve"> is to be used in the CCR Nordic. </w:t>
      </w:r>
      <w:r>
        <w:rPr>
          <w:rFonts w:ascii="Times New Roman" w:hAnsi="Times New Roman"/>
          <w:lang w:val="en-GB"/>
        </w:rPr>
        <w:t xml:space="preserve"> </w:t>
      </w:r>
    </w:p>
    <w:bookmarkEnd w:id="0"/>
    <w:p w14:paraId="7DE20B81" w14:textId="029EE4EF" w:rsidR="0009085C" w:rsidRDefault="0009085C" w:rsidP="00680F43">
      <w:pPr>
        <w:spacing w:after="240"/>
        <w:jc w:val="both"/>
        <w:rPr>
          <w:rFonts w:ascii="Times New Roman" w:hAnsi="Times New Roman"/>
          <w:lang w:val="en-GB"/>
        </w:rPr>
      </w:pPr>
      <w:r>
        <w:rPr>
          <w:rFonts w:ascii="Times New Roman" w:hAnsi="Times New Roman"/>
          <w:lang w:val="en-GB"/>
        </w:rPr>
        <w:t>Further, the FCA regulation states that the allocation of LTRs</w:t>
      </w:r>
      <w:r w:rsidR="00832F55">
        <w:rPr>
          <w:rFonts w:ascii="Times New Roman" w:hAnsi="Times New Roman"/>
          <w:lang w:val="en-GB"/>
        </w:rPr>
        <w:t xml:space="preserve"> shall be offered for at least y</w:t>
      </w:r>
      <w:r>
        <w:rPr>
          <w:rFonts w:ascii="Times New Roman" w:hAnsi="Times New Roman"/>
          <w:lang w:val="en-GB"/>
        </w:rPr>
        <w:t xml:space="preserve">early and monthly timeframes. Other timeframes may be introduced but as a minimum LTRs in the Nordic CCR will be offered on a yearly and monthly </w:t>
      </w:r>
      <w:r w:rsidR="00556687">
        <w:rPr>
          <w:rFonts w:ascii="Times New Roman" w:hAnsi="Times New Roman"/>
          <w:lang w:val="en-GB"/>
        </w:rPr>
        <w:t>timeframe</w:t>
      </w:r>
      <w:r>
        <w:rPr>
          <w:rFonts w:ascii="Times New Roman" w:hAnsi="Times New Roman"/>
          <w:lang w:val="en-GB"/>
        </w:rPr>
        <w:t xml:space="preserve">. </w:t>
      </w:r>
    </w:p>
    <w:p w14:paraId="63E0423B" w14:textId="6E25BE44" w:rsidR="0009085C" w:rsidRDefault="00832F55" w:rsidP="00680F43">
      <w:pPr>
        <w:spacing w:after="240"/>
        <w:jc w:val="both"/>
        <w:rPr>
          <w:rFonts w:ascii="Times New Roman" w:hAnsi="Times New Roman"/>
          <w:lang w:val="en-GB"/>
        </w:rPr>
      </w:pPr>
      <w:r>
        <w:rPr>
          <w:rFonts w:ascii="Times New Roman" w:hAnsi="Times New Roman"/>
          <w:lang w:val="en-GB"/>
        </w:rPr>
        <w:t xml:space="preserve">The </w:t>
      </w:r>
      <w:r w:rsidR="0009085C">
        <w:rPr>
          <w:rFonts w:ascii="Times New Roman" w:hAnsi="Times New Roman"/>
          <w:lang w:val="en-GB"/>
        </w:rPr>
        <w:t>yearly</w:t>
      </w:r>
      <w:r>
        <w:rPr>
          <w:rFonts w:ascii="Times New Roman" w:hAnsi="Times New Roman"/>
          <w:lang w:val="en-GB"/>
        </w:rPr>
        <w:t xml:space="preserve"> and monthly</w:t>
      </w:r>
      <w:r w:rsidR="00256990">
        <w:rPr>
          <w:rFonts w:ascii="Times New Roman" w:hAnsi="Times New Roman"/>
          <w:lang w:val="en-GB"/>
        </w:rPr>
        <w:t xml:space="preserve"> timeframe</w:t>
      </w:r>
      <w:r>
        <w:rPr>
          <w:rFonts w:ascii="Times New Roman" w:hAnsi="Times New Roman"/>
          <w:lang w:val="en-GB"/>
        </w:rPr>
        <w:t xml:space="preserve"> will be organised as it is defined in the EU</w:t>
      </w:r>
      <w:r w:rsidR="0052248E">
        <w:rPr>
          <w:rFonts w:ascii="Times New Roman" w:hAnsi="Times New Roman"/>
          <w:lang w:val="en-GB"/>
        </w:rPr>
        <w:t xml:space="preserve"> </w:t>
      </w:r>
      <w:r>
        <w:rPr>
          <w:rFonts w:ascii="Times New Roman" w:hAnsi="Times New Roman"/>
          <w:lang w:val="en-GB"/>
        </w:rPr>
        <w:t>HAR</w:t>
      </w:r>
      <w:r w:rsidR="00256990">
        <w:rPr>
          <w:rFonts w:ascii="Times New Roman" w:hAnsi="Times New Roman"/>
          <w:lang w:val="en-GB"/>
        </w:rPr>
        <w:t xml:space="preserve">. The </w:t>
      </w:r>
      <w:r>
        <w:rPr>
          <w:rFonts w:ascii="Times New Roman" w:hAnsi="Times New Roman"/>
          <w:lang w:val="en-GB"/>
        </w:rPr>
        <w:t>auction</w:t>
      </w:r>
      <w:r w:rsidR="00256990">
        <w:rPr>
          <w:rFonts w:ascii="Times New Roman" w:hAnsi="Times New Roman"/>
          <w:lang w:val="en-GB"/>
        </w:rPr>
        <w:t>s</w:t>
      </w:r>
      <w:r>
        <w:rPr>
          <w:rFonts w:ascii="Times New Roman" w:hAnsi="Times New Roman"/>
          <w:lang w:val="en-GB"/>
        </w:rPr>
        <w:t xml:space="preserve"> will follow the auction calendar </w:t>
      </w:r>
      <w:r w:rsidR="00256990">
        <w:rPr>
          <w:rFonts w:ascii="Times New Roman" w:hAnsi="Times New Roman"/>
          <w:lang w:val="en-GB"/>
        </w:rPr>
        <w:t xml:space="preserve">published on the </w:t>
      </w:r>
      <w:r w:rsidR="00556687">
        <w:rPr>
          <w:rFonts w:ascii="Times New Roman" w:hAnsi="Times New Roman"/>
          <w:lang w:val="en-GB"/>
        </w:rPr>
        <w:t>website</w:t>
      </w:r>
      <w:r w:rsidR="00256990">
        <w:rPr>
          <w:rFonts w:ascii="Times New Roman" w:hAnsi="Times New Roman"/>
          <w:lang w:val="en-GB"/>
        </w:rPr>
        <w:t xml:space="preserve"> of the </w:t>
      </w:r>
      <w:r w:rsidR="009D5147">
        <w:rPr>
          <w:rFonts w:ascii="Times New Roman" w:hAnsi="Times New Roman"/>
          <w:lang w:val="en-GB"/>
        </w:rPr>
        <w:t>S</w:t>
      </w:r>
      <w:r>
        <w:rPr>
          <w:rFonts w:ascii="Times New Roman" w:hAnsi="Times New Roman"/>
          <w:lang w:val="en-GB"/>
        </w:rPr>
        <w:t xml:space="preserve">ingle </w:t>
      </w:r>
      <w:r w:rsidR="00741058">
        <w:rPr>
          <w:rFonts w:ascii="Times New Roman" w:hAnsi="Times New Roman"/>
          <w:lang w:val="en-GB"/>
        </w:rPr>
        <w:t>A</w:t>
      </w:r>
      <w:r>
        <w:rPr>
          <w:rFonts w:ascii="Times New Roman" w:hAnsi="Times New Roman"/>
          <w:lang w:val="en-GB"/>
        </w:rPr>
        <w:t xml:space="preserve">llocation </w:t>
      </w:r>
      <w:r w:rsidR="00741058">
        <w:rPr>
          <w:rFonts w:ascii="Times New Roman" w:hAnsi="Times New Roman"/>
          <w:lang w:val="en-GB"/>
        </w:rPr>
        <w:t>P</w:t>
      </w:r>
      <w:r>
        <w:rPr>
          <w:rFonts w:ascii="Times New Roman" w:hAnsi="Times New Roman"/>
          <w:lang w:val="en-GB"/>
        </w:rPr>
        <w:t xml:space="preserve">latform </w:t>
      </w:r>
      <w:r w:rsidR="00256990">
        <w:rPr>
          <w:rFonts w:ascii="Times New Roman" w:hAnsi="Times New Roman"/>
          <w:lang w:val="en-GB"/>
        </w:rPr>
        <w:t>no later than the 1</w:t>
      </w:r>
      <w:r w:rsidR="00256990" w:rsidRPr="00256990">
        <w:rPr>
          <w:rFonts w:ascii="Times New Roman" w:hAnsi="Times New Roman"/>
          <w:vertAlign w:val="superscript"/>
          <w:lang w:val="en-GB"/>
        </w:rPr>
        <w:t>st</w:t>
      </w:r>
      <w:r w:rsidR="00256990">
        <w:rPr>
          <w:rFonts w:ascii="Times New Roman" w:hAnsi="Times New Roman"/>
          <w:lang w:val="en-GB"/>
        </w:rPr>
        <w:t xml:space="preserve"> of Dec</w:t>
      </w:r>
      <w:r w:rsidR="00741058">
        <w:rPr>
          <w:rFonts w:ascii="Times New Roman" w:hAnsi="Times New Roman"/>
          <w:lang w:val="en-GB"/>
        </w:rPr>
        <w:t>ember of the preceding year.</w:t>
      </w:r>
      <w:r w:rsidR="00256990">
        <w:rPr>
          <w:rFonts w:ascii="Times New Roman" w:hAnsi="Times New Roman"/>
          <w:lang w:val="en-GB"/>
        </w:rPr>
        <w:t xml:space="preserve"> </w:t>
      </w:r>
      <w:r w:rsidR="00741058">
        <w:rPr>
          <w:rFonts w:ascii="Times New Roman" w:hAnsi="Times New Roman"/>
          <w:lang w:val="en-GB"/>
        </w:rPr>
        <w:t>The S</w:t>
      </w:r>
      <w:r w:rsidR="00256990">
        <w:rPr>
          <w:rFonts w:ascii="Times New Roman" w:hAnsi="Times New Roman"/>
          <w:lang w:val="en-GB"/>
        </w:rPr>
        <w:t xml:space="preserve">ingle </w:t>
      </w:r>
      <w:r w:rsidR="00741058">
        <w:rPr>
          <w:rFonts w:ascii="Times New Roman" w:hAnsi="Times New Roman"/>
          <w:lang w:val="en-GB"/>
        </w:rPr>
        <w:t>A</w:t>
      </w:r>
      <w:r w:rsidR="00256990">
        <w:rPr>
          <w:rFonts w:ascii="Times New Roman" w:hAnsi="Times New Roman"/>
          <w:lang w:val="en-GB"/>
        </w:rPr>
        <w:t xml:space="preserve">llocation </w:t>
      </w:r>
      <w:r w:rsidR="00741058">
        <w:rPr>
          <w:rFonts w:ascii="Times New Roman" w:hAnsi="Times New Roman"/>
          <w:lang w:val="en-GB"/>
        </w:rPr>
        <w:t xml:space="preserve">Platform </w:t>
      </w:r>
      <w:r w:rsidR="00256990">
        <w:rPr>
          <w:rFonts w:ascii="Times New Roman" w:hAnsi="Times New Roman"/>
          <w:lang w:val="en-GB"/>
        </w:rPr>
        <w:t xml:space="preserve">will organise one auction per year for the yearly timeframe and one auction per month for the monthly timeframe. The yearly timeframe </w:t>
      </w:r>
      <w:r>
        <w:rPr>
          <w:rFonts w:ascii="Times New Roman" w:hAnsi="Times New Roman"/>
          <w:lang w:val="en-GB"/>
        </w:rPr>
        <w:t>will start on the first day of the calendar year and end at the last day of the calendar ye</w:t>
      </w:r>
      <w:r w:rsidR="00256990">
        <w:rPr>
          <w:rFonts w:ascii="Times New Roman" w:hAnsi="Times New Roman"/>
          <w:lang w:val="en-GB"/>
        </w:rPr>
        <w:t xml:space="preserve">ar and the monthly timeframe will start on the first day of the calendar month and end at the last day of the calendar month. </w:t>
      </w:r>
      <w:r>
        <w:rPr>
          <w:rFonts w:ascii="Times New Roman" w:hAnsi="Times New Roman"/>
          <w:lang w:val="en-GB"/>
        </w:rPr>
        <w:t xml:space="preserve"> </w:t>
      </w:r>
    </w:p>
    <w:p w14:paraId="68AFDDF5" w14:textId="10C226F6" w:rsidR="0009085C" w:rsidRDefault="00556687" w:rsidP="00680F43">
      <w:pPr>
        <w:spacing w:after="240"/>
        <w:jc w:val="both"/>
        <w:rPr>
          <w:rFonts w:ascii="Times New Roman" w:hAnsi="Times New Roman"/>
          <w:lang w:val="en-GB"/>
        </w:rPr>
      </w:pPr>
      <w:r>
        <w:rPr>
          <w:rFonts w:ascii="Times New Roman" w:hAnsi="Times New Roman"/>
          <w:lang w:val="en-GB"/>
        </w:rPr>
        <w:t>Based on</w:t>
      </w:r>
      <w:r w:rsidR="00AA7C4F">
        <w:rPr>
          <w:rFonts w:ascii="Times New Roman" w:hAnsi="Times New Roman"/>
          <w:lang w:val="en-GB"/>
        </w:rPr>
        <w:t xml:space="preserve"> the FCA</w:t>
      </w:r>
      <w:r>
        <w:rPr>
          <w:rFonts w:ascii="Times New Roman" w:hAnsi="Times New Roman"/>
          <w:lang w:val="en-GB"/>
        </w:rPr>
        <w:t xml:space="preserve"> Regulation allowing</w:t>
      </w:r>
      <w:r w:rsidR="00AA7C4F">
        <w:rPr>
          <w:rFonts w:ascii="Times New Roman" w:hAnsi="Times New Roman"/>
          <w:lang w:val="en-GB"/>
        </w:rPr>
        <w:t xml:space="preserve"> for the TSOs to issue LTRs in the form of base, peak or off-peak products, the N</w:t>
      </w:r>
      <w:r>
        <w:rPr>
          <w:rFonts w:ascii="Times New Roman" w:hAnsi="Times New Roman"/>
          <w:lang w:val="en-GB"/>
        </w:rPr>
        <w:t>ordic TSOs have defined these for the CCR Nordic</w:t>
      </w:r>
      <w:r w:rsidR="00AA7C4F">
        <w:rPr>
          <w:rFonts w:ascii="Times New Roman" w:hAnsi="Times New Roman"/>
          <w:lang w:val="en-GB"/>
        </w:rPr>
        <w:t>:</w:t>
      </w:r>
    </w:p>
    <w:p w14:paraId="0A41C4EB" w14:textId="77777777" w:rsidR="00AA7C4F" w:rsidRDefault="00AA7C4F" w:rsidP="00AA7C4F">
      <w:pPr>
        <w:pStyle w:val="Listeafsnit"/>
        <w:numPr>
          <w:ilvl w:val="0"/>
          <w:numId w:val="36"/>
        </w:numPr>
        <w:spacing w:after="240"/>
        <w:jc w:val="both"/>
        <w:rPr>
          <w:rFonts w:ascii="Times New Roman" w:hAnsi="Times New Roman"/>
          <w:lang w:val="en-GB"/>
        </w:rPr>
      </w:pPr>
      <w:r>
        <w:rPr>
          <w:rFonts w:ascii="Times New Roman" w:hAnsi="Times New Roman"/>
          <w:lang w:val="en-GB"/>
        </w:rPr>
        <w:t>Base load: a fixed amount of MW is allocated throughout the hours 00:00 – 23:59 CET of all relevant days of the period subject to announced reduction periods; or</w:t>
      </w:r>
    </w:p>
    <w:p w14:paraId="182C115D" w14:textId="77777777" w:rsidR="00AA7C4F" w:rsidRDefault="00AA7C4F" w:rsidP="00AA7C4F">
      <w:pPr>
        <w:pStyle w:val="Listeafsnit"/>
        <w:numPr>
          <w:ilvl w:val="0"/>
          <w:numId w:val="36"/>
        </w:numPr>
        <w:spacing w:after="240"/>
        <w:jc w:val="both"/>
        <w:rPr>
          <w:rFonts w:ascii="Times New Roman" w:hAnsi="Times New Roman"/>
          <w:lang w:val="en-GB"/>
        </w:rPr>
      </w:pPr>
      <w:r>
        <w:rPr>
          <w:rFonts w:ascii="Times New Roman" w:hAnsi="Times New Roman"/>
          <w:lang w:val="en-GB"/>
        </w:rPr>
        <w:t>Peak load: a fixed amount of MW is allocated throughout the hours 08:00 – 19:59 CET of all relevant weekdays of the period subject to announced reduction periods; or</w:t>
      </w:r>
    </w:p>
    <w:p w14:paraId="6DA2D3C8" w14:textId="77777777" w:rsidR="00AA7C4F" w:rsidRDefault="00AA7C4F" w:rsidP="00AA7C4F">
      <w:pPr>
        <w:pStyle w:val="Listeafsnit"/>
        <w:numPr>
          <w:ilvl w:val="0"/>
          <w:numId w:val="36"/>
        </w:numPr>
        <w:spacing w:after="240"/>
        <w:jc w:val="both"/>
        <w:rPr>
          <w:rFonts w:ascii="Times New Roman" w:hAnsi="Times New Roman"/>
          <w:lang w:val="en-GB"/>
        </w:rPr>
      </w:pPr>
      <w:r>
        <w:rPr>
          <w:rFonts w:ascii="Times New Roman" w:hAnsi="Times New Roman"/>
          <w:lang w:val="en-GB"/>
        </w:rPr>
        <w:t>Off-peak load: a fixed amount of MW is allocated throughout the hours 00:00 – 07:59 and 20:00 – 23:59 CET of all relevant weekdays and the hours 00:00-23:59 CET of all relevant Saturdays and Sundays of the period subject to announced reduction periods.</w:t>
      </w:r>
    </w:p>
    <w:p w14:paraId="4ED90990" w14:textId="2242D1BC" w:rsidR="00AA7C4F" w:rsidRDefault="00AA7C4F" w:rsidP="00680F43">
      <w:pPr>
        <w:spacing w:after="240"/>
        <w:jc w:val="both"/>
        <w:rPr>
          <w:rFonts w:ascii="Times New Roman" w:hAnsi="Times New Roman"/>
          <w:lang w:val="en-GB"/>
        </w:rPr>
      </w:pPr>
      <w:r>
        <w:rPr>
          <w:rFonts w:ascii="Times New Roman" w:hAnsi="Times New Roman"/>
          <w:lang w:val="en-GB"/>
        </w:rPr>
        <w:t>There are no peak and off-peak products traded on the power exchange in the Nordic area. The definitions</w:t>
      </w:r>
      <w:r w:rsidR="00556687">
        <w:rPr>
          <w:rFonts w:ascii="Times New Roman" w:hAnsi="Times New Roman"/>
          <w:lang w:val="en-GB"/>
        </w:rPr>
        <w:t xml:space="preserve"> above</w:t>
      </w:r>
      <w:r>
        <w:rPr>
          <w:rFonts w:ascii="Times New Roman" w:hAnsi="Times New Roman"/>
          <w:lang w:val="en-GB"/>
        </w:rPr>
        <w:t xml:space="preserve"> therefor</w:t>
      </w:r>
      <w:r w:rsidR="00C259C3">
        <w:rPr>
          <w:rFonts w:ascii="Times New Roman" w:hAnsi="Times New Roman"/>
          <w:lang w:val="en-GB"/>
        </w:rPr>
        <w:t>e</w:t>
      </w:r>
      <w:r>
        <w:rPr>
          <w:rFonts w:ascii="Times New Roman" w:hAnsi="Times New Roman"/>
          <w:lang w:val="en-GB"/>
        </w:rPr>
        <w:t xml:space="preserve"> build on the general definition o</w:t>
      </w:r>
      <w:r w:rsidR="00556687">
        <w:rPr>
          <w:rFonts w:ascii="Times New Roman" w:hAnsi="Times New Roman"/>
          <w:lang w:val="en-GB"/>
        </w:rPr>
        <w:t xml:space="preserve">f </w:t>
      </w:r>
      <w:r>
        <w:rPr>
          <w:rFonts w:ascii="Times New Roman" w:hAnsi="Times New Roman"/>
          <w:lang w:val="en-GB"/>
        </w:rPr>
        <w:t xml:space="preserve">peak and off-peak products sold in Germany and Netherlands at Nasdaq OMX. </w:t>
      </w:r>
    </w:p>
    <w:p w14:paraId="7BC164B6" w14:textId="041241F2" w:rsidR="00AA7C4F" w:rsidRDefault="00AA7C4F" w:rsidP="00680F43">
      <w:pPr>
        <w:spacing w:after="240"/>
        <w:jc w:val="both"/>
        <w:rPr>
          <w:rFonts w:ascii="Times New Roman" w:hAnsi="Times New Roman"/>
          <w:lang w:val="en-GB"/>
        </w:rPr>
      </w:pPr>
      <w:r>
        <w:rPr>
          <w:rFonts w:ascii="Times New Roman" w:hAnsi="Times New Roman"/>
          <w:lang w:val="en-GB"/>
        </w:rPr>
        <w:lastRenderedPageBreak/>
        <w:t>To ensure transparency for the market participants the proposal will include an annex stating the product specification for the cross-zonal interconnectors where LTRs are issued. The tables will i</w:t>
      </w:r>
      <w:r w:rsidR="00556687">
        <w:rPr>
          <w:rFonts w:ascii="Times New Roman" w:hAnsi="Times New Roman"/>
          <w:lang w:val="en-GB"/>
        </w:rPr>
        <w:t>nclude the binding zone border and responsible TSOs, the type of LTRs, the timeframes and the product. For the Great-belt interconnector this will be:</w:t>
      </w:r>
    </w:p>
    <w:tbl>
      <w:tblPr>
        <w:tblStyle w:val="Tabel-Gitter"/>
        <w:tblW w:w="0" w:type="auto"/>
        <w:tblLook w:val="04A0" w:firstRow="1" w:lastRow="0" w:firstColumn="1" w:lastColumn="0" w:noHBand="0" w:noVBand="1"/>
      </w:tblPr>
      <w:tblGrid>
        <w:gridCol w:w="1950"/>
        <w:gridCol w:w="567"/>
        <w:gridCol w:w="1984"/>
        <w:gridCol w:w="2684"/>
        <w:gridCol w:w="1363"/>
        <w:gridCol w:w="1192"/>
      </w:tblGrid>
      <w:tr w:rsidR="00556687" w:rsidRPr="003A4B56" w14:paraId="2CF0BFB2" w14:textId="77777777" w:rsidTr="00F2211B">
        <w:tc>
          <w:tcPr>
            <w:tcW w:w="4503" w:type="dxa"/>
            <w:gridSpan w:val="3"/>
            <w:vAlign w:val="center"/>
          </w:tcPr>
          <w:p w14:paraId="4C74B308" w14:textId="77777777" w:rsidR="00556687" w:rsidRPr="00C259C3" w:rsidRDefault="00556687" w:rsidP="00F2211B">
            <w:pPr>
              <w:spacing w:after="160" w:line="259" w:lineRule="auto"/>
              <w:jc w:val="center"/>
              <w:rPr>
                <w:rFonts w:ascii="Times New Roman" w:hAnsi="Times New Roman" w:cs="Arial"/>
                <w:b/>
                <w:color w:val="23236E"/>
                <w:sz w:val="24"/>
              </w:rPr>
            </w:pPr>
            <w:r w:rsidRPr="00C259C3">
              <w:rPr>
                <w:rFonts w:ascii="Times New Roman" w:hAnsi="Times New Roman" w:cs="Arial"/>
                <w:b/>
                <w:color w:val="23236E"/>
                <w:sz w:val="24"/>
              </w:rPr>
              <w:t>Bidding zone border and responsible TSOs</w:t>
            </w:r>
          </w:p>
        </w:tc>
        <w:tc>
          <w:tcPr>
            <w:tcW w:w="2687" w:type="dxa"/>
            <w:vAlign w:val="center"/>
          </w:tcPr>
          <w:p w14:paraId="34052308" w14:textId="77777777" w:rsidR="00556687" w:rsidRPr="003A4B56" w:rsidRDefault="00556687" w:rsidP="00F2211B">
            <w:pPr>
              <w:spacing w:after="160" w:line="259" w:lineRule="auto"/>
              <w:jc w:val="center"/>
              <w:rPr>
                <w:rFonts w:ascii="Times New Roman" w:hAnsi="Times New Roman" w:cs="Arial"/>
                <w:b/>
                <w:color w:val="23236E"/>
                <w:sz w:val="24"/>
              </w:rPr>
            </w:pPr>
            <w:r w:rsidRPr="003A4B56">
              <w:rPr>
                <w:rFonts w:ascii="Times New Roman" w:hAnsi="Times New Roman" w:cs="Arial"/>
                <w:b/>
                <w:color w:val="23236E"/>
                <w:sz w:val="24"/>
              </w:rPr>
              <w:t xml:space="preserve">Type of </w:t>
            </w:r>
            <w:r>
              <w:rPr>
                <w:rFonts w:ascii="Times New Roman" w:hAnsi="Times New Roman" w:cs="Arial"/>
                <w:b/>
                <w:color w:val="23236E"/>
                <w:sz w:val="24"/>
              </w:rPr>
              <w:t>LTRs</w:t>
            </w:r>
          </w:p>
        </w:tc>
        <w:tc>
          <w:tcPr>
            <w:tcW w:w="1282" w:type="dxa"/>
            <w:vAlign w:val="center"/>
          </w:tcPr>
          <w:p w14:paraId="441DBDAD" w14:textId="77777777" w:rsidR="00556687" w:rsidRPr="003A4B56" w:rsidRDefault="00556687" w:rsidP="00F2211B">
            <w:pPr>
              <w:spacing w:after="160" w:line="259" w:lineRule="auto"/>
              <w:jc w:val="center"/>
              <w:rPr>
                <w:rFonts w:ascii="Times New Roman" w:hAnsi="Times New Roman" w:cs="Arial"/>
                <w:b/>
                <w:color w:val="23236E"/>
                <w:sz w:val="24"/>
              </w:rPr>
            </w:pPr>
            <w:r w:rsidRPr="003A4B56">
              <w:rPr>
                <w:rFonts w:ascii="Times New Roman" w:hAnsi="Times New Roman" w:cs="Arial"/>
                <w:b/>
                <w:color w:val="23236E"/>
                <w:sz w:val="24"/>
              </w:rPr>
              <w:t>Timeframe</w:t>
            </w:r>
          </w:p>
        </w:tc>
        <w:tc>
          <w:tcPr>
            <w:tcW w:w="1192" w:type="dxa"/>
            <w:vAlign w:val="center"/>
          </w:tcPr>
          <w:p w14:paraId="44027289" w14:textId="77777777" w:rsidR="00556687" w:rsidRPr="003A4B56" w:rsidRDefault="00556687" w:rsidP="00F2211B">
            <w:pPr>
              <w:spacing w:after="160" w:line="259" w:lineRule="auto"/>
              <w:jc w:val="center"/>
              <w:rPr>
                <w:rFonts w:ascii="Times New Roman" w:hAnsi="Times New Roman" w:cs="Arial"/>
                <w:b/>
                <w:color w:val="23236E"/>
                <w:sz w:val="24"/>
              </w:rPr>
            </w:pPr>
            <w:r w:rsidRPr="003A4B56">
              <w:rPr>
                <w:rFonts w:ascii="Times New Roman" w:hAnsi="Times New Roman" w:cs="Arial"/>
                <w:b/>
                <w:color w:val="23236E"/>
                <w:sz w:val="24"/>
              </w:rPr>
              <w:t>Product</w:t>
            </w:r>
          </w:p>
        </w:tc>
      </w:tr>
      <w:tr w:rsidR="00556687" w:rsidRPr="003A4B56" w14:paraId="73087136" w14:textId="77777777" w:rsidTr="00F2211B">
        <w:tc>
          <w:tcPr>
            <w:tcW w:w="1951" w:type="dxa"/>
            <w:tcBorders>
              <w:right w:val="single" w:sz="4" w:space="0" w:color="FFFFFF" w:themeColor="background1"/>
            </w:tcBorders>
          </w:tcPr>
          <w:p w14:paraId="2AF6E5E8" w14:textId="77777777" w:rsidR="00556687" w:rsidRPr="003A4B56" w:rsidRDefault="00556687" w:rsidP="00F2211B">
            <w:pPr>
              <w:spacing w:after="160" w:line="259" w:lineRule="auto"/>
              <w:jc w:val="center"/>
              <w:rPr>
                <w:rFonts w:ascii="Times New Roman" w:hAnsi="Times New Roman" w:cs="Arial"/>
                <w:b/>
              </w:rPr>
            </w:pPr>
            <w:r w:rsidRPr="003A4B56">
              <w:rPr>
                <w:rFonts w:ascii="Times New Roman" w:hAnsi="Times New Roman" w:cs="Arial"/>
                <w:b/>
              </w:rPr>
              <w:t>Denmark (DK1)</w:t>
            </w:r>
          </w:p>
          <w:p w14:paraId="5CDED1BE" w14:textId="77777777" w:rsidR="00556687" w:rsidRPr="003A4B56" w:rsidRDefault="00556687" w:rsidP="00F2211B">
            <w:pPr>
              <w:spacing w:after="160" w:line="259" w:lineRule="auto"/>
              <w:jc w:val="center"/>
              <w:rPr>
                <w:rFonts w:ascii="Times New Roman" w:hAnsi="Times New Roman" w:cs="Arial"/>
                <w:color w:val="23236E"/>
                <w:sz w:val="24"/>
              </w:rPr>
            </w:pPr>
            <w:r w:rsidRPr="003A4B56">
              <w:rPr>
                <w:rFonts w:ascii="Times New Roman" w:hAnsi="Times New Roman" w:cs="Arial"/>
              </w:rPr>
              <w:t>Energinet.dk</w:t>
            </w:r>
          </w:p>
        </w:tc>
        <w:tc>
          <w:tcPr>
            <w:tcW w:w="567" w:type="dxa"/>
            <w:tcBorders>
              <w:left w:val="single" w:sz="4" w:space="0" w:color="FFFFFF" w:themeColor="background1"/>
              <w:right w:val="single" w:sz="4" w:space="0" w:color="FFFFFF" w:themeColor="background1"/>
            </w:tcBorders>
            <w:vAlign w:val="center"/>
          </w:tcPr>
          <w:p w14:paraId="6B214568" w14:textId="77777777" w:rsidR="00556687" w:rsidRPr="003A4B56" w:rsidRDefault="00556687" w:rsidP="00F2211B">
            <w:pPr>
              <w:spacing w:after="160" w:line="259" w:lineRule="auto"/>
              <w:jc w:val="center"/>
              <w:rPr>
                <w:rFonts w:ascii="Times New Roman" w:hAnsi="Times New Roman" w:cs="Arial"/>
                <w:color w:val="23236E"/>
                <w:sz w:val="24"/>
              </w:rPr>
            </w:pPr>
            <w:r w:rsidRPr="003A4B56">
              <w:rPr>
                <w:rFonts w:ascii="Times New Roman" w:hAnsi="Times New Roman" w:cs="Arial"/>
                <w:sz w:val="24"/>
              </w:rPr>
              <w:t>&lt; &gt;</w:t>
            </w:r>
          </w:p>
        </w:tc>
        <w:tc>
          <w:tcPr>
            <w:tcW w:w="1985" w:type="dxa"/>
            <w:tcBorders>
              <w:left w:val="single" w:sz="4" w:space="0" w:color="FFFFFF" w:themeColor="background1"/>
            </w:tcBorders>
          </w:tcPr>
          <w:p w14:paraId="76708962" w14:textId="77777777" w:rsidR="00556687" w:rsidRPr="003A4B56" w:rsidRDefault="00556687" w:rsidP="00F2211B">
            <w:pPr>
              <w:spacing w:after="160" w:line="259" w:lineRule="auto"/>
              <w:jc w:val="center"/>
              <w:rPr>
                <w:rFonts w:ascii="Times New Roman" w:hAnsi="Times New Roman" w:cs="Arial"/>
                <w:b/>
                <w:sz w:val="24"/>
              </w:rPr>
            </w:pPr>
            <w:r w:rsidRPr="003A4B56">
              <w:rPr>
                <w:rFonts w:ascii="Times New Roman" w:hAnsi="Times New Roman" w:cs="Arial"/>
                <w:b/>
              </w:rPr>
              <w:t>Denmark (DK2</w:t>
            </w:r>
            <w:r w:rsidRPr="003A4B56">
              <w:rPr>
                <w:rFonts w:ascii="Times New Roman" w:hAnsi="Times New Roman" w:cs="Arial"/>
                <w:b/>
                <w:sz w:val="24"/>
              </w:rPr>
              <w:t>)</w:t>
            </w:r>
          </w:p>
          <w:p w14:paraId="5653764D" w14:textId="77777777" w:rsidR="00556687" w:rsidRPr="003A4B56" w:rsidRDefault="00556687" w:rsidP="00F2211B">
            <w:pPr>
              <w:spacing w:after="160" w:line="259" w:lineRule="auto"/>
              <w:jc w:val="center"/>
              <w:rPr>
                <w:rFonts w:ascii="Times New Roman" w:hAnsi="Times New Roman" w:cs="Arial"/>
                <w:color w:val="23236E"/>
                <w:sz w:val="24"/>
              </w:rPr>
            </w:pPr>
            <w:r w:rsidRPr="003A4B56">
              <w:rPr>
                <w:rFonts w:ascii="Times New Roman" w:hAnsi="Times New Roman" w:cs="Arial"/>
              </w:rPr>
              <w:t>Energinet.dk</w:t>
            </w:r>
          </w:p>
        </w:tc>
        <w:tc>
          <w:tcPr>
            <w:tcW w:w="2687" w:type="dxa"/>
            <w:vAlign w:val="center"/>
          </w:tcPr>
          <w:p w14:paraId="5AEE51FF" w14:textId="28154662" w:rsidR="00556687" w:rsidRPr="003A4B56" w:rsidRDefault="00556687" w:rsidP="00F2211B">
            <w:pPr>
              <w:spacing w:after="160" w:line="259" w:lineRule="auto"/>
              <w:jc w:val="center"/>
              <w:rPr>
                <w:rFonts w:ascii="Times New Roman" w:hAnsi="Times New Roman" w:cs="Arial"/>
              </w:rPr>
            </w:pPr>
            <w:r w:rsidRPr="003A4B56">
              <w:rPr>
                <w:rFonts w:ascii="Times New Roman" w:hAnsi="Times New Roman" w:cs="Arial"/>
              </w:rPr>
              <w:t>PTRs</w:t>
            </w:r>
            <w:r w:rsidR="009D5147">
              <w:rPr>
                <w:rFonts w:ascii="Times New Roman" w:hAnsi="Times New Roman" w:cs="Arial"/>
              </w:rPr>
              <w:t xml:space="preserve"> pursuant to UIOSI principle</w:t>
            </w:r>
          </w:p>
        </w:tc>
        <w:tc>
          <w:tcPr>
            <w:tcW w:w="1282" w:type="dxa"/>
            <w:vAlign w:val="center"/>
          </w:tcPr>
          <w:p w14:paraId="03CC7E4E" w14:textId="77777777" w:rsidR="00556687" w:rsidRPr="003A4B56" w:rsidRDefault="00556687" w:rsidP="00F2211B">
            <w:pPr>
              <w:spacing w:after="160" w:line="259" w:lineRule="auto"/>
              <w:jc w:val="center"/>
              <w:rPr>
                <w:rFonts w:ascii="Times New Roman" w:hAnsi="Times New Roman" w:cs="Arial"/>
              </w:rPr>
            </w:pPr>
            <w:r w:rsidRPr="003A4B56">
              <w:rPr>
                <w:rFonts w:ascii="Times New Roman" w:hAnsi="Times New Roman" w:cs="Arial"/>
              </w:rPr>
              <w:t>Yearly &amp;</w:t>
            </w:r>
          </w:p>
          <w:p w14:paraId="57162192" w14:textId="77777777" w:rsidR="00556687" w:rsidRPr="003A4B56" w:rsidRDefault="00556687" w:rsidP="00F2211B">
            <w:pPr>
              <w:spacing w:after="160" w:line="259" w:lineRule="auto"/>
              <w:jc w:val="center"/>
              <w:rPr>
                <w:rFonts w:ascii="Times New Roman" w:hAnsi="Times New Roman" w:cs="Arial"/>
              </w:rPr>
            </w:pPr>
            <w:r w:rsidRPr="003A4B56">
              <w:rPr>
                <w:rFonts w:ascii="Times New Roman" w:hAnsi="Times New Roman" w:cs="Arial"/>
              </w:rPr>
              <w:t>Monthly</w:t>
            </w:r>
          </w:p>
        </w:tc>
        <w:tc>
          <w:tcPr>
            <w:tcW w:w="1192" w:type="dxa"/>
            <w:vAlign w:val="center"/>
          </w:tcPr>
          <w:p w14:paraId="0712B077" w14:textId="77777777" w:rsidR="00556687" w:rsidRPr="003A4B56" w:rsidRDefault="00556687" w:rsidP="00F2211B">
            <w:pPr>
              <w:spacing w:after="160" w:line="259" w:lineRule="auto"/>
              <w:jc w:val="center"/>
              <w:rPr>
                <w:rFonts w:ascii="Times New Roman" w:hAnsi="Times New Roman" w:cs="Arial"/>
              </w:rPr>
            </w:pPr>
            <w:r w:rsidRPr="003A4B56">
              <w:rPr>
                <w:rFonts w:ascii="Times New Roman" w:hAnsi="Times New Roman" w:cs="Arial"/>
              </w:rPr>
              <w:t>Base</w:t>
            </w:r>
          </w:p>
        </w:tc>
      </w:tr>
    </w:tbl>
    <w:p w14:paraId="7D0240DE" w14:textId="77777777" w:rsidR="00AA7C4F" w:rsidRDefault="00AA7C4F" w:rsidP="00680F43">
      <w:pPr>
        <w:spacing w:after="240"/>
        <w:jc w:val="both"/>
        <w:rPr>
          <w:rFonts w:ascii="Times New Roman" w:hAnsi="Times New Roman"/>
          <w:lang w:val="en-GB"/>
        </w:rPr>
      </w:pPr>
    </w:p>
    <w:p w14:paraId="7F687D5D" w14:textId="230C1165" w:rsidR="00AA7C4F" w:rsidRPr="00724E25" w:rsidRDefault="00AA7C4F" w:rsidP="00AA7C4F">
      <w:pPr>
        <w:pStyle w:val="Overskrift2"/>
        <w:rPr>
          <w:rFonts w:ascii="Times New Roman" w:hAnsi="Times New Roman"/>
          <w:color w:val="1F3864" w:themeColor="accent5" w:themeShade="80"/>
          <w:sz w:val="24"/>
          <w:szCs w:val="24"/>
          <w:lang w:val="en-GB"/>
        </w:rPr>
      </w:pPr>
      <w:r>
        <w:rPr>
          <w:rFonts w:ascii="Times New Roman" w:hAnsi="Times New Roman"/>
          <w:color w:val="1F3864" w:themeColor="accent5" w:themeShade="80"/>
          <w:sz w:val="24"/>
          <w:szCs w:val="24"/>
          <w:lang w:val="en-GB"/>
        </w:rPr>
        <w:t>Implementation</w:t>
      </w:r>
    </w:p>
    <w:p w14:paraId="3EEC7A3A" w14:textId="77777777" w:rsidR="00741058" w:rsidRPr="00A0029F" w:rsidRDefault="00741058" w:rsidP="00741058">
      <w:pPr>
        <w:spacing w:after="120"/>
        <w:jc w:val="both"/>
        <w:rPr>
          <w:rFonts w:ascii="Times New Roman" w:hAnsi="Times New Roman"/>
        </w:rPr>
      </w:pPr>
      <w:r w:rsidRPr="00A0029F">
        <w:rPr>
          <w:rFonts w:ascii="Times New Roman" w:hAnsi="Times New Roman"/>
        </w:rPr>
        <w:t xml:space="preserve">The implementation of the Proposal for regional design of LTRs shall coincide with the auction calendar as coordinated and published by the </w:t>
      </w:r>
      <w:r w:rsidRPr="003745A4">
        <w:rPr>
          <w:rFonts w:ascii="Times New Roman" w:hAnsi="Times New Roman"/>
        </w:rPr>
        <w:t>Single Allocation Platform.</w:t>
      </w:r>
      <w:r w:rsidRPr="00A0029F">
        <w:rPr>
          <w:rFonts w:ascii="Times New Roman" w:hAnsi="Times New Roman"/>
        </w:rPr>
        <w:t xml:space="preserve"> </w:t>
      </w:r>
    </w:p>
    <w:p w14:paraId="1119CFF3" w14:textId="77777777" w:rsidR="00741058" w:rsidRDefault="00741058" w:rsidP="00741058">
      <w:pPr>
        <w:pStyle w:val="Listeafsnit"/>
        <w:numPr>
          <w:ilvl w:val="0"/>
          <w:numId w:val="37"/>
        </w:numPr>
        <w:spacing w:after="240"/>
        <w:jc w:val="both"/>
        <w:rPr>
          <w:rFonts w:ascii="Times New Roman" w:hAnsi="Times New Roman"/>
          <w:lang w:val="en-GB"/>
        </w:rPr>
      </w:pPr>
      <w:r w:rsidRPr="003A4B56">
        <w:rPr>
          <w:rFonts w:ascii="Times New Roman" w:hAnsi="Times New Roman"/>
          <w:lang w:val="en-GB"/>
        </w:rPr>
        <w:t xml:space="preserve">The implementation of auctions with a </w:t>
      </w:r>
      <w:r>
        <w:rPr>
          <w:rFonts w:ascii="Times New Roman" w:hAnsi="Times New Roman"/>
          <w:lang w:val="en-GB"/>
        </w:rPr>
        <w:t>y</w:t>
      </w:r>
      <w:r w:rsidRPr="003A4B56">
        <w:rPr>
          <w:rFonts w:ascii="Times New Roman" w:hAnsi="Times New Roman"/>
          <w:lang w:val="en-GB"/>
        </w:rPr>
        <w:t xml:space="preserve">early timeframe </w:t>
      </w:r>
      <w:r>
        <w:rPr>
          <w:rFonts w:ascii="Times New Roman" w:hAnsi="Times New Roman"/>
          <w:lang w:val="en-GB"/>
        </w:rPr>
        <w:t xml:space="preserve">on all bidding zone borders covered by this Proposal for regional design of LTRs </w:t>
      </w:r>
      <w:r w:rsidRPr="003A4B56">
        <w:rPr>
          <w:rFonts w:ascii="Times New Roman" w:hAnsi="Times New Roman"/>
          <w:lang w:val="en-GB"/>
        </w:rPr>
        <w:t xml:space="preserve">will be completed </w:t>
      </w:r>
      <w:r>
        <w:rPr>
          <w:rFonts w:ascii="Times New Roman" w:hAnsi="Times New Roman"/>
          <w:lang w:val="en-GB"/>
        </w:rPr>
        <w:t xml:space="preserve">no later than for the next </w:t>
      </w:r>
      <w:r w:rsidRPr="003A4B56">
        <w:rPr>
          <w:rFonts w:ascii="Times New Roman" w:hAnsi="Times New Roman"/>
          <w:lang w:val="en-GB"/>
        </w:rPr>
        <w:t>yearly auction a</w:t>
      </w:r>
      <w:r w:rsidRPr="003745A4">
        <w:rPr>
          <w:rFonts w:ascii="Times New Roman" w:hAnsi="Times New Roman"/>
          <w:lang w:val="en-GB"/>
        </w:rPr>
        <w:t>fter the approval, in accordance with the auction calendar as coordinated and published by the Single Allocation Platform.</w:t>
      </w:r>
    </w:p>
    <w:p w14:paraId="264B5EB1" w14:textId="77777777" w:rsidR="00741058" w:rsidRDefault="00741058" w:rsidP="00741058">
      <w:pPr>
        <w:pStyle w:val="Listeafsnit"/>
        <w:spacing w:after="240"/>
        <w:ind w:left="1440"/>
        <w:jc w:val="both"/>
        <w:rPr>
          <w:rFonts w:ascii="Times New Roman" w:hAnsi="Times New Roman"/>
          <w:lang w:val="en-GB"/>
        </w:rPr>
      </w:pPr>
    </w:p>
    <w:p w14:paraId="2800BA01" w14:textId="7D3369D3" w:rsidR="00741058" w:rsidRPr="00741058" w:rsidRDefault="00741058" w:rsidP="00680F43">
      <w:pPr>
        <w:pStyle w:val="Listeafsnit"/>
        <w:numPr>
          <w:ilvl w:val="0"/>
          <w:numId w:val="37"/>
        </w:numPr>
        <w:spacing w:after="240"/>
        <w:jc w:val="both"/>
        <w:rPr>
          <w:rFonts w:ascii="Times New Roman" w:hAnsi="Times New Roman"/>
          <w:lang w:val="en-GB"/>
        </w:rPr>
      </w:pPr>
      <w:r w:rsidRPr="00AD6833">
        <w:rPr>
          <w:rFonts w:ascii="Times New Roman" w:hAnsi="Times New Roman"/>
          <w:lang w:val="en-GB"/>
        </w:rPr>
        <w:t xml:space="preserve">The implementation of the auction with monthly timeframe on all bidding zone borders covered by this Proposal for regional design of LTRs will be completed no later than for the next monthly auction following the month after the approval, in accordance with the auction calendar as coordinated and published by the </w:t>
      </w:r>
      <w:r w:rsidRPr="003745A4">
        <w:rPr>
          <w:rFonts w:ascii="Times New Roman" w:hAnsi="Times New Roman"/>
          <w:lang w:val="en-GB"/>
        </w:rPr>
        <w:t>Single Allocation Platform.</w:t>
      </w:r>
    </w:p>
    <w:p w14:paraId="708E91CD" w14:textId="58729E3C" w:rsidR="00741058" w:rsidRDefault="009D5147" w:rsidP="00680F43">
      <w:pPr>
        <w:spacing w:after="240"/>
        <w:jc w:val="both"/>
        <w:rPr>
          <w:rFonts w:ascii="Times New Roman" w:hAnsi="Times New Roman"/>
          <w:lang w:val="en-GB"/>
        </w:rPr>
      </w:pPr>
      <w:r>
        <w:rPr>
          <w:rFonts w:ascii="Times New Roman" w:hAnsi="Times New Roman"/>
          <w:lang w:val="en-GB"/>
        </w:rPr>
        <w:t>The implementation of the Proposal for regional design of LTRs in the CCR Nordic shall coincide with the auction calendar. The implementation of the yearly product will therefore be completed no later than the next yearly auction after the approval of the Proposal for regional design of LTRs. The implementation for the Great-belt interconnector will therefore be completed for the yearly auction for 2019.</w:t>
      </w:r>
    </w:p>
    <w:p w14:paraId="44CBCCD2" w14:textId="69243954" w:rsidR="00741058" w:rsidRPr="00146185" w:rsidRDefault="00741058" w:rsidP="00741058">
      <w:pPr>
        <w:spacing w:after="240"/>
        <w:jc w:val="both"/>
        <w:rPr>
          <w:rFonts w:ascii="Times New Roman" w:hAnsi="Times New Roman"/>
          <w:lang w:val="en-GB"/>
        </w:rPr>
      </w:pPr>
      <w:r w:rsidRPr="00146185">
        <w:rPr>
          <w:rFonts w:ascii="Times New Roman" w:hAnsi="Times New Roman"/>
          <w:lang w:val="en-GB"/>
        </w:rPr>
        <w:t xml:space="preserve">Given JAO, including the IT tools operated by JAO to perform long-term capacity allocation, meets the criteria set out in the FCA, and also taking the experience in allocation of long-term capacity, the efficiency and the cost into consideration, the Nordic TSOs will offer the LTRs in the CCR Nordic through JAO until the </w:t>
      </w:r>
      <w:r>
        <w:rPr>
          <w:rFonts w:ascii="Times New Roman" w:hAnsi="Times New Roman"/>
          <w:lang w:val="en-GB"/>
        </w:rPr>
        <w:t>S</w:t>
      </w:r>
      <w:r w:rsidRPr="00146185">
        <w:rPr>
          <w:rFonts w:ascii="Times New Roman" w:hAnsi="Times New Roman"/>
          <w:lang w:val="en-GB"/>
        </w:rPr>
        <w:t xml:space="preserve">ingle </w:t>
      </w:r>
      <w:r>
        <w:rPr>
          <w:rFonts w:ascii="Times New Roman" w:hAnsi="Times New Roman"/>
          <w:lang w:val="en-GB"/>
        </w:rPr>
        <w:t>A</w:t>
      </w:r>
      <w:r w:rsidRPr="00146185">
        <w:rPr>
          <w:rFonts w:ascii="Times New Roman" w:hAnsi="Times New Roman"/>
          <w:lang w:val="en-GB"/>
        </w:rPr>
        <w:t xml:space="preserve">llocation </w:t>
      </w:r>
      <w:r>
        <w:rPr>
          <w:rFonts w:ascii="Times New Roman" w:hAnsi="Times New Roman"/>
          <w:lang w:val="en-GB"/>
        </w:rPr>
        <w:t>P</w:t>
      </w:r>
      <w:r w:rsidRPr="00146185">
        <w:rPr>
          <w:rFonts w:ascii="Times New Roman" w:hAnsi="Times New Roman"/>
          <w:lang w:val="en-GB"/>
        </w:rPr>
        <w:t xml:space="preserve">latform is operational. </w:t>
      </w:r>
    </w:p>
    <w:p w14:paraId="597D7F49" w14:textId="77777777" w:rsidR="00741058" w:rsidRPr="00146185" w:rsidRDefault="00741058" w:rsidP="00741058">
      <w:pPr>
        <w:spacing w:after="240"/>
        <w:jc w:val="both"/>
        <w:rPr>
          <w:rFonts w:ascii="Times New Roman" w:hAnsi="Times New Roman"/>
          <w:lang w:val="en-GB"/>
        </w:rPr>
      </w:pPr>
      <w:r w:rsidRPr="00146185">
        <w:rPr>
          <w:rFonts w:ascii="Times New Roman" w:hAnsi="Times New Roman"/>
          <w:lang w:val="en-GB"/>
        </w:rPr>
        <w:t xml:space="preserve">This allows the market participants and TSOs to continue to use an already existing IT Tool that complies with the technical requirements set out by the FCA Regulation and ensures the transparency requirements given in the FCA Regulation until the permanent solution is established and operational. </w:t>
      </w:r>
    </w:p>
    <w:p w14:paraId="287C54BE" w14:textId="77777777" w:rsidR="00741058" w:rsidRDefault="00741058" w:rsidP="00680F43">
      <w:pPr>
        <w:spacing w:after="240"/>
        <w:jc w:val="both"/>
        <w:rPr>
          <w:rFonts w:ascii="Times New Roman" w:hAnsi="Times New Roman"/>
          <w:lang w:val="en-GB"/>
        </w:rPr>
      </w:pPr>
    </w:p>
    <w:sectPr w:rsidR="00741058" w:rsidSect="00BC4925">
      <w:footerReference w:type="default" r:id="rId13"/>
      <w:endnotePr>
        <w:numFmt w:val="decimal"/>
      </w:endnotePr>
      <w:pgSz w:w="11906" w:h="16838" w:code="9"/>
      <w:pgMar w:top="1916" w:right="1021" w:bottom="1701" w:left="1361"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5E8546" w15:done="0"/>
  <w15:commentEx w15:paraId="529496E9" w15:done="0"/>
  <w15:commentEx w15:paraId="4B524225" w15:done="0"/>
  <w15:commentEx w15:paraId="6E15CAA1" w15:done="0"/>
  <w15:commentEx w15:paraId="2B2938B4" w15:done="0"/>
  <w15:commentEx w15:paraId="503080DC" w15:paraIdParent="2B2938B4" w15:done="0"/>
  <w15:commentEx w15:paraId="0FF73A51" w15:done="0"/>
  <w15:commentEx w15:paraId="5CAF4281" w15:done="0"/>
  <w15:commentEx w15:paraId="3338B68E" w15:done="0"/>
  <w15:commentEx w15:paraId="13A7B437" w15:done="0"/>
  <w15:commentEx w15:paraId="24227459" w15:done="0"/>
  <w15:commentEx w15:paraId="495EBC5E" w15:done="0"/>
  <w15:commentEx w15:paraId="4945FC2B" w15:done="0"/>
  <w15:commentEx w15:paraId="283415A9" w15:done="0"/>
  <w15:commentEx w15:paraId="276EB4DF" w15:done="0"/>
  <w15:commentEx w15:paraId="212BB8E9" w15:done="0"/>
  <w15:commentEx w15:paraId="18A50351" w15:done="0"/>
  <w15:commentEx w15:paraId="68E37750" w15:done="0"/>
  <w15:commentEx w15:paraId="3D46ACF2" w15:done="0"/>
  <w15:commentEx w15:paraId="4CEF3C78" w15:done="0"/>
  <w15:commentEx w15:paraId="29686A99" w15:done="0"/>
  <w15:commentEx w15:paraId="0B08255B" w15:done="0"/>
  <w15:commentEx w15:paraId="6647B6F6" w15:done="0"/>
  <w15:commentEx w15:paraId="744E4BB7" w15:paraIdParent="6647B6F6" w15:done="0"/>
  <w15:commentEx w15:paraId="4E6489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16B33" w14:textId="77777777" w:rsidR="00885F7D" w:rsidRDefault="00885F7D" w:rsidP="00EE05E6">
      <w:pPr>
        <w:spacing w:after="0" w:line="240" w:lineRule="auto"/>
      </w:pPr>
      <w:r>
        <w:separator/>
      </w:r>
    </w:p>
  </w:endnote>
  <w:endnote w:type="continuationSeparator" w:id="0">
    <w:p w14:paraId="343E21B5" w14:textId="77777777" w:rsidR="00885F7D" w:rsidRDefault="00885F7D" w:rsidP="00EE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114455"/>
      <w:docPartObj>
        <w:docPartGallery w:val="Page Numbers (Bottom of Page)"/>
        <w:docPartUnique/>
      </w:docPartObj>
    </w:sdtPr>
    <w:sdtContent>
      <w:p w14:paraId="1FC4BC34" w14:textId="707BAA35" w:rsidR="00C20D50" w:rsidRDefault="00C20D50">
        <w:pPr>
          <w:pStyle w:val="Sidefod"/>
          <w:jc w:val="right"/>
        </w:pPr>
        <w:r>
          <w:fldChar w:fldCharType="begin"/>
        </w:r>
        <w:r>
          <w:instrText>PAGE   \* MERGEFORMAT</w:instrText>
        </w:r>
        <w:r>
          <w:fldChar w:fldCharType="separate"/>
        </w:r>
        <w:r w:rsidRPr="00C20D50">
          <w:rPr>
            <w:noProof/>
            <w:lang w:val="da-DK"/>
          </w:rPr>
          <w:t>2</w:t>
        </w:r>
        <w:r>
          <w:fldChar w:fldCharType="end"/>
        </w:r>
      </w:p>
    </w:sdtContent>
  </w:sdt>
  <w:p w14:paraId="60A5D95A" w14:textId="77777777" w:rsidR="00C20D50" w:rsidRDefault="00C20D5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53466" w14:textId="77777777" w:rsidR="00885F7D" w:rsidRDefault="00885F7D" w:rsidP="00EE05E6">
      <w:pPr>
        <w:spacing w:after="0" w:line="240" w:lineRule="auto"/>
      </w:pPr>
      <w:r>
        <w:separator/>
      </w:r>
    </w:p>
  </w:footnote>
  <w:footnote w:type="continuationSeparator" w:id="0">
    <w:p w14:paraId="06FF5F3D" w14:textId="77777777" w:rsidR="00885F7D" w:rsidRDefault="00885F7D" w:rsidP="00EE0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EC8"/>
    <w:multiLevelType w:val="hybridMultilevel"/>
    <w:tmpl w:val="BDC821B4"/>
    <w:lvl w:ilvl="0" w:tplc="D906369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1532F1"/>
    <w:multiLevelType w:val="hybridMultilevel"/>
    <w:tmpl w:val="9E2C64B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A2B3458"/>
    <w:multiLevelType w:val="hybridMultilevel"/>
    <w:tmpl w:val="32BEE8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E5E6317"/>
    <w:multiLevelType w:val="hybridMultilevel"/>
    <w:tmpl w:val="DFA8E93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02A6098"/>
    <w:multiLevelType w:val="hybridMultilevel"/>
    <w:tmpl w:val="E3F4B396"/>
    <w:lvl w:ilvl="0" w:tplc="79EE455A">
      <w:start w:val="1"/>
      <w:numFmt w:val="decimal"/>
      <w:lvlText w:val="(%1)"/>
      <w:lvlJc w:val="left"/>
      <w:pPr>
        <w:ind w:left="720" w:hanging="360"/>
      </w:pPr>
      <w:rPr>
        <w:rFonts w:hint="default"/>
        <w:b w:val="0"/>
      </w:rPr>
    </w:lvl>
    <w:lvl w:ilvl="1" w:tplc="0106ACE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45FC3"/>
    <w:multiLevelType w:val="hybridMultilevel"/>
    <w:tmpl w:val="2FBCC16A"/>
    <w:lvl w:ilvl="0" w:tplc="04060017">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6">
    <w:nsid w:val="141E6795"/>
    <w:multiLevelType w:val="hybridMultilevel"/>
    <w:tmpl w:val="3AA64D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4EA1851"/>
    <w:multiLevelType w:val="hybridMultilevel"/>
    <w:tmpl w:val="2BA84C82"/>
    <w:lvl w:ilvl="0" w:tplc="35AC5AC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D13111D"/>
    <w:multiLevelType w:val="hybridMultilevel"/>
    <w:tmpl w:val="09C065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217D6C9C"/>
    <w:multiLevelType w:val="hybridMultilevel"/>
    <w:tmpl w:val="767261FA"/>
    <w:lvl w:ilvl="0" w:tplc="7BF6EB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28B780F"/>
    <w:multiLevelType w:val="hybridMultilevel"/>
    <w:tmpl w:val="6472D4C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2">
    <w:nsid w:val="2B6F6A57"/>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569B7"/>
    <w:multiLevelType w:val="hybridMultilevel"/>
    <w:tmpl w:val="387095DC"/>
    <w:lvl w:ilvl="0" w:tplc="040B000F">
      <w:start w:val="1"/>
      <w:numFmt w:val="decimal"/>
      <w:lvlText w:val="%1."/>
      <w:lvlJc w:val="left"/>
      <w:pPr>
        <w:ind w:left="720" w:hanging="360"/>
      </w:pPr>
    </w:lvl>
    <w:lvl w:ilvl="1" w:tplc="04090017">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351A6947"/>
    <w:multiLevelType w:val="hybridMultilevel"/>
    <w:tmpl w:val="C0226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4B6EB5"/>
    <w:multiLevelType w:val="hybridMultilevel"/>
    <w:tmpl w:val="17C07D1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3C281B31"/>
    <w:multiLevelType w:val="hybridMultilevel"/>
    <w:tmpl w:val="83D2B3F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3C415754"/>
    <w:multiLevelType w:val="hybridMultilevel"/>
    <w:tmpl w:val="F79A7A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4CA34E00"/>
    <w:multiLevelType w:val="hybridMultilevel"/>
    <w:tmpl w:val="21FADB2A"/>
    <w:lvl w:ilvl="0" w:tplc="405678A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EA27289"/>
    <w:multiLevelType w:val="hybridMultilevel"/>
    <w:tmpl w:val="85AE0CD4"/>
    <w:lvl w:ilvl="0" w:tplc="7BF6EB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F8C6B00"/>
    <w:multiLevelType w:val="hybridMultilevel"/>
    <w:tmpl w:val="418AA6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43038"/>
    <w:multiLevelType w:val="hybridMultilevel"/>
    <w:tmpl w:val="535ED19A"/>
    <w:lvl w:ilvl="0" w:tplc="04090017">
      <w:start w:val="1"/>
      <w:numFmt w:val="lowerLetter"/>
      <w:lvlText w:val="%1)"/>
      <w:lvlJc w:val="left"/>
      <w:pPr>
        <w:ind w:left="1164" w:hanging="360"/>
      </w:pPr>
    </w:lvl>
    <w:lvl w:ilvl="1" w:tplc="6C0A2FA8">
      <w:start w:val="1"/>
      <w:numFmt w:val="lowerLetter"/>
      <w:lvlText w:val="%2)"/>
      <w:lvlJc w:val="left"/>
      <w:pPr>
        <w:ind w:left="1884" w:hanging="360"/>
      </w:pPr>
    </w:lvl>
    <w:lvl w:ilvl="2" w:tplc="040B001B">
      <w:start w:val="1"/>
      <w:numFmt w:val="lowerRoman"/>
      <w:lvlText w:val="%3."/>
      <w:lvlJc w:val="right"/>
      <w:pPr>
        <w:ind w:left="2604" w:hanging="180"/>
      </w:pPr>
    </w:lvl>
    <w:lvl w:ilvl="3" w:tplc="040B000F">
      <w:start w:val="1"/>
      <w:numFmt w:val="decimal"/>
      <w:lvlText w:val="%4."/>
      <w:lvlJc w:val="left"/>
      <w:pPr>
        <w:ind w:left="3324" w:hanging="360"/>
      </w:pPr>
    </w:lvl>
    <w:lvl w:ilvl="4" w:tplc="040B0019">
      <w:start w:val="1"/>
      <w:numFmt w:val="lowerLetter"/>
      <w:lvlText w:val="%5."/>
      <w:lvlJc w:val="left"/>
      <w:pPr>
        <w:ind w:left="4044" w:hanging="360"/>
      </w:pPr>
    </w:lvl>
    <w:lvl w:ilvl="5" w:tplc="040B001B">
      <w:start w:val="1"/>
      <w:numFmt w:val="lowerRoman"/>
      <w:lvlText w:val="%6."/>
      <w:lvlJc w:val="right"/>
      <w:pPr>
        <w:ind w:left="4764" w:hanging="180"/>
      </w:pPr>
    </w:lvl>
    <w:lvl w:ilvl="6" w:tplc="040B000F">
      <w:start w:val="1"/>
      <w:numFmt w:val="decimal"/>
      <w:lvlText w:val="%7."/>
      <w:lvlJc w:val="left"/>
      <w:pPr>
        <w:ind w:left="5484" w:hanging="360"/>
      </w:pPr>
    </w:lvl>
    <w:lvl w:ilvl="7" w:tplc="040B0019">
      <w:start w:val="1"/>
      <w:numFmt w:val="lowerLetter"/>
      <w:lvlText w:val="%8."/>
      <w:lvlJc w:val="left"/>
      <w:pPr>
        <w:ind w:left="6204" w:hanging="360"/>
      </w:pPr>
    </w:lvl>
    <w:lvl w:ilvl="8" w:tplc="040B001B">
      <w:start w:val="1"/>
      <w:numFmt w:val="lowerRoman"/>
      <w:lvlText w:val="%9."/>
      <w:lvlJc w:val="right"/>
      <w:pPr>
        <w:ind w:left="6924" w:hanging="180"/>
      </w:pPr>
    </w:lvl>
  </w:abstractNum>
  <w:abstractNum w:abstractNumId="22">
    <w:nsid w:val="594E5FEA"/>
    <w:multiLevelType w:val="hybridMultilevel"/>
    <w:tmpl w:val="DB5AC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5A5EC4"/>
    <w:multiLevelType w:val="hybridMultilevel"/>
    <w:tmpl w:val="62D039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E7E576A"/>
    <w:multiLevelType w:val="hybridMultilevel"/>
    <w:tmpl w:val="3294C9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614E3F76"/>
    <w:multiLevelType w:val="hybridMultilevel"/>
    <w:tmpl w:val="20DAC8E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614F66CA"/>
    <w:multiLevelType w:val="hybridMultilevel"/>
    <w:tmpl w:val="6532C864"/>
    <w:lvl w:ilvl="0" w:tplc="405678A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6910CDD"/>
    <w:multiLevelType w:val="hybridMultilevel"/>
    <w:tmpl w:val="635A04A4"/>
    <w:lvl w:ilvl="0" w:tplc="DD721F44">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7DA6B57"/>
    <w:multiLevelType w:val="hybridMultilevel"/>
    <w:tmpl w:val="1CDEBEA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9">
    <w:nsid w:val="720B5091"/>
    <w:multiLevelType w:val="hybridMultilevel"/>
    <w:tmpl w:val="0BB47046"/>
    <w:lvl w:ilvl="0" w:tplc="0409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0">
    <w:nsid w:val="756C0F84"/>
    <w:multiLevelType w:val="hybridMultilevel"/>
    <w:tmpl w:val="8A58F1BE"/>
    <w:lvl w:ilvl="0" w:tplc="1EF86E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D30753A"/>
    <w:multiLevelType w:val="hybridMultilevel"/>
    <w:tmpl w:val="4394E1C0"/>
    <w:lvl w:ilvl="0" w:tplc="339E8AA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EA00DC9"/>
    <w:multiLevelType w:val="hybridMultilevel"/>
    <w:tmpl w:val="54023E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F177AE9"/>
    <w:multiLevelType w:val="hybridMultilevel"/>
    <w:tmpl w:val="F5FA3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2"/>
  </w:num>
  <w:num w:numId="4">
    <w:abstractNumId w:val="33"/>
  </w:num>
  <w:num w:numId="5">
    <w:abstractNumId w:val="14"/>
  </w:num>
  <w:num w:numId="6">
    <w:abstractNumId w:val="6"/>
  </w:num>
  <w:num w:numId="7">
    <w:abstractNumId w:val="13"/>
  </w:num>
  <w:num w:numId="8">
    <w:abstractNumId w:val="2"/>
  </w:num>
  <w:num w:numId="9">
    <w:abstractNumId w:val="3"/>
  </w:num>
  <w:num w:numId="10">
    <w:abstractNumId w:val="1"/>
  </w:num>
  <w:num w:numId="11">
    <w:abstractNumId w:val="17"/>
  </w:num>
  <w:num w:numId="12">
    <w:abstractNumId w:val="10"/>
  </w:num>
  <w:num w:numId="13">
    <w:abstractNumId w:val="25"/>
  </w:num>
  <w:num w:numId="14">
    <w:abstractNumId w:val="24"/>
  </w:num>
  <w:num w:numId="15">
    <w:abstractNumId w:val="8"/>
  </w:num>
  <w:num w:numId="16">
    <w:abstractNumId w:val="16"/>
  </w:num>
  <w:num w:numId="17">
    <w:abstractNumId w:val="15"/>
  </w:num>
  <w:num w:numId="18">
    <w:abstractNumId w:val="20"/>
  </w:num>
  <w:num w:numId="19">
    <w:abstractNumId w:val="28"/>
  </w:num>
  <w:num w:numId="20">
    <w:abstractNumId w:val="26"/>
  </w:num>
  <w:num w:numId="21">
    <w:abstractNumId w:val="7"/>
  </w:num>
  <w:num w:numId="22">
    <w:abstractNumId w:val="18"/>
  </w:num>
  <w:num w:numId="23">
    <w:abstractNumId w:val="19"/>
  </w:num>
  <w:num w:numId="24">
    <w:abstractNumId w:val="29"/>
  </w:num>
  <w:num w:numId="25">
    <w:abstractNumId w:val="9"/>
  </w:num>
  <w:num w:numId="26">
    <w:abstractNumId w:val="32"/>
  </w:num>
  <w:num w:numId="27">
    <w:abstractNumId w:val="31"/>
  </w:num>
  <w:num w:numId="28">
    <w:abstractNumId w:val="23"/>
  </w:num>
  <w:num w:numId="29">
    <w:abstractNumId w:val="30"/>
  </w:num>
  <w:num w:numId="30">
    <w:abstractNumId w:val="11"/>
  </w:num>
  <w:num w:numId="31">
    <w:abstractNumId w:val="11"/>
  </w:num>
  <w:num w:numId="32">
    <w:abstractNumId w:val="11"/>
  </w:num>
  <w:num w:numId="33">
    <w:abstractNumId w:val="11"/>
  </w:num>
  <w:num w:numId="34">
    <w:abstractNumId w:val="0"/>
  </w:num>
  <w:num w:numId="35">
    <w:abstractNumId w:val="22"/>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ljainen Satu">
    <w15:presenceInfo w15:providerId="None" w15:userId="Viljainen Satu"/>
  </w15:person>
  <w15:person w15:author="Jakob Norem Dyrhaug">
    <w15:presenceInfo w15:providerId="AD" w15:userId="S-1-5-21-1123561945-1292428093-725345543-205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66"/>
    <w:rsid w:val="000037C1"/>
    <w:rsid w:val="00011171"/>
    <w:rsid w:val="000206A1"/>
    <w:rsid w:val="00024B0F"/>
    <w:rsid w:val="00037E37"/>
    <w:rsid w:val="00052E45"/>
    <w:rsid w:val="00061181"/>
    <w:rsid w:val="00062D0C"/>
    <w:rsid w:val="000731EF"/>
    <w:rsid w:val="00073A33"/>
    <w:rsid w:val="00084863"/>
    <w:rsid w:val="0008550D"/>
    <w:rsid w:val="00087DD9"/>
    <w:rsid w:val="0009085C"/>
    <w:rsid w:val="00091E68"/>
    <w:rsid w:val="0009416C"/>
    <w:rsid w:val="000942C1"/>
    <w:rsid w:val="000A38BD"/>
    <w:rsid w:val="000C580D"/>
    <w:rsid w:val="000C5FC2"/>
    <w:rsid w:val="000C6B98"/>
    <w:rsid w:val="000C75DF"/>
    <w:rsid w:val="000D4547"/>
    <w:rsid w:val="000E62FA"/>
    <w:rsid w:val="000E6A0E"/>
    <w:rsid w:val="000F5781"/>
    <w:rsid w:val="00124843"/>
    <w:rsid w:val="00146185"/>
    <w:rsid w:val="0014621E"/>
    <w:rsid w:val="001464A6"/>
    <w:rsid w:val="0017252D"/>
    <w:rsid w:val="00180917"/>
    <w:rsid w:val="00186470"/>
    <w:rsid w:val="00193BC5"/>
    <w:rsid w:val="0019419C"/>
    <w:rsid w:val="001A539A"/>
    <w:rsid w:val="001D24DF"/>
    <w:rsid w:val="001E4ACD"/>
    <w:rsid w:val="0020193F"/>
    <w:rsid w:val="00207ABF"/>
    <w:rsid w:val="002329EB"/>
    <w:rsid w:val="002337BD"/>
    <w:rsid w:val="00234A80"/>
    <w:rsid w:val="00256990"/>
    <w:rsid w:val="0026032F"/>
    <w:rsid w:val="002829F5"/>
    <w:rsid w:val="00283DB6"/>
    <w:rsid w:val="002861E5"/>
    <w:rsid w:val="00291220"/>
    <w:rsid w:val="00294293"/>
    <w:rsid w:val="002A7596"/>
    <w:rsid w:val="002B4B62"/>
    <w:rsid w:val="002C7EB1"/>
    <w:rsid w:val="002E62A5"/>
    <w:rsid w:val="0030678F"/>
    <w:rsid w:val="003076EB"/>
    <w:rsid w:val="003124C9"/>
    <w:rsid w:val="003215FC"/>
    <w:rsid w:val="0032687A"/>
    <w:rsid w:val="00345AA5"/>
    <w:rsid w:val="003503B1"/>
    <w:rsid w:val="00356FF7"/>
    <w:rsid w:val="003626A1"/>
    <w:rsid w:val="00365618"/>
    <w:rsid w:val="003745A4"/>
    <w:rsid w:val="00376136"/>
    <w:rsid w:val="003A3BBA"/>
    <w:rsid w:val="003A5B59"/>
    <w:rsid w:val="003C0DC1"/>
    <w:rsid w:val="003C1B3E"/>
    <w:rsid w:val="003C3EE2"/>
    <w:rsid w:val="003D11FE"/>
    <w:rsid w:val="003D7121"/>
    <w:rsid w:val="003D75C1"/>
    <w:rsid w:val="003E7592"/>
    <w:rsid w:val="003F2F07"/>
    <w:rsid w:val="004064C1"/>
    <w:rsid w:val="004149F5"/>
    <w:rsid w:val="0043318B"/>
    <w:rsid w:val="0044058A"/>
    <w:rsid w:val="00445E29"/>
    <w:rsid w:val="0045226A"/>
    <w:rsid w:val="00460B65"/>
    <w:rsid w:val="00474DC4"/>
    <w:rsid w:val="00490237"/>
    <w:rsid w:val="004A2F9D"/>
    <w:rsid w:val="004A48FE"/>
    <w:rsid w:val="004B30A3"/>
    <w:rsid w:val="004B72E4"/>
    <w:rsid w:val="004B75BA"/>
    <w:rsid w:val="004C0BF3"/>
    <w:rsid w:val="004C7AEF"/>
    <w:rsid w:val="004D318D"/>
    <w:rsid w:val="004D42E2"/>
    <w:rsid w:val="004E45D4"/>
    <w:rsid w:val="004E52E8"/>
    <w:rsid w:val="004F2F66"/>
    <w:rsid w:val="005118DE"/>
    <w:rsid w:val="005171AB"/>
    <w:rsid w:val="0052248E"/>
    <w:rsid w:val="005272C4"/>
    <w:rsid w:val="0053231B"/>
    <w:rsid w:val="00544A41"/>
    <w:rsid w:val="005475F3"/>
    <w:rsid w:val="00552F94"/>
    <w:rsid w:val="00555230"/>
    <w:rsid w:val="00556687"/>
    <w:rsid w:val="00596D56"/>
    <w:rsid w:val="00597D45"/>
    <w:rsid w:val="005C2C9D"/>
    <w:rsid w:val="005D092A"/>
    <w:rsid w:val="005D0A00"/>
    <w:rsid w:val="005D1839"/>
    <w:rsid w:val="00604A76"/>
    <w:rsid w:val="00614EBB"/>
    <w:rsid w:val="00615735"/>
    <w:rsid w:val="006221C2"/>
    <w:rsid w:val="00643961"/>
    <w:rsid w:val="00647F80"/>
    <w:rsid w:val="00651EF1"/>
    <w:rsid w:val="0065499C"/>
    <w:rsid w:val="006600EC"/>
    <w:rsid w:val="00680F43"/>
    <w:rsid w:val="0068284A"/>
    <w:rsid w:val="006858A1"/>
    <w:rsid w:val="00687250"/>
    <w:rsid w:val="006877DE"/>
    <w:rsid w:val="00696154"/>
    <w:rsid w:val="00696B41"/>
    <w:rsid w:val="00697D09"/>
    <w:rsid w:val="006B300B"/>
    <w:rsid w:val="006D5427"/>
    <w:rsid w:val="006D7930"/>
    <w:rsid w:val="006E0126"/>
    <w:rsid w:val="0070337A"/>
    <w:rsid w:val="00710B6E"/>
    <w:rsid w:val="00724E25"/>
    <w:rsid w:val="00741058"/>
    <w:rsid w:val="00743AA5"/>
    <w:rsid w:val="00747B01"/>
    <w:rsid w:val="00753085"/>
    <w:rsid w:val="00776D23"/>
    <w:rsid w:val="007B0D02"/>
    <w:rsid w:val="007B1EF7"/>
    <w:rsid w:val="007B3B61"/>
    <w:rsid w:val="007D58AA"/>
    <w:rsid w:val="007F6E67"/>
    <w:rsid w:val="00803FD9"/>
    <w:rsid w:val="00804580"/>
    <w:rsid w:val="00832F55"/>
    <w:rsid w:val="00832FEB"/>
    <w:rsid w:val="00842F9E"/>
    <w:rsid w:val="008510FB"/>
    <w:rsid w:val="00854D60"/>
    <w:rsid w:val="00857AF5"/>
    <w:rsid w:val="00857DD4"/>
    <w:rsid w:val="00860581"/>
    <w:rsid w:val="008727E3"/>
    <w:rsid w:val="008730AB"/>
    <w:rsid w:val="00874EB2"/>
    <w:rsid w:val="008833F5"/>
    <w:rsid w:val="00885F7D"/>
    <w:rsid w:val="008B14E0"/>
    <w:rsid w:val="008B2A7A"/>
    <w:rsid w:val="008B4089"/>
    <w:rsid w:val="008B5DF4"/>
    <w:rsid w:val="008F7B06"/>
    <w:rsid w:val="008F7EB7"/>
    <w:rsid w:val="0090288A"/>
    <w:rsid w:val="00905814"/>
    <w:rsid w:val="00911E67"/>
    <w:rsid w:val="00926AEB"/>
    <w:rsid w:val="00934C17"/>
    <w:rsid w:val="00936148"/>
    <w:rsid w:val="00941383"/>
    <w:rsid w:val="00957124"/>
    <w:rsid w:val="00967AE1"/>
    <w:rsid w:val="00973AD1"/>
    <w:rsid w:val="009778A5"/>
    <w:rsid w:val="0098550E"/>
    <w:rsid w:val="009A7812"/>
    <w:rsid w:val="009C61FE"/>
    <w:rsid w:val="009D2A9A"/>
    <w:rsid w:val="009D5147"/>
    <w:rsid w:val="009F0863"/>
    <w:rsid w:val="00A008A2"/>
    <w:rsid w:val="00A242B4"/>
    <w:rsid w:val="00A301CB"/>
    <w:rsid w:val="00A32227"/>
    <w:rsid w:val="00A40F3C"/>
    <w:rsid w:val="00A5019F"/>
    <w:rsid w:val="00A5627A"/>
    <w:rsid w:val="00A752B5"/>
    <w:rsid w:val="00A77C05"/>
    <w:rsid w:val="00A810FB"/>
    <w:rsid w:val="00A94134"/>
    <w:rsid w:val="00AA7C4F"/>
    <w:rsid w:val="00AA7EE2"/>
    <w:rsid w:val="00AC1ED2"/>
    <w:rsid w:val="00AC680B"/>
    <w:rsid w:val="00AD0209"/>
    <w:rsid w:val="00B01E36"/>
    <w:rsid w:val="00B2203F"/>
    <w:rsid w:val="00B4013F"/>
    <w:rsid w:val="00B41C0B"/>
    <w:rsid w:val="00B5015B"/>
    <w:rsid w:val="00B510CE"/>
    <w:rsid w:val="00B52F2C"/>
    <w:rsid w:val="00B700F7"/>
    <w:rsid w:val="00B76325"/>
    <w:rsid w:val="00B9059C"/>
    <w:rsid w:val="00B973BE"/>
    <w:rsid w:val="00BA1CC8"/>
    <w:rsid w:val="00BB59B4"/>
    <w:rsid w:val="00BC3931"/>
    <w:rsid w:val="00BC4925"/>
    <w:rsid w:val="00BE1987"/>
    <w:rsid w:val="00BE6B62"/>
    <w:rsid w:val="00BF2AE4"/>
    <w:rsid w:val="00C20D50"/>
    <w:rsid w:val="00C21ACD"/>
    <w:rsid w:val="00C25344"/>
    <w:rsid w:val="00C259C3"/>
    <w:rsid w:val="00C30256"/>
    <w:rsid w:val="00C33222"/>
    <w:rsid w:val="00C45353"/>
    <w:rsid w:val="00C4687C"/>
    <w:rsid w:val="00C852AC"/>
    <w:rsid w:val="00C87E63"/>
    <w:rsid w:val="00C90835"/>
    <w:rsid w:val="00CB0713"/>
    <w:rsid w:val="00CB222B"/>
    <w:rsid w:val="00CB3028"/>
    <w:rsid w:val="00CB5793"/>
    <w:rsid w:val="00CD3D21"/>
    <w:rsid w:val="00CD608F"/>
    <w:rsid w:val="00D0241B"/>
    <w:rsid w:val="00D26AED"/>
    <w:rsid w:val="00D30FF6"/>
    <w:rsid w:val="00D32F97"/>
    <w:rsid w:val="00D46A5D"/>
    <w:rsid w:val="00D51183"/>
    <w:rsid w:val="00D553AF"/>
    <w:rsid w:val="00D628BD"/>
    <w:rsid w:val="00D80A1F"/>
    <w:rsid w:val="00D83F0F"/>
    <w:rsid w:val="00D93766"/>
    <w:rsid w:val="00DD25B2"/>
    <w:rsid w:val="00DD6DC4"/>
    <w:rsid w:val="00E01CBF"/>
    <w:rsid w:val="00E04983"/>
    <w:rsid w:val="00E140D7"/>
    <w:rsid w:val="00E21640"/>
    <w:rsid w:val="00E30AF3"/>
    <w:rsid w:val="00E4244B"/>
    <w:rsid w:val="00E46452"/>
    <w:rsid w:val="00E629F3"/>
    <w:rsid w:val="00E80843"/>
    <w:rsid w:val="00E81786"/>
    <w:rsid w:val="00E85113"/>
    <w:rsid w:val="00E93B19"/>
    <w:rsid w:val="00E9673B"/>
    <w:rsid w:val="00EA695E"/>
    <w:rsid w:val="00EB3E64"/>
    <w:rsid w:val="00EC02D1"/>
    <w:rsid w:val="00EC6D87"/>
    <w:rsid w:val="00ED1C11"/>
    <w:rsid w:val="00EE05E6"/>
    <w:rsid w:val="00EE0A2D"/>
    <w:rsid w:val="00EE5482"/>
    <w:rsid w:val="00F025D0"/>
    <w:rsid w:val="00F11ABC"/>
    <w:rsid w:val="00F21A42"/>
    <w:rsid w:val="00F446CA"/>
    <w:rsid w:val="00F46243"/>
    <w:rsid w:val="00F5487A"/>
    <w:rsid w:val="00F945E3"/>
    <w:rsid w:val="00FA7DA6"/>
    <w:rsid w:val="00FB3EA8"/>
    <w:rsid w:val="00FD0504"/>
    <w:rsid w:val="00FE47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0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28"/>
  </w:style>
  <w:style w:type="paragraph" w:styleId="Overskrift1">
    <w:name w:val="heading 1"/>
    <w:basedOn w:val="Normal"/>
    <w:next w:val="Normal"/>
    <w:link w:val="Overskrift1Tegn"/>
    <w:qFormat/>
    <w:rsid w:val="00724E25"/>
    <w:pPr>
      <w:keepNext/>
      <w:numPr>
        <w:numId w:val="30"/>
      </w:numPr>
      <w:tabs>
        <w:tab w:val="left" w:pos="567"/>
      </w:tabs>
      <w:spacing w:after="0" w:line="288" w:lineRule="auto"/>
      <w:outlineLvl w:val="0"/>
    </w:pPr>
    <w:rPr>
      <w:rFonts w:ascii="Verdana" w:eastAsia="Times New Roman" w:hAnsi="Verdana" w:cs="Times New Roman"/>
      <w:b/>
      <w:sz w:val="24"/>
      <w:szCs w:val="20"/>
      <w:lang w:val="da-DK" w:eastAsia="da-DK"/>
    </w:rPr>
  </w:style>
  <w:style w:type="paragraph" w:styleId="Overskrift2">
    <w:name w:val="heading 2"/>
    <w:basedOn w:val="Normal"/>
    <w:next w:val="Normal"/>
    <w:link w:val="Overskrift2Tegn"/>
    <w:qFormat/>
    <w:rsid w:val="00724E25"/>
    <w:pPr>
      <w:keepNext/>
      <w:numPr>
        <w:ilvl w:val="1"/>
        <w:numId w:val="30"/>
      </w:numPr>
      <w:tabs>
        <w:tab w:val="left" w:pos="709"/>
      </w:tabs>
      <w:spacing w:after="0" w:line="288" w:lineRule="auto"/>
      <w:outlineLvl w:val="1"/>
    </w:pPr>
    <w:rPr>
      <w:rFonts w:ascii="Verdana" w:eastAsia="Times New Roman" w:hAnsi="Verdana" w:cs="Times New Roman"/>
      <w:b/>
      <w:sz w:val="19"/>
      <w:szCs w:val="20"/>
      <w:lang w:val="da-DK" w:eastAsia="da-DK"/>
    </w:rPr>
  </w:style>
  <w:style w:type="paragraph" w:styleId="Overskrift3">
    <w:name w:val="heading 3"/>
    <w:basedOn w:val="Normal"/>
    <w:next w:val="Normal"/>
    <w:link w:val="Overskrift3Tegn"/>
    <w:qFormat/>
    <w:rsid w:val="00724E25"/>
    <w:pPr>
      <w:keepNext/>
      <w:numPr>
        <w:ilvl w:val="2"/>
        <w:numId w:val="30"/>
      </w:numPr>
      <w:tabs>
        <w:tab w:val="left" w:pos="851"/>
      </w:tabs>
      <w:spacing w:after="0" w:line="288" w:lineRule="auto"/>
      <w:outlineLvl w:val="2"/>
    </w:pPr>
    <w:rPr>
      <w:rFonts w:ascii="Verdana" w:eastAsia="Times New Roman" w:hAnsi="Verdana" w:cs="Times New Roman"/>
      <w:i/>
      <w:sz w:val="19"/>
      <w:szCs w:val="20"/>
      <w:lang w:val="da-DK" w:eastAsia="da-DK"/>
    </w:rPr>
  </w:style>
  <w:style w:type="paragraph" w:styleId="Overskrift4">
    <w:name w:val="heading 4"/>
    <w:basedOn w:val="Normal"/>
    <w:next w:val="Normal"/>
    <w:link w:val="Overskrift4Tegn"/>
    <w:qFormat/>
    <w:rsid w:val="00724E25"/>
    <w:pPr>
      <w:keepNext/>
      <w:numPr>
        <w:ilvl w:val="3"/>
        <w:numId w:val="30"/>
      </w:numPr>
      <w:tabs>
        <w:tab w:val="left" w:pos="1134"/>
      </w:tabs>
      <w:spacing w:before="60" w:after="0" w:line="288" w:lineRule="auto"/>
      <w:outlineLvl w:val="3"/>
    </w:pPr>
    <w:rPr>
      <w:rFonts w:ascii="Verdana" w:eastAsia="Times New Roman" w:hAnsi="Verdana" w:cs="Times New Roman"/>
      <w:b/>
      <w:sz w:val="18"/>
      <w:szCs w:val="20"/>
      <w:lang w:val="da-DK" w:eastAsia="da-DK"/>
    </w:rPr>
  </w:style>
  <w:style w:type="paragraph" w:styleId="Overskrift5">
    <w:name w:val="heading 5"/>
    <w:basedOn w:val="Normal"/>
    <w:next w:val="Normal"/>
    <w:link w:val="Overskrift5Tegn"/>
    <w:qFormat/>
    <w:rsid w:val="00724E25"/>
    <w:pPr>
      <w:numPr>
        <w:ilvl w:val="4"/>
        <w:numId w:val="30"/>
      </w:numPr>
      <w:tabs>
        <w:tab w:val="left" w:pos="1276"/>
      </w:tabs>
      <w:spacing w:before="60" w:after="0" w:line="288" w:lineRule="auto"/>
      <w:outlineLvl w:val="4"/>
    </w:pPr>
    <w:rPr>
      <w:rFonts w:ascii="Verdana" w:eastAsia="Times New Roman" w:hAnsi="Verdana" w:cs="Times New Roman"/>
      <w:b/>
      <w:sz w:val="18"/>
      <w:szCs w:val="20"/>
      <w:lang w:val="da-DK" w:eastAsia="da-DK"/>
    </w:rPr>
  </w:style>
  <w:style w:type="paragraph" w:styleId="Overskrift6">
    <w:name w:val="heading 6"/>
    <w:basedOn w:val="Normal"/>
    <w:next w:val="Normal"/>
    <w:link w:val="Overskrift6Tegn"/>
    <w:qFormat/>
    <w:rsid w:val="00724E25"/>
    <w:pPr>
      <w:keepNext/>
      <w:numPr>
        <w:ilvl w:val="5"/>
        <w:numId w:val="30"/>
      </w:numPr>
      <w:spacing w:before="240" w:after="240" w:line="288" w:lineRule="auto"/>
      <w:outlineLvl w:val="5"/>
    </w:pPr>
    <w:rPr>
      <w:rFonts w:ascii="Verdana" w:eastAsia="Times New Roman" w:hAnsi="Verdana" w:cs="Times New Roman"/>
      <w:b/>
      <w:sz w:val="18"/>
      <w:szCs w:val="20"/>
      <w:lang w:val="da-DK" w:eastAsia="da-DK"/>
    </w:rPr>
  </w:style>
  <w:style w:type="paragraph" w:styleId="Overskrift7">
    <w:name w:val="heading 7"/>
    <w:basedOn w:val="Normal"/>
    <w:next w:val="Normal"/>
    <w:link w:val="Overskrift7Tegn"/>
    <w:qFormat/>
    <w:rsid w:val="00724E25"/>
    <w:pPr>
      <w:keepNext/>
      <w:numPr>
        <w:ilvl w:val="6"/>
        <w:numId w:val="30"/>
      </w:numPr>
      <w:spacing w:before="240" w:after="240" w:line="288" w:lineRule="auto"/>
      <w:outlineLvl w:val="6"/>
    </w:pPr>
    <w:rPr>
      <w:rFonts w:ascii="Verdana" w:eastAsia="Times New Roman" w:hAnsi="Verdana" w:cs="Times New Roman"/>
      <w:b/>
      <w:sz w:val="18"/>
      <w:szCs w:val="20"/>
      <w:lang w:val="da-DK" w:eastAsia="da-DK"/>
    </w:rPr>
  </w:style>
  <w:style w:type="paragraph" w:styleId="Overskrift8">
    <w:name w:val="heading 8"/>
    <w:basedOn w:val="Normal"/>
    <w:next w:val="Normal"/>
    <w:link w:val="Overskrift8Tegn"/>
    <w:qFormat/>
    <w:rsid w:val="00724E25"/>
    <w:pPr>
      <w:keepNext/>
      <w:numPr>
        <w:ilvl w:val="7"/>
        <w:numId w:val="30"/>
      </w:numPr>
      <w:spacing w:before="240" w:after="240" w:line="288" w:lineRule="auto"/>
      <w:outlineLvl w:val="7"/>
    </w:pPr>
    <w:rPr>
      <w:rFonts w:ascii="Verdana" w:eastAsia="Times New Roman" w:hAnsi="Verdana" w:cs="Times New Roman"/>
      <w:b/>
      <w:sz w:val="18"/>
      <w:szCs w:val="20"/>
      <w:lang w:val="da-DK" w:eastAsia="da-DK"/>
    </w:rPr>
  </w:style>
  <w:style w:type="paragraph" w:styleId="Overskrift9">
    <w:name w:val="heading 9"/>
    <w:basedOn w:val="Normal"/>
    <w:next w:val="Normal"/>
    <w:link w:val="Overskrift9Tegn"/>
    <w:qFormat/>
    <w:rsid w:val="00724E25"/>
    <w:pPr>
      <w:keepNext/>
      <w:numPr>
        <w:ilvl w:val="8"/>
        <w:numId w:val="30"/>
      </w:numPr>
      <w:spacing w:before="240" w:after="240" w:line="288" w:lineRule="auto"/>
      <w:outlineLvl w:val="8"/>
    </w:pPr>
    <w:rPr>
      <w:rFonts w:ascii="Verdana" w:eastAsia="Times New Roman" w:hAnsi="Verdana" w:cs="Times New Roman"/>
      <w:b/>
      <w:sz w:val="18"/>
      <w:szCs w:val="2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aliases w:val="F List Paragraph"/>
    <w:basedOn w:val="Normal"/>
    <w:link w:val="ListeafsnitTegn"/>
    <w:uiPriority w:val="34"/>
    <w:qFormat/>
    <w:rsid w:val="00D93766"/>
    <w:pPr>
      <w:spacing w:after="0" w:line="240" w:lineRule="auto"/>
      <w:ind w:left="720"/>
      <w:contextualSpacing/>
    </w:pPr>
    <w:rPr>
      <w:rFonts w:ascii="Arial" w:eastAsia="Times New Roman" w:hAnsi="Arial" w:cs="Times New Roman"/>
      <w:szCs w:val="24"/>
      <w:lang w:val="de-DE" w:eastAsia="de-DE"/>
    </w:rPr>
  </w:style>
  <w:style w:type="paragraph" w:customStyle="1" w:styleId="textregular">
    <w:name w:val="text regular"/>
    <w:link w:val="textregularZchn"/>
    <w:qFormat/>
    <w:rsid w:val="00D93766"/>
    <w:pPr>
      <w:spacing w:after="120" w:line="240" w:lineRule="auto"/>
      <w:jc w:val="both"/>
    </w:pPr>
    <w:rPr>
      <w:rFonts w:ascii="Times New Roman" w:eastAsia="Times New Roman" w:hAnsi="Times New Roman" w:cs="Times New Roman"/>
      <w:szCs w:val="19"/>
      <w:lang w:val="en-GB" w:eastAsia="de-DE"/>
    </w:rPr>
  </w:style>
  <w:style w:type="character" w:customStyle="1" w:styleId="textregularZchn">
    <w:name w:val="text regular Zchn"/>
    <w:basedOn w:val="Standardskrifttypeiafsnit"/>
    <w:link w:val="textregular"/>
    <w:rsid w:val="00D93766"/>
    <w:rPr>
      <w:rFonts w:ascii="Times New Roman" w:eastAsia="Times New Roman" w:hAnsi="Times New Roman" w:cs="Times New Roman"/>
      <w:szCs w:val="19"/>
      <w:lang w:val="en-GB" w:eastAsia="de-DE"/>
    </w:rPr>
  </w:style>
  <w:style w:type="character" w:styleId="Kommentarhenvisning">
    <w:name w:val="annotation reference"/>
    <w:aliases w:val="Stinking Styles6,Marque de commentaire1"/>
    <w:basedOn w:val="Standardskrifttypeiafsnit"/>
    <w:uiPriority w:val="99"/>
    <w:unhideWhenUsed/>
    <w:rsid w:val="00D93766"/>
    <w:rPr>
      <w:sz w:val="16"/>
      <w:szCs w:val="16"/>
    </w:rPr>
  </w:style>
  <w:style w:type="paragraph" w:styleId="Kommentartekst">
    <w:name w:val="annotation text"/>
    <w:basedOn w:val="Normal"/>
    <w:link w:val="KommentartekstTegn"/>
    <w:uiPriority w:val="99"/>
    <w:unhideWhenUsed/>
    <w:rsid w:val="00D93766"/>
    <w:pPr>
      <w:spacing w:after="0" w:line="240" w:lineRule="auto"/>
    </w:pPr>
    <w:rPr>
      <w:rFonts w:ascii="Arial" w:eastAsia="Times New Roman" w:hAnsi="Arial" w:cs="Times New Roman"/>
      <w:sz w:val="20"/>
      <w:szCs w:val="20"/>
      <w:lang w:val="de-DE" w:eastAsia="de-DE"/>
    </w:rPr>
  </w:style>
  <w:style w:type="character" w:customStyle="1" w:styleId="KommentartekstTegn">
    <w:name w:val="Kommentartekst Tegn"/>
    <w:basedOn w:val="Standardskrifttypeiafsnit"/>
    <w:link w:val="Kommentartekst"/>
    <w:uiPriority w:val="99"/>
    <w:rsid w:val="00D93766"/>
    <w:rPr>
      <w:rFonts w:ascii="Arial" w:eastAsia="Times New Roman" w:hAnsi="Arial" w:cs="Times New Roman"/>
      <w:sz w:val="20"/>
      <w:szCs w:val="20"/>
      <w:lang w:val="de-DE" w:eastAsia="de-DE"/>
    </w:rPr>
  </w:style>
  <w:style w:type="table" w:customStyle="1" w:styleId="TableGrid1">
    <w:name w:val="Table Grid1"/>
    <w:basedOn w:val="Tabel-Normal"/>
    <w:next w:val="Tabel-Gitter"/>
    <w:uiPriority w:val="59"/>
    <w:rsid w:val="00D93766"/>
    <w:pPr>
      <w:spacing w:after="0" w:line="240" w:lineRule="auto"/>
    </w:pPr>
    <w:rPr>
      <w:rFonts w:ascii="Times New Roman" w:eastAsia="Times New Roman" w:hAnsi="Times New Roman"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itter">
    <w:name w:val="Table Grid"/>
    <w:basedOn w:val="Tabel-Normal"/>
    <w:uiPriority w:val="39"/>
    <w:rsid w:val="00D93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D937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3766"/>
    <w:rPr>
      <w:rFonts w:ascii="Segoe UI" w:hAnsi="Segoe UI" w:cs="Segoe UI"/>
      <w:sz w:val="18"/>
      <w:szCs w:val="18"/>
    </w:rPr>
  </w:style>
  <w:style w:type="paragraph" w:styleId="Brdtekst">
    <w:name w:val="Body Text"/>
    <w:basedOn w:val="Normal"/>
    <w:link w:val="BrdtekstTegn"/>
    <w:rsid w:val="00911E67"/>
    <w:pPr>
      <w:spacing w:after="120" w:line="288" w:lineRule="auto"/>
    </w:pPr>
    <w:rPr>
      <w:rFonts w:ascii="Verdana" w:eastAsia="Times New Roman" w:hAnsi="Verdana" w:cs="Times New Roman"/>
      <w:sz w:val="18"/>
      <w:szCs w:val="20"/>
      <w:lang w:val="da-DK" w:eastAsia="da-DK"/>
    </w:rPr>
  </w:style>
  <w:style w:type="character" w:customStyle="1" w:styleId="BrdtekstTegn">
    <w:name w:val="Brødtekst Tegn"/>
    <w:basedOn w:val="Standardskrifttypeiafsnit"/>
    <w:link w:val="Brdtekst"/>
    <w:rsid w:val="00911E67"/>
    <w:rPr>
      <w:rFonts w:ascii="Verdana" w:eastAsia="Times New Roman" w:hAnsi="Verdana" w:cs="Times New Roman"/>
      <w:sz w:val="18"/>
      <w:szCs w:val="20"/>
      <w:lang w:val="da-DK" w:eastAsia="da-DK"/>
    </w:rPr>
  </w:style>
  <w:style w:type="paragraph" w:styleId="Kommentaremne">
    <w:name w:val="annotation subject"/>
    <w:basedOn w:val="Kommentartekst"/>
    <w:next w:val="Kommentartekst"/>
    <w:link w:val="KommentaremneTegn"/>
    <w:uiPriority w:val="99"/>
    <w:semiHidden/>
    <w:unhideWhenUsed/>
    <w:rsid w:val="00BE1987"/>
    <w:pPr>
      <w:spacing w:after="160"/>
    </w:pPr>
    <w:rPr>
      <w:rFonts w:asciiTheme="minorHAnsi" w:eastAsiaTheme="minorHAnsi" w:hAnsiTheme="minorHAnsi" w:cstheme="minorBidi"/>
      <w:b/>
      <w:bCs/>
      <w:lang w:val="fi-FI" w:eastAsia="en-US"/>
    </w:rPr>
  </w:style>
  <w:style w:type="character" w:customStyle="1" w:styleId="KommentaremneTegn">
    <w:name w:val="Kommentaremne Tegn"/>
    <w:basedOn w:val="KommentartekstTegn"/>
    <w:link w:val="Kommentaremne"/>
    <w:uiPriority w:val="99"/>
    <w:semiHidden/>
    <w:rsid w:val="00BE1987"/>
    <w:rPr>
      <w:rFonts w:ascii="Arial" w:eastAsia="Times New Roman" w:hAnsi="Arial" w:cs="Times New Roman"/>
      <w:b/>
      <w:bCs/>
      <w:sz w:val="20"/>
      <w:szCs w:val="20"/>
      <w:lang w:val="de-DE" w:eastAsia="de-DE"/>
    </w:rPr>
  </w:style>
  <w:style w:type="paragraph" w:styleId="Sidehoved">
    <w:name w:val="header"/>
    <w:basedOn w:val="Normal"/>
    <w:link w:val="SidehovedTegn"/>
    <w:uiPriority w:val="99"/>
    <w:unhideWhenUsed/>
    <w:rsid w:val="00EE05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E05E6"/>
  </w:style>
  <w:style w:type="paragraph" w:styleId="Sidefod">
    <w:name w:val="footer"/>
    <w:basedOn w:val="Normal"/>
    <w:link w:val="SidefodTegn"/>
    <w:uiPriority w:val="99"/>
    <w:unhideWhenUsed/>
    <w:rsid w:val="00EE05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E05E6"/>
  </w:style>
  <w:style w:type="paragraph" w:styleId="Korrektur">
    <w:name w:val="Revision"/>
    <w:hidden/>
    <w:uiPriority w:val="99"/>
    <w:semiHidden/>
    <w:rsid w:val="00EE05E6"/>
    <w:pPr>
      <w:spacing w:after="0" w:line="240" w:lineRule="auto"/>
    </w:pPr>
  </w:style>
  <w:style w:type="paragraph" w:customStyle="1" w:styleId="Default">
    <w:name w:val="Default"/>
    <w:rsid w:val="008B4089"/>
    <w:pPr>
      <w:autoSpaceDE w:val="0"/>
      <w:autoSpaceDN w:val="0"/>
      <w:adjustRightInd w:val="0"/>
      <w:spacing w:after="0" w:line="240" w:lineRule="auto"/>
    </w:pPr>
    <w:rPr>
      <w:rFonts w:ascii="Calibri" w:hAnsi="Calibri" w:cs="Calibri"/>
      <w:color w:val="000000"/>
      <w:sz w:val="24"/>
      <w:szCs w:val="24"/>
      <w:lang w:val="da-DK"/>
    </w:rPr>
  </w:style>
  <w:style w:type="character" w:styleId="Hyperlink">
    <w:name w:val="Hyperlink"/>
    <w:basedOn w:val="Standardskrifttypeiafsnit"/>
    <w:uiPriority w:val="99"/>
    <w:rsid w:val="0019419C"/>
    <w:rPr>
      <w:color w:val="0563C1" w:themeColor="hyperlink"/>
      <w:u w:val="single"/>
    </w:rPr>
  </w:style>
  <w:style w:type="character" w:customStyle="1" w:styleId="Overskrift1Tegn">
    <w:name w:val="Overskrift 1 Tegn"/>
    <w:basedOn w:val="Standardskrifttypeiafsnit"/>
    <w:link w:val="Overskrift1"/>
    <w:rsid w:val="00724E25"/>
    <w:rPr>
      <w:rFonts w:ascii="Verdana" w:eastAsia="Times New Roman" w:hAnsi="Verdana" w:cs="Times New Roman"/>
      <w:b/>
      <w:sz w:val="24"/>
      <w:szCs w:val="20"/>
      <w:lang w:val="da-DK" w:eastAsia="da-DK"/>
    </w:rPr>
  </w:style>
  <w:style w:type="character" w:customStyle="1" w:styleId="Overskrift2Tegn">
    <w:name w:val="Overskrift 2 Tegn"/>
    <w:basedOn w:val="Standardskrifttypeiafsnit"/>
    <w:link w:val="Overskrift2"/>
    <w:rsid w:val="00724E25"/>
    <w:rPr>
      <w:rFonts w:ascii="Verdana" w:eastAsia="Times New Roman" w:hAnsi="Verdana" w:cs="Times New Roman"/>
      <w:b/>
      <w:sz w:val="19"/>
      <w:szCs w:val="20"/>
      <w:lang w:val="da-DK" w:eastAsia="da-DK"/>
    </w:rPr>
  </w:style>
  <w:style w:type="character" w:customStyle="1" w:styleId="Overskrift3Tegn">
    <w:name w:val="Overskrift 3 Tegn"/>
    <w:basedOn w:val="Standardskrifttypeiafsnit"/>
    <w:link w:val="Overskrift3"/>
    <w:rsid w:val="00724E25"/>
    <w:rPr>
      <w:rFonts w:ascii="Verdana" w:eastAsia="Times New Roman" w:hAnsi="Verdana" w:cs="Times New Roman"/>
      <w:i/>
      <w:sz w:val="19"/>
      <w:szCs w:val="20"/>
      <w:lang w:val="da-DK" w:eastAsia="da-DK"/>
    </w:rPr>
  </w:style>
  <w:style w:type="character" w:customStyle="1" w:styleId="Overskrift4Tegn">
    <w:name w:val="Overskrift 4 Tegn"/>
    <w:basedOn w:val="Standardskrifttypeiafsnit"/>
    <w:link w:val="Overskrift4"/>
    <w:rsid w:val="00724E25"/>
    <w:rPr>
      <w:rFonts w:ascii="Verdana" w:eastAsia="Times New Roman" w:hAnsi="Verdana" w:cs="Times New Roman"/>
      <w:b/>
      <w:sz w:val="18"/>
      <w:szCs w:val="20"/>
      <w:lang w:val="da-DK" w:eastAsia="da-DK"/>
    </w:rPr>
  </w:style>
  <w:style w:type="character" w:customStyle="1" w:styleId="Overskrift5Tegn">
    <w:name w:val="Overskrift 5 Tegn"/>
    <w:basedOn w:val="Standardskrifttypeiafsnit"/>
    <w:link w:val="Overskrift5"/>
    <w:rsid w:val="00724E25"/>
    <w:rPr>
      <w:rFonts w:ascii="Verdana" w:eastAsia="Times New Roman" w:hAnsi="Verdana" w:cs="Times New Roman"/>
      <w:b/>
      <w:sz w:val="18"/>
      <w:szCs w:val="20"/>
      <w:lang w:val="da-DK" w:eastAsia="da-DK"/>
    </w:rPr>
  </w:style>
  <w:style w:type="character" w:customStyle="1" w:styleId="Overskrift6Tegn">
    <w:name w:val="Overskrift 6 Tegn"/>
    <w:basedOn w:val="Standardskrifttypeiafsnit"/>
    <w:link w:val="Overskrift6"/>
    <w:rsid w:val="00724E25"/>
    <w:rPr>
      <w:rFonts w:ascii="Verdana" w:eastAsia="Times New Roman" w:hAnsi="Verdana" w:cs="Times New Roman"/>
      <w:b/>
      <w:sz w:val="18"/>
      <w:szCs w:val="20"/>
      <w:lang w:val="da-DK" w:eastAsia="da-DK"/>
    </w:rPr>
  </w:style>
  <w:style w:type="character" w:customStyle="1" w:styleId="Overskrift7Tegn">
    <w:name w:val="Overskrift 7 Tegn"/>
    <w:basedOn w:val="Standardskrifttypeiafsnit"/>
    <w:link w:val="Overskrift7"/>
    <w:rsid w:val="00724E25"/>
    <w:rPr>
      <w:rFonts w:ascii="Verdana" w:eastAsia="Times New Roman" w:hAnsi="Verdana" w:cs="Times New Roman"/>
      <w:b/>
      <w:sz w:val="18"/>
      <w:szCs w:val="20"/>
      <w:lang w:val="da-DK" w:eastAsia="da-DK"/>
    </w:rPr>
  </w:style>
  <w:style w:type="character" w:customStyle="1" w:styleId="Overskrift8Tegn">
    <w:name w:val="Overskrift 8 Tegn"/>
    <w:basedOn w:val="Standardskrifttypeiafsnit"/>
    <w:link w:val="Overskrift8"/>
    <w:rsid w:val="00724E25"/>
    <w:rPr>
      <w:rFonts w:ascii="Verdana" w:eastAsia="Times New Roman" w:hAnsi="Verdana" w:cs="Times New Roman"/>
      <w:b/>
      <w:sz w:val="18"/>
      <w:szCs w:val="20"/>
      <w:lang w:val="da-DK" w:eastAsia="da-DK"/>
    </w:rPr>
  </w:style>
  <w:style w:type="character" w:customStyle="1" w:styleId="Overskrift9Tegn">
    <w:name w:val="Overskrift 9 Tegn"/>
    <w:basedOn w:val="Standardskrifttypeiafsnit"/>
    <w:link w:val="Overskrift9"/>
    <w:rsid w:val="00724E25"/>
    <w:rPr>
      <w:rFonts w:ascii="Verdana" w:eastAsia="Times New Roman" w:hAnsi="Verdana" w:cs="Times New Roman"/>
      <w:b/>
      <w:sz w:val="18"/>
      <w:szCs w:val="20"/>
      <w:lang w:val="da-DK" w:eastAsia="da-DK"/>
    </w:rPr>
  </w:style>
  <w:style w:type="character" w:customStyle="1" w:styleId="ListeafsnitTegn">
    <w:name w:val="Listeafsnit Tegn"/>
    <w:aliases w:val="F List Paragraph Tegn"/>
    <w:basedOn w:val="Standardskrifttypeiafsnit"/>
    <w:link w:val="Listeafsnit"/>
    <w:uiPriority w:val="34"/>
    <w:rsid w:val="00256990"/>
    <w:rPr>
      <w:rFonts w:ascii="Arial" w:eastAsia="Times New Roman" w:hAnsi="Arial" w:cs="Times New Roman"/>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28"/>
  </w:style>
  <w:style w:type="paragraph" w:styleId="Overskrift1">
    <w:name w:val="heading 1"/>
    <w:basedOn w:val="Normal"/>
    <w:next w:val="Normal"/>
    <w:link w:val="Overskrift1Tegn"/>
    <w:qFormat/>
    <w:rsid w:val="00724E25"/>
    <w:pPr>
      <w:keepNext/>
      <w:numPr>
        <w:numId w:val="30"/>
      </w:numPr>
      <w:tabs>
        <w:tab w:val="left" w:pos="567"/>
      </w:tabs>
      <w:spacing w:after="0" w:line="288" w:lineRule="auto"/>
      <w:outlineLvl w:val="0"/>
    </w:pPr>
    <w:rPr>
      <w:rFonts w:ascii="Verdana" w:eastAsia="Times New Roman" w:hAnsi="Verdana" w:cs="Times New Roman"/>
      <w:b/>
      <w:sz w:val="24"/>
      <w:szCs w:val="20"/>
      <w:lang w:val="da-DK" w:eastAsia="da-DK"/>
    </w:rPr>
  </w:style>
  <w:style w:type="paragraph" w:styleId="Overskrift2">
    <w:name w:val="heading 2"/>
    <w:basedOn w:val="Normal"/>
    <w:next w:val="Normal"/>
    <w:link w:val="Overskrift2Tegn"/>
    <w:qFormat/>
    <w:rsid w:val="00724E25"/>
    <w:pPr>
      <w:keepNext/>
      <w:numPr>
        <w:ilvl w:val="1"/>
        <w:numId w:val="30"/>
      </w:numPr>
      <w:tabs>
        <w:tab w:val="left" w:pos="709"/>
      </w:tabs>
      <w:spacing w:after="0" w:line="288" w:lineRule="auto"/>
      <w:outlineLvl w:val="1"/>
    </w:pPr>
    <w:rPr>
      <w:rFonts w:ascii="Verdana" w:eastAsia="Times New Roman" w:hAnsi="Verdana" w:cs="Times New Roman"/>
      <w:b/>
      <w:sz w:val="19"/>
      <w:szCs w:val="20"/>
      <w:lang w:val="da-DK" w:eastAsia="da-DK"/>
    </w:rPr>
  </w:style>
  <w:style w:type="paragraph" w:styleId="Overskrift3">
    <w:name w:val="heading 3"/>
    <w:basedOn w:val="Normal"/>
    <w:next w:val="Normal"/>
    <w:link w:val="Overskrift3Tegn"/>
    <w:qFormat/>
    <w:rsid w:val="00724E25"/>
    <w:pPr>
      <w:keepNext/>
      <w:numPr>
        <w:ilvl w:val="2"/>
        <w:numId w:val="30"/>
      </w:numPr>
      <w:tabs>
        <w:tab w:val="left" w:pos="851"/>
      </w:tabs>
      <w:spacing w:after="0" w:line="288" w:lineRule="auto"/>
      <w:outlineLvl w:val="2"/>
    </w:pPr>
    <w:rPr>
      <w:rFonts w:ascii="Verdana" w:eastAsia="Times New Roman" w:hAnsi="Verdana" w:cs="Times New Roman"/>
      <w:i/>
      <w:sz w:val="19"/>
      <w:szCs w:val="20"/>
      <w:lang w:val="da-DK" w:eastAsia="da-DK"/>
    </w:rPr>
  </w:style>
  <w:style w:type="paragraph" w:styleId="Overskrift4">
    <w:name w:val="heading 4"/>
    <w:basedOn w:val="Normal"/>
    <w:next w:val="Normal"/>
    <w:link w:val="Overskrift4Tegn"/>
    <w:qFormat/>
    <w:rsid w:val="00724E25"/>
    <w:pPr>
      <w:keepNext/>
      <w:numPr>
        <w:ilvl w:val="3"/>
        <w:numId w:val="30"/>
      </w:numPr>
      <w:tabs>
        <w:tab w:val="left" w:pos="1134"/>
      </w:tabs>
      <w:spacing w:before="60" w:after="0" w:line="288" w:lineRule="auto"/>
      <w:outlineLvl w:val="3"/>
    </w:pPr>
    <w:rPr>
      <w:rFonts w:ascii="Verdana" w:eastAsia="Times New Roman" w:hAnsi="Verdana" w:cs="Times New Roman"/>
      <w:b/>
      <w:sz w:val="18"/>
      <w:szCs w:val="20"/>
      <w:lang w:val="da-DK" w:eastAsia="da-DK"/>
    </w:rPr>
  </w:style>
  <w:style w:type="paragraph" w:styleId="Overskrift5">
    <w:name w:val="heading 5"/>
    <w:basedOn w:val="Normal"/>
    <w:next w:val="Normal"/>
    <w:link w:val="Overskrift5Tegn"/>
    <w:qFormat/>
    <w:rsid w:val="00724E25"/>
    <w:pPr>
      <w:numPr>
        <w:ilvl w:val="4"/>
        <w:numId w:val="30"/>
      </w:numPr>
      <w:tabs>
        <w:tab w:val="left" w:pos="1276"/>
      </w:tabs>
      <w:spacing w:before="60" w:after="0" w:line="288" w:lineRule="auto"/>
      <w:outlineLvl w:val="4"/>
    </w:pPr>
    <w:rPr>
      <w:rFonts w:ascii="Verdana" w:eastAsia="Times New Roman" w:hAnsi="Verdana" w:cs="Times New Roman"/>
      <w:b/>
      <w:sz w:val="18"/>
      <w:szCs w:val="20"/>
      <w:lang w:val="da-DK" w:eastAsia="da-DK"/>
    </w:rPr>
  </w:style>
  <w:style w:type="paragraph" w:styleId="Overskrift6">
    <w:name w:val="heading 6"/>
    <w:basedOn w:val="Normal"/>
    <w:next w:val="Normal"/>
    <w:link w:val="Overskrift6Tegn"/>
    <w:qFormat/>
    <w:rsid w:val="00724E25"/>
    <w:pPr>
      <w:keepNext/>
      <w:numPr>
        <w:ilvl w:val="5"/>
        <w:numId w:val="30"/>
      </w:numPr>
      <w:spacing w:before="240" w:after="240" w:line="288" w:lineRule="auto"/>
      <w:outlineLvl w:val="5"/>
    </w:pPr>
    <w:rPr>
      <w:rFonts w:ascii="Verdana" w:eastAsia="Times New Roman" w:hAnsi="Verdana" w:cs="Times New Roman"/>
      <w:b/>
      <w:sz w:val="18"/>
      <w:szCs w:val="20"/>
      <w:lang w:val="da-DK" w:eastAsia="da-DK"/>
    </w:rPr>
  </w:style>
  <w:style w:type="paragraph" w:styleId="Overskrift7">
    <w:name w:val="heading 7"/>
    <w:basedOn w:val="Normal"/>
    <w:next w:val="Normal"/>
    <w:link w:val="Overskrift7Tegn"/>
    <w:qFormat/>
    <w:rsid w:val="00724E25"/>
    <w:pPr>
      <w:keepNext/>
      <w:numPr>
        <w:ilvl w:val="6"/>
        <w:numId w:val="30"/>
      </w:numPr>
      <w:spacing w:before="240" w:after="240" w:line="288" w:lineRule="auto"/>
      <w:outlineLvl w:val="6"/>
    </w:pPr>
    <w:rPr>
      <w:rFonts w:ascii="Verdana" w:eastAsia="Times New Roman" w:hAnsi="Verdana" w:cs="Times New Roman"/>
      <w:b/>
      <w:sz w:val="18"/>
      <w:szCs w:val="20"/>
      <w:lang w:val="da-DK" w:eastAsia="da-DK"/>
    </w:rPr>
  </w:style>
  <w:style w:type="paragraph" w:styleId="Overskrift8">
    <w:name w:val="heading 8"/>
    <w:basedOn w:val="Normal"/>
    <w:next w:val="Normal"/>
    <w:link w:val="Overskrift8Tegn"/>
    <w:qFormat/>
    <w:rsid w:val="00724E25"/>
    <w:pPr>
      <w:keepNext/>
      <w:numPr>
        <w:ilvl w:val="7"/>
        <w:numId w:val="30"/>
      </w:numPr>
      <w:spacing w:before="240" w:after="240" w:line="288" w:lineRule="auto"/>
      <w:outlineLvl w:val="7"/>
    </w:pPr>
    <w:rPr>
      <w:rFonts w:ascii="Verdana" w:eastAsia="Times New Roman" w:hAnsi="Verdana" w:cs="Times New Roman"/>
      <w:b/>
      <w:sz w:val="18"/>
      <w:szCs w:val="20"/>
      <w:lang w:val="da-DK" w:eastAsia="da-DK"/>
    </w:rPr>
  </w:style>
  <w:style w:type="paragraph" w:styleId="Overskrift9">
    <w:name w:val="heading 9"/>
    <w:basedOn w:val="Normal"/>
    <w:next w:val="Normal"/>
    <w:link w:val="Overskrift9Tegn"/>
    <w:qFormat/>
    <w:rsid w:val="00724E25"/>
    <w:pPr>
      <w:keepNext/>
      <w:numPr>
        <w:ilvl w:val="8"/>
        <w:numId w:val="30"/>
      </w:numPr>
      <w:spacing w:before="240" w:after="240" w:line="288" w:lineRule="auto"/>
      <w:outlineLvl w:val="8"/>
    </w:pPr>
    <w:rPr>
      <w:rFonts w:ascii="Verdana" w:eastAsia="Times New Roman" w:hAnsi="Verdana" w:cs="Times New Roman"/>
      <w:b/>
      <w:sz w:val="18"/>
      <w:szCs w:val="2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aliases w:val="F List Paragraph"/>
    <w:basedOn w:val="Normal"/>
    <w:link w:val="ListeafsnitTegn"/>
    <w:uiPriority w:val="34"/>
    <w:qFormat/>
    <w:rsid w:val="00D93766"/>
    <w:pPr>
      <w:spacing w:after="0" w:line="240" w:lineRule="auto"/>
      <w:ind w:left="720"/>
      <w:contextualSpacing/>
    </w:pPr>
    <w:rPr>
      <w:rFonts w:ascii="Arial" w:eastAsia="Times New Roman" w:hAnsi="Arial" w:cs="Times New Roman"/>
      <w:szCs w:val="24"/>
      <w:lang w:val="de-DE" w:eastAsia="de-DE"/>
    </w:rPr>
  </w:style>
  <w:style w:type="paragraph" w:customStyle="1" w:styleId="textregular">
    <w:name w:val="text regular"/>
    <w:link w:val="textregularZchn"/>
    <w:qFormat/>
    <w:rsid w:val="00D93766"/>
    <w:pPr>
      <w:spacing w:after="120" w:line="240" w:lineRule="auto"/>
      <w:jc w:val="both"/>
    </w:pPr>
    <w:rPr>
      <w:rFonts w:ascii="Times New Roman" w:eastAsia="Times New Roman" w:hAnsi="Times New Roman" w:cs="Times New Roman"/>
      <w:szCs w:val="19"/>
      <w:lang w:val="en-GB" w:eastAsia="de-DE"/>
    </w:rPr>
  </w:style>
  <w:style w:type="character" w:customStyle="1" w:styleId="textregularZchn">
    <w:name w:val="text regular Zchn"/>
    <w:basedOn w:val="Standardskrifttypeiafsnit"/>
    <w:link w:val="textregular"/>
    <w:rsid w:val="00D93766"/>
    <w:rPr>
      <w:rFonts w:ascii="Times New Roman" w:eastAsia="Times New Roman" w:hAnsi="Times New Roman" w:cs="Times New Roman"/>
      <w:szCs w:val="19"/>
      <w:lang w:val="en-GB" w:eastAsia="de-DE"/>
    </w:rPr>
  </w:style>
  <w:style w:type="character" w:styleId="Kommentarhenvisning">
    <w:name w:val="annotation reference"/>
    <w:aliases w:val="Stinking Styles6,Marque de commentaire1"/>
    <w:basedOn w:val="Standardskrifttypeiafsnit"/>
    <w:uiPriority w:val="99"/>
    <w:unhideWhenUsed/>
    <w:rsid w:val="00D93766"/>
    <w:rPr>
      <w:sz w:val="16"/>
      <w:szCs w:val="16"/>
    </w:rPr>
  </w:style>
  <w:style w:type="paragraph" w:styleId="Kommentartekst">
    <w:name w:val="annotation text"/>
    <w:basedOn w:val="Normal"/>
    <w:link w:val="KommentartekstTegn"/>
    <w:uiPriority w:val="99"/>
    <w:unhideWhenUsed/>
    <w:rsid w:val="00D93766"/>
    <w:pPr>
      <w:spacing w:after="0" w:line="240" w:lineRule="auto"/>
    </w:pPr>
    <w:rPr>
      <w:rFonts w:ascii="Arial" w:eastAsia="Times New Roman" w:hAnsi="Arial" w:cs="Times New Roman"/>
      <w:sz w:val="20"/>
      <w:szCs w:val="20"/>
      <w:lang w:val="de-DE" w:eastAsia="de-DE"/>
    </w:rPr>
  </w:style>
  <w:style w:type="character" w:customStyle="1" w:styleId="KommentartekstTegn">
    <w:name w:val="Kommentartekst Tegn"/>
    <w:basedOn w:val="Standardskrifttypeiafsnit"/>
    <w:link w:val="Kommentartekst"/>
    <w:uiPriority w:val="99"/>
    <w:rsid w:val="00D93766"/>
    <w:rPr>
      <w:rFonts w:ascii="Arial" w:eastAsia="Times New Roman" w:hAnsi="Arial" w:cs="Times New Roman"/>
      <w:sz w:val="20"/>
      <w:szCs w:val="20"/>
      <w:lang w:val="de-DE" w:eastAsia="de-DE"/>
    </w:rPr>
  </w:style>
  <w:style w:type="table" w:customStyle="1" w:styleId="TableGrid1">
    <w:name w:val="Table Grid1"/>
    <w:basedOn w:val="Tabel-Normal"/>
    <w:next w:val="Tabel-Gitter"/>
    <w:uiPriority w:val="59"/>
    <w:rsid w:val="00D93766"/>
    <w:pPr>
      <w:spacing w:after="0" w:line="240" w:lineRule="auto"/>
    </w:pPr>
    <w:rPr>
      <w:rFonts w:ascii="Times New Roman" w:eastAsia="Times New Roman" w:hAnsi="Times New Roman"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itter">
    <w:name w:val="Table Grid"/>
    <w:basedOn w:val="Tabel-Normal"/>
    <w:uiPriority w:val="39"/>
    <w:rsid w:val="00D93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D937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3766"/>
    <w:rPr>
      <w:rFonts w:ascii="Segoe UI" w:hAnsi="Segoe UI" w:cs="Segoe UI"/>
      <w:sz w:val="18"/>
      <w:szCs w:val="18"/>
    </w:rPr>
  </w:style>
  <w:style w:type="paragraph" w:styleId="Brdtekst">
    <w:name w:val="Body Text"/>
    <w:basedOn w:val="Normal"/>
    <w:link w:val="BrdtekstTegn"/>
    <w:rsid w:val="00911E67"/>
    <w:pPr>
      <w:spacing w:after="120" w:line="288" w:lineRule="auto"/>
    </w:pPr>
    <w:rPr>
      <w:rFonts w:ascii="Verdana" w:eastAsia="Times New Roman" w:hAnsi="Verdana" w:cs="Times New Roman"/>
      <w:sz w:val="18"/>
      <w:szCs w:val="20"/>
      <w:lang w:val="da-DK" w:eastAsia="da-DK"/>
    </w:rPr>
  </w:style>
  <w:style w:type="character" w:customStyle="1" w:styleId="BrdtekstTegn">
    <w:name w:val="Brødtekst Tegn"/>
    <w:basedOn w:val="Standardskrifttypeiafsnit"/>
    <w:link w:val="Brdtekst"/>
    <w:rsid w:val="00911E67"/>
    <w:rPr>
      <w:rFonts w:ascii="Verdana" w:eastAsia="Times New Roman" w:hAnsi="Verdana" w:cs="Times New Roman"/>
      <w:sz w:val="18"/>
      <w:szCs w:val="20"/>
      <w:lang w:val="da-DK" w:eastAsia="da-DK"/>
    </w:rPr>
  </w:style>
  <w:style w:type="paragraph" w:styleId="Kommentaremne">
    <w:name w:val="annotation subject"/>
    <w:basedOn w:val="Kommentartekst"/>
    <w:next w:val="Kommentartekst"/>
    <w:link w:val="KommentaremneTegn"/>
    <w:uiPriority w:val="99"/>
    <w:semiHidden/>
    <w:unhideWhenUsed/>
    <w:rsid w:val="00BE1987"/>
    <w:pPr>
      <w:spacing w:after="160"/>
    </w:pPr>
    <w:rPr>
      <w:rFonts w:asciiTheme="minorHAnsi" w:eastAsiaTheme="minorHAnsi" w:hAnsiTheme="minorHAnsi" w:cstheme="minorBidi"/>
      <w:b/>
      <w:bCs/>
      <w:lang w:val="fi-FI" w:eastAsia="en-US"/>
    </w:rPr>
  </w:style>
  <w:style w:type="character" w:customStyle="1" w:styleId="KommentaremneTegn">
    <w:name w:val="Kommentaremne Tegn"/>
    <w:basedOn w:val="KommentartekstTegn"/>
    <w:link w:val="Kommentaremne"/>
    <w:uiPriority w:val="99"/>
    <w:semiHidden/>
    <w:rsid w:val="00BE1987"/>
    <w:rPr>
      <w:rFonts w:ascii="Arial" w:eastAsia="Times New Roman" w:hAnsi="Arial" w:cs="Times New Roman"/>
      <w:b/>
      <w:bCs/>
      <w:sz w:val="20"/>
      <w:szCs w:val="20"/>
      <w:lang w:val="de-DE" w:eastAsia="de-DE"/>
    </w:rPr>
  </w:style>
  <w:style w:type="paragraph" w:styleId="Sidehoved">
    <w:name w:val="header"/>
    <w:basedOn w:val="Normal"/>
    <w:link w:val="SidehovedTegn"/>
    <w:uiPriority w:val="99"/>
    <w:unhideWhenUsed/>
    <w:rsid w:val="00EE05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E05E6"/>
  </w:style>
  <w:style w:type="paragraph" w:styleId="Sidefod">
    <w:name w:val="footer"/>
    <w:basedOn w:val="Normal"/>
    <w:link w:val="SidefodTegn"/>
    <w:uiPriority w:val="99"/>
    <w:unhideWhenUsed/>
    <w:rsid w:val="00EE05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E05E6"/>
  </w:style>
  <w:style w:type="paragraph" w:styleId="Korrektur">
    <w:name w:val="Revision"/>
    <w:hidden/>
    <w:uiPriority w:val="99"/>
    <w:semiHidden/>
    <w:rsid w:val="00EE05E6"/>
    <w:pPr>
      <w:spacing w:after="0" w:line="240" w:lineRule="auto"/>
    </w:pPr>
  </w:style>
  <w:style w:type="paragraph" w:customStyle="1" w:styleId="Default">
    <w:name w:val="Default"/>
    <w:rsid w:val="008B4089"/>
    <w:pPr>
      <w:autoSpaceDE w:val="0"/>
      <w:autoSpaceDN w:val="0"/>
      <w:adjustRightInd w:val="0"/>
      <w:spacing w:after="0" w:line="240" w:lineRule="auto"/>
    </w:pPr>
    <w:rPr>
      <w:rFonts w:ascii="Calibri" w:hAnsi="Calibri" w:cs="Calibri"/>
      <w:color w:val="000000"/>
      <w:sz w:val="24"/>
      <w:szCs w:val="24"/>
      <w:lang w:val="da-DK"/>
    </w:rPr>
  </w:style>
  <w:style w:type="character" w:styleId="Hyperlink">
    <w:name w:val="Hyperlink"/>
    <w:basedOn w:val="Standardskrifttypeiafsnit"/>
    <w:uiPriority w:val="99"/>
    <w:rsid w:val="0019419C"/>
    <w:rPr>
      <w:color w:val="0563C1" w:themeColor="hyperlink"/>
      <w:u w:val="single"/>
    </w:rPr>
  </w:style>
  <w:style w:type="character" w:customStyle="1" w:styleId="Overskrift1Tegn">
    <w:name w:val="Overskrift 1 Tegn"/>
    <w:basedOn w:val="Standardskrifttypeiafsnit"/>
    <w:link w:val="Overskrift1"/>
    <w:rsid w:val="00724E25"/>
    <w:rPr>
      <w:rFonts w:ascii="Verdana" w:eastAsia="Times New Roman" w:hAnsi="Verdana" w:cs="Times New Roman"/>
      <w:b/>
      <w:sz w:val="24"/>
      <w:szCs w:val="20"/>
      <w:lang w:val="da-DK" w:eastAsia="da-DK"/>
    </w:rPr>
  </w:style>
  <w:style w:type="character" w:customStyle="1" w:styleId="Overskrift2Tegn">
    <w:name w:val="Overskrift 2 Tegn"/>
    <w:basedOn w:val="Standardskrifttypeiafsnit"/>
    <w:link w:val="Overskrift2"/>
    <w:rsid w:val="00724E25"/>
    <w:rPr>
      <w:rFonts w:ascii="Verdana" w:eastAsia="Times New Roman" w:hAnsi="Verdana" w:cs="Times New Roman"/>
      <w:b/>
      <w:sz w:val="19"/>
      <w:szCs w:val="20"/>
      <w:lang w:val="da-DK" w:eastAsia="da-DK"/>
    </w:rPr>
  </w:style>
  <w:style w:type="character" w:customStyle="1" w:styleId="Overskrift3Tegn">
    <w:name w:val="Overskrift 3 Tegn"/>
    <w:basedOn w:val="Standardskrifttypeiafsnit"/>
    <w:link w:val="Overskrift3"/>
    <w:rsid w:val="00724E25"/>
    <w:rPr>
      <w:rFonts w:ascii="Verdana" w:eastAsia="Times New Roman" w:hAnsi="Verdana" w:cs="Times New Roman"/>
      <w:i/>
      <w:sz w:val="19"/>
      <w:szCs w:val="20"/>
      <w:lang w:val="da-DK" w:eastAsia="da-DK"/>
    </w:rPr>
  </w:style>
  <w:style w:type="character" w:customStyle="1" w:styleId="Overskrift4Tegn">
    <w:name w:val="Overskrift 4 Tegn"/>
    <w:basedOn w:val="Standardskrifttypeiafsnit"/>
    <w:link w:val="Overskrift4"/>
    <w:rsid w:val="00724E25"/>
    <w:rPr>
      <w:rFonts w:ascii="Verdana" w:eastAsia="Times New Roman" w:hAnsi="Verdana" w:cs="Times New Roman"/>
      <w:b/>
      <w:sz w:val="18"/>
      <w:szCs w:val="20"/>
      <w:lang w:val="da-DK" w:eastAsia="da-DK"/>
    </w:rPr>
  </w:style>
  <w:style w:type="character" w:customStyle="1" w:styleId="Overskrift5Tegn">
    <w:name w:val="Overskrift 5 Tegn"/>
    <w:basedOn w:val="Standardskrifttypeiafsnit"/>
    <w:link w:val="Overskrift5"/>
    <w:rsid w:val="00724E25"/>
    <w:rPr>
      <w:rFonts w:ascii="Verdana" w:eastAsia="Times New Roman" w:hAnsi="Verdana" w:cs="Times New Roman"/>
      <w:b/>
      <w:sz w:val="18"/>
      <w:szCs w:val="20"/>
      <w:lang w:val="da-DK" w:eastAsia="da-DK"/>
    </w:rPr>
  </w:style>
  <w:style w:type="character" w:customStyle="1" w:styleId="Overskrift6Tegn">
    <w:name w:val="Overskrift 6 Tegn"/>
    <w:basedOn w:val="Standardskrifttypeiafsnit"/>
    <w:link w:val="Overskrift6"/>
    <w:rsid w:val="00724E25"/>
    <w:rPr>
      <w:rFonts w:ascii="Verdana" w:eastAsia="Times New Roman" w:hAnsi="Verdana" w:cs="Times New Roman"/>
      <w:b/>
      <w:sz w:val="18"/>
      <w:szCs w:val="20"/>
      <w:lang w:val="da-DK" w:eastAsia="da-DK"/>
    </w:rPr>
  </w:style>
  <w:style w:type="character" w:customStyle="1" w:styleId="Overskrift7Tegn">
    <w:name w:val="Overskrift 7 Tegn"/>
    <w:basedOn w:val="Standardskrifttypeiafsnit"/>
    <w:link w:val="Overskrift7"/>
    <w:rsid w:val="00724E25"/>
    <w:rPr>
      <w:rFonts w:ascii="Verdana" w:eastAsia="Times New Roman" w:hAnsi="Verdana" w:cs="Times New Roman"/>
      <w:b/>
      <w:sz w:val="18"/>
      <w:szCs w:val="20"/>
      <w:lang w:val="da-DK" w:eastAsia="da-DK"/>
    </w:rPr>
  </w:style>
  <w:style w:type="character" w:customStyle="1" w:styleId="Overskrift8Tegn">
    <w:name w:val="Overskrift 8 Tegn"/>
    <w:basedOn w:val="Standardskrifttypeiafsnit"/>
    <w:link w:val="Overskrift8"/>
    <w:rsid w:val="00724E25"/>
    <w:rPr>
      <w:rFonts w:ascii="Verdana" w:eastAsia="Times New Roman" w:hAnsi="Verdana" w:cs="Times New Roman"/>
      <w:b/>
      <w:sz w:val="18"/>
      <w:szCs w:val="20"/>
      <w:lang w:val="da-DK" w:eastAsia="da-DK"/>
    </w:rPr>
  </w:style>
  <w:style w:type="character" w:customStyle="1" w:styleId="Overskrift9Tegn">
    <w:name w:val="Overskrift 9 Tegn"/>
    <w:basedOn w:val="Standardskrifttypeiafsnit"/>
    <w:link w:val="Overskrift9"/>
    <w:rsid w:val="00724E25"/>
    <w:rPr>
      <w:rFonts w:ascii="Verdana" w:eastAsia="Times New Roman" w:hAnsi="Verdana" w:cs="Times New Roman"/>
      <w:b/>
      <w:sz w:val="18"/>
      <w:szCs w:val="20"/>
      <w:lang w:val="da-DK" w:eastAsia="da-DK"/>
    </w:rPr>
  </w:style>
  <w:style w:type="character" w:customStyle="1" w:styleId="ListeafsnitTegn">
    <w:name w:val="Listeafsnit Tegn"/>
    <w:aliases w:val="F List Paragraph Tegn"/>
    <w:basedOn w:val="Standardskrifttypeiafsnit"/>
    <w:link w:val="Listeafsnit"/>
    <w:uiPriority w:val="34"/>
    <w:rsid w:val="00256990"/>
    <w:rPr>
      <w:rFonts w:ascii="Arial" w:eastAsia="Times New Roman" w:hAnsi="Arial"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7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ur-lex.europa.eu/legal-content/EN/TXT/?uri=uriserv:OJ.L_.2016.259.01.0042.01.ENG&amp;toc=OJ:L:2016:259:TOC" TargetMode="Externa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068EFE29061F47866E08D633D931D9" ma:contentTypeVersion="25" ma:contentTypeDescription="Opret et nyt dokument." ma:contentTypeScope="" ma:versionID="0413679d12c59202b1349447ed460082">
  <xsd:schema xmlns:xsd="http://www.w3.org/2001/XMLSchema" xmlns:xs="http://www.w3.org/2001/XMLSchema" xmlns:p="http://schemas.microsoft.com/office/2006/metadata/properties" xmlns:ns2="1058fca6-e738-4331-90e2-7e3198c8133a" targetNamespace="http://schemas.microsoft.com/office/2006/metadata/properties" ma:root="true" ma:fieldsID="6cda00a6a0920be8219c92cddeb08b22" ns2:_="">
    <xsd:import namespace="1058fca6-e738-4331-90e2-7e3198c8133a"/>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04aa6f84_x002d_b651_x002d_4ed8_x002d_915d_x002d_6d6fbd0420e5"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fca6-e738-4331-90e2-7e3198c8133a"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04aa6f84_x002d_b651_x002d_4ed8_x002d_915d_x002d_6d6fbd0420e5" ma:index="11"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BE5601D0_x002d_D879_x002d_4DD1_x002d_A08E_x002d_5646297984B4" ma:index="12"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3"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4" nillable="true" ma:displayName="Checked Out From 360° By" ma:internalName="Checked_x0020_Out_x0020_From_x0020_360_x00b0__x0020_By">
      <xsd:simpleType>
        <xsd:restriction base="dms:Text"/>
      </xsd:simpleType>
    </xsd:element>
    <xsd:element name="Checked_x0020_In_x0020_From_x0020_360_x00b0__x0020_By" ma:index="15" nillable="true" ma:displayName="Checked In From 360° By" ma:internalName="Checked_x0020_In_x0020_From_x0020_360_x00b0__x0020_By">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4_Resources_x003a_SILocalization_x002c_2A847938_x002d_2AE0_x002d_4524_x002d_B061_x002d_23E9801152CA xmlns="1058fca6-e738-4331-90e2-7e3198c8133a" xsi:nil="true"/>
    <Checked_x0020_In_x0020_From_x0020_360_x00b0__x0020_By xmlns="1058fca6-e738-4331-90e2-7e3198c8133a" xsi:nil="true"/>
    <_x0024_Resources_x003a_SILocalization_x002c_9FAAD48B_x002d_B0D9_x002d_4ea4_x002d_88D3_x002d_6170FF9A7B50 xmlns="1058fca6-e738-4331-90e2-7e3198c8133a">
      <Url xsi:nil="true"/>
      <Description xsi:nil="true"/>
    </_x0024_Resources_x003a_SILocalization_x002c_9FAAD48B_x002d_B0D9_x002d_4ea4_x002d_88D3_x002d_6170FF9A7B50>
    <_x0024_Resources_x003a_SILocalization_x002c_BE5601D0_x002d_D879_x002d_4DD1_x002d_A08E_x002d_5646297984B4 xmlns="1058fca6-e738-4331-90e2-7e3198c8133a" xsi:nil="true"/>
    <_x0024_Resources_x003a_SILocalization_x002c_00ACCB6D_x002d_63E9_x002d_4C2B_x002d_ADD8_x002d_3BEB97C1EF26 xmlns="1058fca6-e738-4331-90e2-7e3198c8133a" xsi:nil="true"/>
    <FileRecNo xmlns="1058fca6-e738-4331-90e2-7e3198c8133a" xsi:nil="true"/>
    <_x0024_Resources_x003a_SILocalization_x002c_1FF075C0_x002d_6FC7_x002d_4BC7_x002d_95E5_x002d_8748F3B91700 xmlns="1058fca6-e738-4331-90e2-7e3198c8133a" xsi:nil="true"/>
    <_x0024_Resources_x003a_SILocalization_x002c_04aa6f84_x002d_b651_x002d_4ed8_x002d_915d_x002d_6d6fbd0420e5 xmlns="1058fca6-e738-4331-90e2-7e3198c8133a" xsi:nil="true"/>
    <_x0024_Resources_x003a_SILocalization_x002c_SI_x002e_PersonalLibrary_x002e_CheckedOutFrom360FieldId xmlns="1058fca6-e738-4331-90e2-7e3198c8133a">false</_x0024_Resources_x003a_SILocalization_x002c_SI_x002e_PersonalLibrary_x002e_CheckedOutFrom360FieldId>
    <Checked_x0020_Out_x0020_From_x0020_360_x00b0__x0020_By xmlns="1058fca6-e738-4331-90e2-7e3198c8133a"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96DB17B-CB91-47B7-AC9C-68CD2DC04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fca6-e738-4331-90e2-7e3198c81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68EAA-C8F2-4E5B-A588-CD0F9413823F}">
  <ds:schemaRefs>
    <ds:schemaRef ds:uri="http://schemas.microsoft.com/sharepoint/v3/contenttype/forms"/>
  </ds:schemaRefs>
</ds:datastoreItem>
</file>

<file path=customXml/itemProps3.xml><?xml version="1.0" encoding="utf-8"?>
<ds:datastoreItem xmlns:ds="http://schemas.openxmlformats.org/officeDocument/2006/customXml" ds:itemID="{1E22836E-816A-401E-9E35-94F18732107C}">
  <ds:schemaRef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1058fca6-e738-4331-90e2-7e3198c8133a"/>
    <ds:schemaRef ds:uri="http://purl.org/dc/elements/1.1/"/>
  </ds:schemaRefs>
</ds:datastoreItem>
</file>

<file path=customXml/itemProps4.xml><?xml version="1.0" encoding="utf-8"?>
<ds:datastoreItem xmlns:ds="http://schemas.openxmlformats.org/officeDocument/2006/customXml" ds:itemID="{22F70FBB-C92B-4120-ABF4-4FC3CB8A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2424</Words>
  <Characters>14789</Characters>
  <Application>Microsoft Office Word</Application>
  <DocSecurity>0</DocSecurity>
  <Lines>123</Lines>
  <Paragraphs>34</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Otsikko</vt:lpstr>
      </vt:variant>
      <vt:variant>
        <vt:i4>1</vt:i4>
      </vt:variant>
    </vt:vector>
  </HeadingPairs>
  <TitlesOfParts>
    <vt:vector size="4" baseType="lpstr">
      <vt:lpstr>Capacity Calculation Region Nordics’ proposal for regional design of long-term transmission rights in accordance with Article 31 of the Commission Regulation (EU) 2016/1719 of 26 September 2016 establishing a guideline on forward capacity allocation</vt:lpstr>
      <vt:lpstr>Capacity Calculation Region Nordics’ proposal for regional design of long-term transmission rights in accordance with Article 31 of the Commission Regulation (EU) 2016/1719 of 26 September 2016 establishing a guideline on forward capacity allocation</vt:lpstr>
      <vt:lpstr>Capacity Calculation Region Nordics’ proposal for regional design of long-term transmission rights in accordance with Article 31 of the Commission Regulation (EU) 2016/1719 of 26 September 2016 establishing a guideline on forward capacity allocation</vt:lpstr>
      <vt:lpstr>Fingrid’s proposal for Arrangements concerning more than one NEMO in one bidding zone in accordance with Article 45 and 57 of the Commission Regulation (EU) 2015/1222 of 24 July 2015 establishing a Guideline on Capacity Allocation and Congestion Managemen</vt:lpstr>
    </vt:vector>
  </TitlesOfParts>
  <Company>Fingrid Oyj</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Calculation Region Nordics’ proposal for regional design of long-term transmission rights in accordance with Article 31 of the Commission Regulation (EU) 2016/1719 of 26 September 2016 establishing a guideline on forward capacity allocation</dc:title>
  <dc:creator>Viljainen Satu</dc:creator>
  <cp:lastModifiedBy>Nanna Foller Larsen</cp:lastModifiedBy>
  <cp:revision>2</cp:revision>
  <cp:lastPrinted>2017-01-03T12:49:00Z</cp:lastPrinted>
  <dcterms:created xsi:type="dcterms:W3CDTF">2017-06-27T06:29:00Z</dcterms:created>
  <dcterms:modified xsi:type="dcterms:W3CDTF">2017-06-27T06:29:00Z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0x0101001F068EFE29061F47866E08D633D931D9</vt:lpwstr>
  </property>
  <property fmtid="{D5CDD505-2E9C-101B-9397-08002B2CF9AE}" pid="4" name="TaxKeyword">
    <vt:lpwstr/>
  </property>
  <property fmtid="{D5CDD505-2E9C-101B-9397-08002B2CF9AE}" pid="5" name="DocumentCategory">
    <vt:lpwstr/>
  </property>
  <property fmtid="{D5CDD505-2E9C-101B-9397-08002B2CF9AE}" pid="6" name="Addo_DocID">
    <vt:lpwstr>00acff8b-6900-4732-abff-3dba25db50d1</vt:lpwstr>
  </property>
</Properties>
</file>