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List2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1D4352" w:rsidRPr="00DE240C" w14:paraId="0CF04F95" w14:textId="77777777" w:rsidTr="00215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tcBorders>
              <w:bottom w:val="nil"/>
            </w:tcBorders>
          </w:tcPr>
          <w:p w14:paraId="368BC44E" w14:textId="39D44844" w:rsidR="004C05A9" w:rsidRPr="004C05A9" w:rsidRDefault="009E0441" w:rsidP="000866EA">
            <w:pPr>
              <w:spacing w:line="360" w:lineRule="auto"/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9E0441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>Baltic Capacity Calculation Region</w:t>
            </w:r>
            <w:r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>’s</w:t>
            </w:r>
            <w:r w:rsidR="004A1054" w:rsidRPr="004C05A9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r w:rsidR="004C05A9" w:rsidRPr="004C05A9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Regional Specific Annex to the Harmonised </w:t>
            </w:r>
          </w:p>
          <w:p w14:paraId="2AF6B735" w14:textId="77777777" w:rsidR="004C05A9" w:rsidRPr="004C05A9" w:rsidRDefault="004C05A9" w:rsidP="000866EA">
            <w:pPr>
              <w:spacing w:line="360" w:lineRule="auto"/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4C05A9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Allocation Rules for long-term transmission rights in </w:t>
            </w:r>
          </w:p>
          <w:p w14:paraId="55DF420C" w14:textId="6F7EF283" w:rsidR="004C05A9" w:rsidRPr="004C05A9" w:rsidRDefault="004C05A9" w:rsidP="000866EA">
            <w:pPr>
              <w:spacing w:line="360" w:lineRule="auto"/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4C05A9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accordance with Article 52 of </w:t>
            </w:r>
            <w:r w:rsidR="00A77299" w:rsidRPr="004C05A9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>Commission</w:t>
            </w:r>
            <w:r w:rsidRPr="004C05A9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 Regulation (EU) </w:t>
            </w:r>
          </w:p>
          <w:p w14:paraId="70F59F5F" w14:textId="77777777" w:rsidR="004C05A9" w:rsidRPr="004C05A9" w:rsidRDefault="004C05A9" w:rsidP="000866EA">
            <w:pPr>
              <w:spacing w:line="360" w:lineRule="auto"/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4C05A9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2016/1719 of 26 September 2016 establishing a Guideline on </w:t>
            </w:r>
          </w:p>
          <w:p w14:paraId="44EC0804" w14:textId="77777777" w:rsidR="001D4352" w:rsidRDefault="004C05A9" w:rsidP="000866EA">
            <w:pPr>
              <w:spacing w:line="360" w:lineRule="auto"/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4C05A9"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  <w:t>Forward Capacity Allocation</w:t>
            </w:r>
          </w:p>
          <w:p w14:paraId="4369F363" w14:textId="77777777" w:rsidR="004C05A9" w:rsidRDefault="004C05A9" w:rsidP="004C05A9">
            <w:pPr>
              <w:spacing w:line="480" w:lineRule="auto"/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14:paraId="1FF81FFF" w14:textId="2DFC4EDB" w:rsidR="004C05A9" w:rsidRPr="00CE5FD3" w:rsidRDefault="004C05A9" w:rsidP="004C05A9">
            <w:pPr>
              <w:spacing w:line="480" w:lineRule="auto"/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</w:tc>
      </w:tr>
      <w:tr w:rsidR="001D4352" w:rsidRPr="000B4CEA" w14:paraId="2FDFA75A" w14:textId="77777777" w:rsidTr="0021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nil"/>
            </w:tcBorders>
          </w:tcPr>
          <w:p w14:paraId="6F1127F0" w14:textId="1DC464A0" w:rsidR="00D83B2B" w:rsidRPr="00D83B2B" w:rsidRDefault="00D83B2B" w:rsidP="00256D80">
            <w:pPr>
              <w:jc w:val="center"/>
              <w:rPr>
                <w:sz w:val="28"/>
                <w:szCs w:val="28"/>
                <w:lang w:val="en-US"/>
              </w:rPr>
            </w:pPr>
            <w:r w:rsidRPr="00D83B2B">
              <w:rPr>
                <w:sz w:val="28"/>
                <w:szCs w:val="28"/>
                <w:lang w:val="en-US"/>
              </w:rPr>
              <w:t>For the public consultation</w:t>
            </w:r>
          </w:p>
          <w:p w14:paraId="7A29C7B7" w14:textId="4FD59F26" w:rsidR="001D4352" w:rsidRPr="004C05A9" w:rsidRDefault="00BB1F84" w:rsidP="00256D80">
            <w:pPr>
              <w:jc w:val="center"/>
              <w:rPr>
                <w:rFonts w:cs="Times New Roman"/>
                <w:color w:val="215868" w:themeColor="accent5" w:themeShade="80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>13th</w:t>
            </w:r>
            <w:r w:rsidR="00D83B2B" w:rsidRPr="00D83B2B">
              <w:rPr>
                <w:sz w:val="28"/>
                <w:szCs w:val="28"/>
                <w:lang w:val="en-US"/>
              </w:rPr>
              <w:t xml:space="preserve"> of April</w:t>
            </w:r>
            <w:r w:rsidR="004C05A9" w:rsidRPr="00D83B2B">
              <w:rPr>
                <w:sz w:val="28"/>
                <w:szCs w:val="28"/>
                <w:lang w:val="en-US"/>
              </w:rPr>
              <w:t xml:space="preserve"> 202</w:t>
            </w:r>
            <w:r w:rsidR="000E7B84" w:rsidRPr="00D83B2B">
              <w:rPr>
                <w:sz w:val="28"/>
                <w:szCs w:val="28"/>
                <w:lang w:val="en-US"/>
              </w:rPr>
              <w:t>2</w:t>
            </w:r>
          </w:p>
        </w:tc>
      </w:tr>
    </w:tbl>
    <w:p w14:paraId="3223E284" w14:textId="77777777" w:rsidR="001D4352" w:rsidRPr="000B4CEA" w:rsidRDefault="001D4352">
      <w:pPr>
        <w:rPr>
          <w:rFonts w:cs="Times New Roman"/>
          <w:sz w:val="19"/>
          <w:szCs w:val="19"/>
          <w:lang w:val="en-GB"/>
        </w:rPr>
      </w:pPr>
      <w:r w:rsidRPr="000B4CEA">
        <w:rPr>
          <w:rFonts w:cs="Times New Roman"/>
          <w:sz w:val="19"/>
          <w:szCs w:val="19"/>
          <w:lang w:val="en-GB"/>
        </w:rPr>
        <w:br w:type="page"/>
      </w:r>
    </w:p>
    <w:p w14:paraId="25B5ABFC" w14:textId="174FA8FE" w:rsidR="003D52DD" w:rsidRPr="00DE240C" w:rsidRDefault="006C3360" w:rsidP="003D52DD">
      <w:pPr>
        <w:spacing w:after="0" w:line="240" w:lineRule="auto"/>
        <w:rPr>
          <w:rFonts w:cs="Times New Roman"/>
          <w:lang w:val="en-GB"/>
        </w:rPr>
      </w:pPr>
      <w:r w:rsidRPr="00DE240C">
        <w:rPr>
          <w:rFonts w:cs="Times New Roman"/>
          <w:lang w:val="en-GB"/>
        </w:rPr>
        <w:lastRenderedPageBreak/>
        <w:t xml:space="preserve">The </w:t>
      </w:r>
      <w:r w:rsidR="00B45CB0" w:rsidRPr="00DE240C">
        <w:rPr>
          <w:rFonts w:cs="Times New Roman"/>
          <w:lang w:val="en-GB"/>
        </w:rPr>
        <w:t>Transmission System Operat</w:t>
      </w:r>
      <w:r w:rsidRPr="00DE240C">
        <w:rPr>
          <w:rFonts w:cs="Times New Roman"/>
          <w:lang w:val="en-GB"/>
        </w:rPr>
        <w:t>o</w:t>
      </w:r>
      <w:r w:rsidR="00B45CB0" w:rsidRPr="00DE240C">
        <w:rPr>
          <w:rFonts w:cs="Times New Roman"/>
          <w:lang w:val="en-GB"/>
        </w:rPr>
        <w:t xml:space="preserve">rs of </w:t>
      </w:r>
      <w:r w:rsidR="003E0ACD">
        <w:rPr>
          <w:rFonts w:cs="Times New Roman"/>
          <w:lang w:val="en-GB"/>
        </w:rPr>
        <w:t xml:space="preserve">the </w:t>
      </w:r>
      <w:r w:rsidR="003E0ACD" w:rsidRPr="00DE240C">
        <w:rPr>
          <w:rFonts w:cs="Times New Roman"/>
          <w:lang w:val="en-GB"/>
        </w:rPr>
        <w:t xml:space="preserve">Baltic </w:t>
      </w:r>
      <w:r w:rsidR="00B45CB0" w:rsidRPr="00DE240C">
        <w:rPr>
          <w:rFonts w:cs="Times New Roman"/>
          <w:lang w:val="en-GB"/>
        </w:rPr>
        <w:t>Capacity Calculation Region</w:t>
      </w:r>
      <w:r w:rsidR="003D52DD" w:rsidRPr="00DE240C">
        <w:rPr>
          <w:rFonts w:cs="Times New Roman"/>
          <w:lang w:val="en-GB"/>
        </w:rPr>
        <w:t xml:space="preserve">, </w:t>
      </w:r>
      <w:proofErr w:type="gramStart"/>
      <w:r w:rsidR="003D52DD" w:rsidRPr="00DE240C">
        <w:rPr>
          <w:rFonts w:cs="Times New Roman"/>
          <w:lang w:val="en-GB"/>
        </w:rPr>
        <w:t>taking into account</w:t>
      </w:r>
      <w:proofErr w:type="gramEnd"/>
      <w:r w:rsidR="003D52DD" w:rsidRPr="00DE240C">
        <w:rPr>
          <w:rFonts w:cs="Times New Roman"/>
          <w:lang w:val="en-GB"/>
        </w:rPr>
        <w:t xml:space="preserve"> the following,</w:t>
      </w:r>
    </w:p>
    <w:p w14:paraId="4593A7B5" w14:textId="37C0A887" w:rsidR="003D52DD" w:rsidRPr="00D871C5" w:rsidRDefault="003D52DD" w:rsidP="003D52DD">
      <w:pPr>
        <w:spacing w:before="400" w:after="0" w:line="340" w:lineRule="exact"/>
        <w:jc w:val="center"/>
        <w:outlineLvl w:val="0"/>
        <w:rPr>
          <w:rFonts w:cs="Times New Roman"/>
          <w:b/>
          <w:color w:val="1F497D" w:themeColor="text2"/>
          <w:lang w:val="en-GB"/>
        </w:rPr>
      </w:pPr>
      <w:bookmarkStart w:id="0" w:name="_Toc432586767"/>
      <w:bookmarkStart w:id="1" w:name="_Toc432586787"/>
      <w:bookmarkStart w:id="2" w:name="_Toc464485816"/>
      <w:bookmarkStart w:id="3" w:name="_Toc474830498"/>
      <w:bookmarkStart w:id="4" w:name="_Toc491078293"/>
      <w:r w:rsidRPr="00D871C5">
        <w:rPr>
          <w:rFonts w:cs="Times New Roman"/>
          <w:b/>
          <w:color w:val="1F497D" w:themeColor="text2"/>
          <w:lang w:val="en-GB"/>
        </w:rPr>
        <w:t>Whereas</w:t>
      </w:r>
      <w:bookmarkEnd w:id="0"/>
      <w:bookmarkEnd w:id="1"/>
      <w:bookmarkEnd w:id="2"/>
      <w:bookmarkEnd w:id="3"/>
      <w:bookmarkEnd w:id="4"/>
    </w:p>
    <w:p w14:paraId="750E07F9" w14:textId="77777777" w:rsidR="00D871C5" w:rsidRDefault="00D871C5" w:rsidP="00D871C5">
      <w:pPr>
        <w:spacing w:before="120" w:after="0" w:line="340" w:lineRule="exact"/>
        <w:jc w:val="center"/>
        <w:outlineLvl w:val="0"/>
        <w:rPr>
          <w:rFonts w:cs="Times New Roman"/>
          <w:b/>
          <w:lang w:val="en-GB"/>
        </w:rPr>
      </w:pPr>
    </w:p>
    <w:p w14:paraId="60665251" w14:textId="71CE1CAF" w:rsidR="00A423FB" w:rsidRPr="00DB2BD6" w:rsidRDefault="003D52DD" w:rsidP="00DB2BD6">
      <w:pPr>
        <w:numPr>
          <w:ilvl w:val="0"/>
          <w:numId w:val="3"/>
        </w:numPr>
        <w:spacing w:after="120" w:line="259" w:lineRule="auto"/>
        <w:contextualSpacing/>
        <w:rPr>
          <w:rFonts w:cs="Times New Roman"/>
          <w:lang w:val="en-GB"/>
        </w:rPr>
      </w:pPr>
      <w:r w:rsidRPr="00DB2BD6">
        <w:rPr>
          <w:rFonts w:cs="Times New Roman"/>
          <w:lang w:val="en-GB"/>
        </w:rPr>
        <w:t xml:space="preserve">This </w:t>
      </w:r>
      <w:r w:rsidR="003E0ACD" w:rsidRPr="00DB2BD6">
        <w:rPr>
          <w:rFonts w:cs="Times New Roman"/>
          <w:lang w:val="en-GB"/>
        </w:rPr>
        <w:t>document</w:t>
      </w:r>
      <w:r w:rsidR="002910B7" w:rsidRPr="00DB2BD6">
        <w:rPr>
          <w:rFonts w:cs="Times New Roman"/>
          <w:lang w:val="en-GB"/>
        </w:rPr>
        <w:t xml:space="preserve"> (hereafter referred to as “Baltic Specific Annex”)</w:t>
      </w:r>
      <w:r w:rsidR="003E0ACD" w:rsidRPr="00DB2BD6">
        <w:rPr>
          <w:rFonts w:cs="Times New Roman"/>
          <w:lang w:val="en-GB"/>
        </w:rPr>
        <w:t xml:space="preserve"> </w:t>
      </w:r>
      <w:r w:rsidRPr="00DB2BD6">
        <w:rPr>
          <w:rFonts w:cs="Times New Roman"/>
          <w:lang w:val="en-GB"/>
        </w:rPr>
        <w:t xml:space="preserve">is a common proposal developed by </w:t>
      </w:r>
      <w:r w:rsidR="003E0ACD" w:rsidRPr="00DB2BD6">
        <w:rPr>
          <w:rFonts w:cs="Times New Roman"/>
          <w:lang w:val="en-GB"/>
        </w:rPr>
        <w:t xml:space="preserve">the </w:t>
      </w:r>
      <w:r w:rsidR="003E0ACD" w:rsidRPr="00790F51">
        <w:rPr>
          <w:rFonts w:cs="Times New Roman"/>
          <w:lang w:val="en-GB"/>
        </w:rPr>
        <w:t xml:space="preserve">Transmission System Operators (hereafter referred to as “TSOs”) of the </w:t>
      </w:r>
      <w:r w:rsidRPr="007C1234">
        <w:rPr>
          <w:rFonts w:cs="Times New Roman"/>
          <w:lang w:val="en-GB"/>
        </w:rPr>
        <w:t xml:space="preserve">Baltic Capacity Calculation </w:t>
      </w:r>
      <w:r w:rsidR="00E3255D" w:rsidRPr="00B8424F">
        <w:rPr>
          <w:rFonts w:cs="Times New Roman"/>
          <w:lang w:val="en-GB"/>
        </w:rPr>
        <w:t>R</w:t>
      </w:r>
      <w:r w:rsidRPr="00B8424F">
        <w:rPr>
          <w:rFonts w:cs="Times New Roman"/>
          <w:lang w:val="en-GB"/>
        </w:rPr>
        <w:t xml:space="preserve">egion (hereafter referred to as “Baltic CCR”) </w:t>
      </w:r>
      <w:r w:rsidR="00A423FB" w:rsidRPr="00B8424F">
        <w:rPr>
          <w:rFonts w:cs="Times New Roman"/>
          <w:lang w:val="en-GB"/>
        </w:rPr>
        <w:t xml:space="preserve">as defined in the </w:t>
      </w:r>
      <w:r w:rsidR="003D3EB1" w:rsidRPr="00B8424F">
        <w:rPr>
          <w:rFonts w:cs="Times New Roman"/>
          <w:lang w:val="en-GB"/>
        </w:rPr>
        <w:t>Decision No 04/2021 of</w:t>
      </w:r>
      <w:r w:rsidR="003D3EB1" w:rsidRPr="00223B30">
        <w:rPr>
          <w:rFonts w:cs="Times New Roman"/>
          <w:lang w:val="en-GB"/>
        </w:rPr>
        <w:t xml:space="preserve"> the European Union Agency</w:t>
      </w:r>
      <w:r w:rsidR="003D3EB1" w:rsidRPr="00C94ABF">
        <w:rPr>
          <w:rFonts w:cs="Times New Roman"/>
          <w:lang w:val="en-GB"/>
        </w:rPr>
        <w:t xml:space="preserve"> for</w:t>
      </w:r>
      <w:r w:rsidR="003D3EB1" w:rsidRPr="00DB2BD6">
        <w:rPr>
          <w:rFonts w:cs="Times New Roman"/>
          <w:lang w:val="en-GB"/>
        </w:rPr>
        <w:t xml:space="preserve"> the Cooperation of Energy R</w:t>
      </w:r>
      <w:r w:rsidR="00DB2BD6" w:rsidRPr="00DB2BD6">
        <w:rPr>
          <w:rFonts w:cs="Times New Roman"/>
          <w:lang w:val="en-GB"/>
        </w:rPr>
        <w:t xml:space="preserve">egulators </w:t>
      </w:r>
      <w:r w:rsidR="003D3EB1" w:rsidRPr="00DB2BD6">
        <w:rPr>
          <w:rFonts w:cs="Times New Roman"/>
          <w:lang w:val="en-GB"/>
        </w:rPr>
        <w:t>of 7 May 2021</w:t>
      </w:r>
      <w:r w:rsidR="00DB2BD6">
        <w:rPr>
          <w:rFonts w:cs="Times New Roman"/>
          <w:lang w:val="en-GB"/>
        </w:rPr>
        <w:t xml:space="preserve"> </w:t>
      </w:r>
      <w:r w:rsidR="003D3EB1" w:rsidRPr="00DB2BD6">
        <w:rPr>
          <w:rFonts w:cs="Times New Roman"/>
          <w:lang w:val="en-GB"/>
        </w:rPr>
        <w:t>on the determination of capacity calculation regions</w:t>
      </w:r>
      <w:r w:rsidR="00A423FB" w:rsidRPr="00DB2BD6">
        <w:rPr>
          <w:rFonts w:cs="Times New Roman"/>
          <w:lang w:val="en-GB"/>
        </w:rPr>
        <w:t xml:space="preserve"> pursuant to Article 15(1) of the Commission Regulation (EU) 2015/1222.</w:t>
      </w:r>
      <w:r w:rsidR="00A423FB" w:rsidRPr="00DB2BD6">
        <w:rPr>
          <w:rFonts w:cs="Times New Roman"/>
          <w:lang w:val="en-GB"/>
        </w:rPr>
        <w:cr/>
      </w:r>
      <w:r w:rsidRPr="00DB2BD6">
        <w:rPr>
          <w:rFonts w:cs="Times New Roman"/>
          <w:lang w:val="en-GB"/>
        </w:rPr>
        <w:t xml:space="preserve"> </w:t>
      </w:r>
    </w:p>
    <w:p w14:paraId="21D0D1AD" w14:textId="3A6C6513" w:rsidR="00A423FB" w:rsidRDefault="00A423FB" w:rsidP="00A423FB">
      <w:pPr>
        <w:numPr>
          <w:ilvl w:val="0"/>
          <w:numId w:val="3"/>
        </w:numPr>
        <w:spacing w:after="120" w:line="259" w:lineRule="auto"/>
        <w:contextualSpacing/>
        <w:rPr>
          <w:rFonts w:cs="Times New Roman"/>
          <w:lang w:val="en-GB"/>
        </w:rPr>
      </w:pPr>
      <w:bookmarkStart w:id="5" w:name="_Hlk96523248"/>
      <w:r w:rsidRPr="00A423FB">
        <w:rPr>
          <w:rFonts w:cs="Times New Roman"/>
          <w:lang w:val="en-GB"/>
        </w:rPr>
        <w:t xml:space="preserve">This </w:t>
      </w:r>
      <w:bookmarkStart w:id="6" w:name="_Hlk87438563"/>
      <w:r w:rsidR="002910B7">
        <w:rPr>
          <w:rFonts w:cs="Times New Roman"/>
          <w:lang w:val="en-GB"/>
        </w:rPr>
        <w:t>Baltic Specific Annex</w:t>
      </w:r>
      <w:r w:rsidRPr="00A423FB">
        <w:rPr>
          <w:rFonts w:cs="Times New Roman"/>
          <w:lang w:val="en-GB"/>
        </w:rPr>
        <w:t xml:space="preserve"> </w:t>
      </w:r>
      <w:bookmarkEnd w:id="6"/>
      <w:r w:rsidRPr="00A423FB">
        <w:rPr>
          <w:rFonts w:cs="Times New Roman"/>
          <w:lang w:val="en-GB"/>
        </w:rPr>
        <w:t xml:space="preserve">sets out specific requirements applicable to the </w:t>
      </w:r>
      <w:r w:rsidR="0052675A">
        <w:rPr>
          <w:rFonts w:cs="Times New Roman"/>
          <w:lang w:val="en-GB"/>
        </w:rPr>
        <w:t>Baltic CCR</w:t>
      </w:r>
      <w:r w:rsidRPr="00A423FB">
        <w:rPr>
          <w:rFonts w:cs="Times New Roman"/>
          <w:lang w:val="en-GB"/>
        </w:rPr>
        <w:t xml:space="preserve"> at regional and bidding zone border level pursuant to Article 52(3) of Commission Regulation (EU) 2016/1719 establishing a guideline on Forward Capacity Allocation (hereafter referred to as the “FCA Regulation”).</w:t>
      </w:r>
    </w:p>
    <w:bookmarkEnd w:id="5"/>
    <w:p w14:paraId="2A7A8A7E" w14:textId="77777777" w:rsidR="009D1493" w:rsidRDefault="009D1493" w:rsidP="009D1493">
      <w:pPr>
        <w:spacing w:after="120" w:line="259" w:lineRule="auto"/>
        <w:ind w:left="360"/>
        <w:contextualSpacing/>
        <w:rPr>
          <w:rFonts w:cs="Times New Roman"/>
          <w:lang w:val="en-GB"/>
        </w:rPr>
      </w:pPr>
    </w:p>
    <w:p w14:paraId="4C959755" w14:textId="77373C03" w:rsidR="00296FD6" w:rsidRPr="00A423FB" w:rsidRDefault="00A423FB" w:rsidP="00A423FB">
      <w:pPr>
        <w:numPr>
          <w:ilvl w:val="0"/>
          <w:numId w:val="3"/>
        </w:numPr>
        <w:spacing w:after="120" w:line="259" w:lineRule="auto"/>
        <w:contextualSpacing/>
        <w:rPr>
          <w:rFonts w:cs="Times New Roman"/>
          <w:lang w:val="en-GB"/>
        </w:rPr>
      </w:pPr>
      <w:r w:rsidRPr="00A423FB">
        <w:rPr>
          <w:rFonts w:cs="Times New Roman"/>
          <w:lang w:val="en-GB"/>
        </w:rPr>
        <w:t xml:space="preserve">This </w:t>
      </w:r>
      <w:bookmarkStart w:id="7" w:name="_Hlk87521951"/>
      <w:r w:rsidR="002910B7" w:rsidRPr="002910B7">
        <w:rPr>
          <w:rFonts w:cs="Times New Roman"/>
          <w:lang w:val="en-GB"/>
        </w:rPr>
        <w:t xml:space="preserve">Baltic Specific Annex </w:t>
      </w:r>
      <w:bookmarkEnd w:id="7"/>
      <w:r w:rsidRPr="00A423FB">
        <w:rPr>
          <w:rFonts w:cs="Times New Roman"/>
          <w:lang w:val="en-GB"/>
        </w:rPr>
        <w:t>constitutes an Annex to the harmonised allocation rules for long</w:t>
      </w:r>
      <w:r>
        <w:rPr>
          <w:rFonts w:cs="Times New Roman"/>
          <w:lang w:val="en-GB"/>
        </w:rPr>
        <w:t>-</w:t>
      </w:r>
      <w:r w:rsidRPr="00A423FB">
        <w:rPr>
          <w:rFonts w:cs="Times New Roman"/>
          <w:lang w:val="en-GB"/>
        </w:rPr>
        <w:t>term transmission rights on EU level (hereafter referred to as “HAR”) in accordance with Article 51 of the FCA Regulation</w:t>
      </w:r>
      <w:r w:rsidR="00635AB4" w:rsidRPr="00635AB4">
        <w:rPr>
          <w:rFonts w:cs="Times New Roman"/>
          <w:lang w:val="en-GB"/>
        </w:rPr>
        <w:t>.</w:t>
      </w:r>
    </w:p>
    <w:p w14:paraId="5981B0ED" w14:textId="77777777" w:rsidR="009D1493" w:rsidRPr="00DE240C" w:rsidRDefault="009D1493" w:rsidP="009D1493">
      <w:pPr>
        <w:spacing w:after="120" w:line="259" w:lineRule="auto"/>
        <w:contextualSpacing/>
        <w:rPr>
          <w:rFonts w:cs="Times New Roman"/>
          <w:lang w:val="en-GB"/>
        </w:rPr>
      </w:pPr>
    </w:p>
    <w:p w14:paraId="30D8B230" w14:textId="6E3D78D5" w:rsidR="002E7741" w:rsidRDefault="003A1109" w:rsidP="002E7741">
      <w:pPr>
        <w:numPr>
          <w:ilvl w:val="0"/>
          <w:numId w:val="3"/>
        </w:numPr>
        <w:spacing w:after="0" w:line="259" w:lineRule="auto"/>
        <w:contextualSpacing/>
        <w:rPr>
          <w:rFonts w:cs="Times New Roman"/>
          <w:lang w:val="en-GB"/>
        </w:rPr>
      </w:pPr>
      <w:r w:rsidRPr="00DE240C">
        <w:rPr>
          <w:rFonts w:cs="Times New Roman"/>
          <w:lang w:val="en-GB"/>
        </w:rPr>
        <w:t xml:space="preserve">This </w:t>
      </w:r>
      <w:r w:rsidR="00D871C5" w:rsidRPr="00D871C5">
        <w:rPr>
          <w:rFonts w:cs="Times New Roman"/>
          <w:lang w:val="en-GB"/>
        </w:rPr>
        <w:t>Baltic Specific Annex</w:t>
      </w:r>
      <w:r w:rsidR="00B32E80">
        <w:rPr>
          <w:rFonts w:cs="Times New Roman"/>
          <w:lang w:val="en-GB"/>
        </w:rPr>
        <w:t xml:space="preserve"> </w:t>
      </w:r>
      <w:proofErr w:type="gramStart"/>
      <w:r w:rsidRPr="00DE240C">
        <w:rPr>
          <w:rFonts w:cs="Times New Roman"/>
          <w:lang w:val="en-GB"/>
        </w:rPr>
        <w:t>takes into account</w:t>
      </w:r>
      <w:proofErr w:type="gramEnd"/>
      <w:r w:rsidRPr="00DE240C">
        <w:rPr>
          <w:rFonts w:cs="Times New Roman"/>
          <w:lang w:val="en-GB"/>
        </w:rPr>
        <w:t xml:space="preserve"> </w:t>
      </w:r>
      <w:r w:rsidR="00CD1F3C" w:rsidRPr="00DE240C">
        <w:rPr>
          <w:rFonts w:cs="Times New Roman"/>
          <w:lang w:val="en-GB"/>
        </w:rPr>
        <w:t xml:space="preserve">the </w:t>
      </w:r>
      <w:r w:rsidRPr="00DE240C">
        <w:rPr>
          <w:rFonts w:cs="Times New Roman"/>
          <w:lang w:val="en-GB"/>
        </w:rPr>
        <w:t>Baltic CCR National Regulatory Authorities (hereafter referred to as “NRAs”) decision</w:t>
      </w:r>
      <w:r w:rsidR="00BA6E91" w:rsidRPr="00DE240C">
        <w:rPr>
          <w:rFonts w:cs="Times New Roman"/>
          <w:lang w:val="en-GB"/>
        </w:rPr>
        <w:t>s</w:t>
      </w:r>
      <w:r w:rsidRPr="00DE240C">
        <w:rPr>
          <w:rFonts w:cs="Times New Roman"/>
          <w:lang w:val="en-GB"/>
        </w:rPr>
        <w:t xml:space="preserve"> on cross-zonal risk hedging opportunities in accordance with Article 30 of FCA Regulation.</w:t>
      </w:r>
    </w:p>
    <w:p w14:paraId="2A7CB582" w14:textId="77777777" w:rsidR="002910B7" w:rsidRDefault="002910B7" w:rsidP="002910B7">
      <w:pPr>
        <w:spacing w:after="0" w:line="259" w:lineRule="auto"/>
        <w:ind w:left="360"/>
        <w:contextualSpacing/>
        <w:rPr>
          <w:rFonts w:cs="Times New Roman"/>
          <w:lang w:val="en-GB"/>
        </w:rPr>
      </w:pPr>
    </w:p>
    <w:p w14:paraId="08726247" w14:textId="02DE99C1" w:rsidR="002910B7" w:rsidRDefault="002910B7" w:rsidP="002910B7">
      <w:pPr>
        <w:numPr>
          <w:ilvl w:val="0"/>
          <w:numId w:val="3"/>
        </w:numPr>
        <w:spacing w:after="0" w:line="259" w:lineRule="auto"/>
        <w:contextualSpacing/>
        <w:rPr>
          <w:rFonts w:cs="Times New Roman"/>
          <w:lang w:val="en-GB"/>
        </w:rPr>
      </w:pPr>
      <w:r w:rsidRPr="002910B7">
        <w:rPr>
          <w:rFonts w:cs="Times New Roman"/>
          <w:lang w:val="en-GB"/>
        </w:rPr>
        <w:t xml:space="preserve">The initial </w:t>
      </w:r>
      <w:r>
        <w:rPr>
          <w:rFonts w:cs="Times New Roman"/>
          <w:lang w:val="en-GB"/>
        </w:rPr>
        <w:t xml:space="preserve">Baltic </w:t>
      </w:r>
      <w:r w:rsidRPr="002910B7">
        <w:rPr>
          <w:rFonts w:cs="Times New Roman"/>
          <w:lang w:val="en-GB"/>
        </w:rPr>
        <w:t xml:space="preserve">Specific Annex was proposed by the </w:t>
      </w:r>
      <w:r w:rsidRPr="00296430">
        <w:rPr>
          <w:rFonts w:cs="Times New Roman"/>
          <w:lang w:val="en-GB"/>
        </w:rPr>
        <w:t>Baltic TSOs on 1</w:t>
      </w:r>
      <w:r w:rsidR="00CE73AC" w:rsidRPr="00296430">
        <w:rPr>
          <w:rFonts w:cs="Times New Roman"/>
          <w:lang w:val="en-GB"/>
        </w:rPr>
        <w:t>8</w:t>
      </w:r>
      <w:r w:rsidRPr="00296430">
        <w:rPr>
          <w:rFonts w:cs="Times New Roman"/>
          <w:lang w:val="en-GB"/>
        </w:rPr>
        <w:t xml:space="preserve"> April 2017 and approved by relevant NRAs of the </w:t>
      </w:r>
      <w:r w:rsidR="0052675A">
        <w:rPr>
          <w:rFonts w:cs="Times New Roman"/>
          <w:lang w:val="en-GB"/>
        </w:rPr>
        <w:t>Baltic CCR</w:t>
      </w:r>
      <w:r w:rsidRPr="00296430">
        <w:rPr>
          <w:rFonts w:cs="Times New Roman"/>
          <w:lang w:val="en-GB"/>
        </w:rPr>
        <w:t xml:space="preserve"> by </w:t>
      </w:r>
      <w:r w:rsidR="00CE73AC" w:rsidRPr="00296430">
        <w:rPr>
          <w:rFonts w:cs="Times New Roman"/>
          <w:lang w:val="en-GB"/>
        </w:rPr>
        <w:t>17</w:t>
      </w:r>
      <w:r w:rsidRPr="00296430">
        <w:rPr>
          <w:rFonts w:cs="Times New Roman"/>
          <w:lang w:val="en-GB"/>
        </w:rPr>
        <w:t xml:space="preserve"> October 2017.</w:t>
      </w:r>
    </w:p>
    <w:p w14:paraId="12197CFD" w14:textId="77777777" w:rsidR="002910B7" w:rsidRPr="002910B7" w:rsidRDefault="002910B7" w:rsidP="002910B7">
      <w:pPr>
        <w:spacing w:after="0" w:line="259" w:lineRule="auto"/>
        <w:contextualSpacing/>
        <w:rPr>
          <w:rFonts w:cs="Times New Roman"/>
          <w:lang w:val="en-GB"/>
        </w:rPr>
      </w:pPr>
    </w:p>
    <w:p w14:paraId="2730F58B" w14:textId="745AFB70" w:rsidR="002910B7" w:rsidRPr="00296430" w:rsidRDefault="002910B7" w:rsidP="00296430">
      <w:pPr>
        <w:pStyle w:val="ListParagraph"/>
        <w:numPr>
          <w:ilvl w:val="0"/>
          <w:numId w:val="3"/>
        </w:numPr>
        <w:rPr>
          <w:rFonts w:cs="Times New Roman"/>
          <w:lang w:val="en-GB"/>
        </w:rPr>
      </w:pPr>
      <w:r w:rsidRPr="00296430">
        <w:rPr>
          <w:rFonts w:cs="Times New Roman"/>
          <w:lang w:val="en-GB"/>
        </w:rPr>
        <w:t xml:space="preserve">On </w:t>
      </w:r>
      <w:r w:rsidR="00296430" w:rsidRPr="00296430">
        <w:rPr>
          <w:rFonts w:cs="Times New Roman"/>
          <w:lang w:val="en-GB"/>
        </w:rPr>
        <w:t>19 April</w:t>
      </w:r>
      <w:r w:rsidRPr="00296430">
        <w:rPr>
          <w:rFonts w:cs="Times New Roman"/>
          <w:lang w:val="en-GB"/>
        </w:rPr>
        <w:t xml:space="preserve"> 2018 Baltic TSOs proposed an amendment to the Baltic Specific Annex </w:t>
      </w:r>
      <w:r w:rsidR="00CE73AC" w:rsidRPr="00296430">
        <w:rPr>
          <w:rFonts w:cs="Times New Roman"/>
          <w:lang w:val="en-GB"/>
        </w:rPr>
        <w:t>as the auctioning of</w:t>
      </w:r>
      <w:r w:rsidR="00296430">
        <w:rPr>
          <w:rFonts w:cs="Times New Roman"/>
          <w:lang w:val="en-GB"/>
        </w:rPr>
        <w:t xml:space="preserve"> the </w:t>
      </w:r>
      <w:r w:rsidR="00CE73AC" w:rsidRPr="00296430">
        <w:rPr>
          <w:rFonts w:cs="Times New Roman"/>
          <w:lang w:val="en-GB"/>
        </w:rPr>
        <w:t xml:space="preserve">long-term-transmission-rights of EE-LV border FTRs </w:t>
      </w:r>
      <w:r w:rsidR="00296430" w:rsidRPr="00296430">
        <w:rPr>
          <w:rFonts w:cs="Times New Roman"/>
          <w:lang w:val="en-GB"/>
        </w:rPr>
        <w:t>were</w:t>
      </w:r>
      <w:r w:rsidR="00CE73AC" w:rsidRPr="00296430">
        <w:rPr>
          <w:rFonts w:cs="Times New Roman"/>
          <w:lang w:val="en-GB"/>
        </w:rPr>
        <w:t xml:space="preserve"> moved from Estonia</w:t>
      </w:r>
      <w:r w:rsidR="00C9205A">
        <w:rPr>
          <w:rFonts w:cs="Times New Roman"/>
          <w:lang w:val="en-GB"/>
        </w:rPr>
        <w:t>n</w:t>
      </w:r>
      <w:r w:rsidR="00CE73AC" w:rsidRPr="00296430">
        <w:rPr>
          <w:rFonts w:cs="Times New Roman"/>
          <w:lang w:val="en-GB"/>
        </w:rPr>
        <w:t xml:space="preserve"> and Latvia</w:t>
      </w:r>
      <w:r w:rsidR="00C9205A">
        <w:rPr>
          <w:rFonts w:cs="Times New Roman"/>
          <w:lang w:val="en-GB"/>
        </w:rPr>
        <w:t>n</w:t>
      </w:r>
      <w:r w:rsidR="00CE73AC" w:rsidRPr="00296430">
        <w:rPr>
          <w:rFonts w:cs="Times New Roman"/>
          <w:lang w:val="en-GB"/>
        </w:rPr>
        <w:t xml:space="preserve"> TSO own auctioning platform to Single Allocation Platform </w:t>
      </w:r>
      <w:r w:rsidR="00296430" w:rsidRPr="00296430">
        <w:rPr>
          <w:rFonts w:cs="Times New Roman"/>
          <w:lang w:val="en-GB"/>
        </w:rPr>
        <w:t xml:space="preserve">in accordance with Article </w:t>
      </w:r>
      <w:r w:rsidR="00296430">
        <w:rPr>
          <w:rFonts w:cs="Times New Roman"/>
          <w:lang w:val="en-GB"/>
        </w:rPr>
        <w:t>48</w:t>
      </w:r>
      <w:r w:rsidR="00296430" w:rsidRPr="00296430">
        <w:rPr>
          <w:rFonts w:cs="Times New Roman"/>
          <w:lang w:val="en-GB"/>
        </w:rPr>
        <w:t xml:space="preserve"> of FCA Regulation</w:t>
      </w:r>
      <w:bookmarkStart w:id="8" w:name="_Hlk87522083"/>
      <w:r w:rsidR="00296430">
        <w:rPr>
          <w:rFonts w:cs="Times New Roman"/>
          <w:lang w:val="en-GB"/>
        </w:rPr>
        <w:t xml:space="preserve">. </w:t>
      </w:r>
      <w:r w:rsidR="00296430" w:rsidRPr="00296430">
        <w:rPr>
          <w:rFonts w:cs="Times New Roman"/>
          <w:lang w:val="en-GB"/>
        </w:rPr>
        <w:t>T</w:t>
      </w:r>
      <w:r w:rsidRPr="00296430">
        <w:rPr>
          <w:rFonts w:cs="Times New Roman"/>
          <w:lang w:val="en-GB"/>
        </w:rPr>
        <w:t xml:space="preserve">he amended </w:t>
      </w:r>
      <w:r w:rsidR="00296430" w:rsidRPr="00296430">
        <w:rPr>
          <w:rFonts w:cs="Times New Roman"/>
          <w:lang w:val="en-GB"/>
        </w:rPr>
        <w:t xml:space="preserve">Baltic </w:t>
      </w:r>
      <w:r w:rsidRPr="00296430">
        <w:rPr>
          <w:rFonts w:cs="Times New Roman"/>
          <w:lang w:val="en-GB"/>
        </w:rPr>
        <w:t xml:space="preserve">Specific Annex was approved by the </w:t>
      </w:r>
      <w:r w:rsidR="00296430" w:rsidRPr="00296430">
        <w:rPr>
          <w:rFonts w:cs="Times New Roman"/>
          <w:lang w:val="en-GB"/>
        </w:rPr>
        <w:t>Baltic</w:t>
      </w:r>
      <w:r w:rsidRPr="00296430">
        <w:rPr>
          <w:rFonts w:cs="Times New Roman"/>
          <w:lang w:val="en-GB"/>
        </w:rPr>
        <w:t xml:space="preserve"> </w:t>
      </w:r>
      <w:r w:rsidR="00BB62B3">
        <w:rPr>
          <w:rFonts w:cs="Times New Roman"/>
          <w:lang w:val="en-GB"/>
        </w:rPr>
        <w:t xml:space="preserve">CCR </w:t>
      </w:r>
      <w:r w:rsidRPr="00296430">
        <w:rPr>
          <w:rFonts w:cs="Times New Roman"/>
          <w:lang w:val="en-GB"/>
        </w:rPr>
        <w:t xml:space="preserve">NRAs on </w:t>
      </w:r>
      <w:r w:rsidRPr="00635AB4">
        <w:rPr>
          <w:rFonts w:cs="Times New Roman"/>
          <w:lang w:val="en-GB"/>
        </w:rPr>
        <w:t>08 April 201</w:t>
      </w:r>
      <w:r w:rsidR="00296430" w:rsidRPr="00635AB4">
        <w:rPr>
          <w:rFonts w:cs="Times New Roman"/>
          <w:lang w:val="en-GB"/>
        </w:rPr>
        <w:t>8</w:t>
      </w:r>
      <w:bookmarkEnd w:id="8"/>
      <w:r w:rsidR="00296430" w:rsidRPr="00635AB4">
        <w:rPr>
          <w:rFonts w:cs="Times New Roman"/>
          <w:lang w:val="en-GB"/>
        </w:rPr>
        <w:t>.</w:t>
      </w:r>
    </w:p>
    <w:p w14:paraId="1C488E5F" w14:textId="61AE4FA2" w:rsidR="002910B7" w:rsidRPr="004A51CC" w:rsidRDefault="004A51CC" w:rsidP="004A51CC">
      <w:pPr>
        <w:numPr>
          <w:ilvl w:val="0"/>
          <w:numId w:val="3"/>
        </w:numPr>
        <w:spacing w:after="0" w:line="259" w:lineRule="auto"/>
        <w:contextualSpacing/>
        <w:rPr>
          <w:rFonts w:cs="Times New Roman"/>
          <w:lang w:val="en-GB"/>
        </w:rPr>
      </w:pPr>
      <w:r w:rsidRPr="004A51CC">
        <w:rPr>
          <w:rFonts w:cs="Times New Roman"/>
          <w:lang w:val="en-GB"/>
        </w:rPr>
        <w:t>According to Article 68(5) of HAR and the border and/or regional specific annexes included thereto shall be periodically reviewed by the Allocation Platform and the relevant TSOs at least every two years involving the Registered Participants</w:t>
      </w:r>
      <w:r>
        <w:rPr>
          <w:rFonts w:cs="Times New Roman"/>
          <w:lang w:val="en-GB"/>
        </w:rPr>
        <w:t xml:space="preserve">. </w:t>
      </w:r>
      <w:r w:rsidRPr="004A51CC">
        <w:rPr>
          <w:rFonts w:cs="Times New Roman"/>
          <w:lang w:val="en-GB"/>
        </w:rPr>
        <w:t xml:space="preserve">By email of 15 July 2019, ENTSO-E submitted, on behalf of all TSOs, the amended </w:t>
      </w:r>
      <w:r>
        <w:rPr>
          <w:rFonts w:cs="Times New Roman"/>
          <w:lang w:val="en-GB"/>
        </w:rPr>
        <w:t>HAR</w:t>
      </w:r>
      <w:r w:rsidRPr="004A51C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to ACER </w:t>
      </w:r>
      <w:r w:rsidRPr="004A51CC">
        <w:rPr>
          <w:rFonts w:cs="Times New Roman"/>
          <w:lang w:val="en-GB"/>
        </w:rPr>
        <w:t>for approval pursuant to Article 5(2) of Regulation (EU) 2019/942.</w:t>
      </w:r>
      <w:r>
        <w:rPr>
          <w:rFonts w:cs="Times New Roman"/>
          <w:lang w:val="en-GB"/>
        </w:rPr>
        <w:t xml:space="preserve"> According to the amendment the Baltic Specific Annex was deleted</w:t>
      </w:r>
      <w:r w:rsidRPr="00222DE0">
        <w:rPr>
          <w:rFonts w:cs="Times New Roman"/>
          <w:lang w:val="en-GB"/>
        </w:rPr>
        <w:t xml:space="preserve">. </w:t>
      </w:r>
      <w:r w:rsidR="002910B7" w:rsidRPr="00222DE0">
        <w:rPr>
          <w:rFonts w:cs="Times New Roman"/>
          <w:lang w:val="en-GB"/>
        </w:rPr>
        <w:t xml:space="preserve">The </w:t>
      </w:r>
      <w:r w:rsidR="005E70F5" w:rsidRPr="00222DE0">
        <w:rPr>
          <w:rFonts w:cs="Times New Roman"/>
          <w:lang w:val="en-GB"/>
        </w:rPr>
        <w:t>ACER approved the HAR amendment and thereof Baltic</w:t>
      </w:r>
      <w:r w:rsidR="002910B7" w:rsidRPr="00222DE0">
        <w:rPr>
          <w:rFonts w:cs="Times New Roman"/>
          <w:lang w:val="en-GB"/>
        </w:rPr>
        <w:t xml:space="preserve"> specific Annex </w:t>
      </w:r>
      <w:r w:rsidR="005E70F5" w:rsidRPr="00222DE0">
        <w:rPr>
          <w:rFonts w:cs="Times New Roman"/>
          <w:lang w:val="en-GB"/>
        </w:rPr>
        <w:t>deletion</w:t>
      </w:r>
      <w:r w:rsidR="002910B7" w:rsidRPr="00222DE0">
        <w:rPr>
          <w:rFonts w:cs="Times New Roman"/>
          <w:lang w:val="en-GB"/>
        </w:rPr>
        <w:t xml:space="preserve"> on </w:t>
      </w:r>
      <w:r w:rsidR="005E70F5" w:rsidRPr="00222DE0">
        <w:rPr>
          <w:rFonts w:cs="Times New Roman"/>
          <w:lang w:val="en-GB"/>
        </w:rPr>
        <w:t>29</w:t>
      </w:r>
      <w:r w:rsidR="002910B7" w:rsidRPr="00222DE0">
        <w:rPr>
          <w:rFonts w:cs="Times New Roman"/>
          <w:lang w:val="en-GB"/>
        </w:rPr>
        <w:t xml:space="preserve"> October 2019.</w:t>
      </w:r>
    </w:p>
    <w:p w14:paraId="0AD9F6D3" w14:textId="77777777" w:rsidR="004A00CD" w:rsidRPr="002910B7" w:rsidRDefault="004A00CD" w:rsidP="004A00CD">
      <w:pPr>
        <w:spacing w:after="0" w:line="259" w:lineRule="auto"/>
        <w:contextualSpacing/>
        <w:rPr>
          <w:rFonts w:cs="Times New Roman"/>
          <w:lang w:val="en-GB"/>
        </w:rPr>
      </w:pPr>
    </w:p>
    <w:p w14:paraId="782BF96B" w14:textId="11C9B904" w:rsidR="009D1493" w:rsidRDefault="00B22BD7" w:rsidP="00D871C5">
      <w:pPr>
        <w:numPr>
          <w:ilvl w:val="0"/>
          <w:numId w:val="3"/>
        </w:numPr>
        <w:spacing w:after="0" w:line="259" w:lineRule="auto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Estonian and Finnish </w:t>
      </w:r>
      <w:r w:rsidR="00B84AD3" w:rsidRPr="00D871C5">
        <w:rPr>
          <w:rFonts w:cs="Times New Roman"/>
          <w:lang w:val="en-GB"/>
        </w:rPr>
        <w:t>TSOs received on</w:t>
      </w:r>
      <w:r w:rsidR="00B84AD3">
        <w:rPr>
          <w:rFonts w:cs="Times New Roman"/>
          <w:lang w:val="en-GB"/>
        </w:rPr>
        <w:t xml:space="preserve"> the</w:t>
      </w:r>
      <w:r w:rsidR="00B84AD3" w:rsidRPr="00D871C5">
        <w:rPr>
          <w:rFonts w:cs="Times New Roman"/>
          <w:lang w:val="en-GB"/>
        </w:rPr>
        <w:t xml:space="preserve"> 10 June 2021</w:t>
      </w:r>
      <w:r w:rsidR="00B84AD3">
        <w:rPr>
          <w:rFonts w:cs="Times New Roman"/>
          <w:lang w:val="en-GB"/>
        </w:rPr>
        <w:t xml:space="preserve"> </w:t>
      </w:r>
      <w:r w:rsidR="00B84AD3" w:rsidRPr="00D871C5">
        <w:rPr>
          <w:rFonts w:cs="Times New Roman"/>
          <w:lang w:val="en-GB"/>
        </w:rPr>
        <w:t>the Estonian and Finnish NRAs</w:t>
      </w:r>
      <w:r w:rsidR="00432F26">
        <w:rPr>
          <w:rFonts w:cs="Times New Roman"/>
          <w:lang w:val="en-GB"/>
        </w:rPr>
        <w:t>’</w:t>
      </w:r>
      <w:r w:rsidR="00B84AD3">
        <w:rPr>
          <w:rFonts w:cs="Times New Roman"/>
          <w:lang w:val="en-GB"/>
        </w:rPr>
        <w:t xml:space="preserve"> </w:t>
      </w:r>
      <w:r w:rsidR="00B84AD3" w:rsidRPr="00B84AD3">
        <w:rPr>
          <w:rFonts w:cs="Times New Roman"/>
          <w:lang w:val="en-GB"/>
        </w:rPr>
        <w:t>coordinated decision on cross-zonal risk hedging opportunities of the Finnish–Estonian (FI-EE) bidding zone border request</w:t>
      </w:r>
      <w:r w:rsidR="00B84AD3">
        <w:rPr>
          <w:rFonts w:cs="Times New Roman"/>
          <w:lang w:val="en-GB"/>
        </w:rPr>
        <w:t>ing</w:t>
      </w:r>
      <w:r w:rsidR="00B84AD3" w:rsidRPr="00B84AD3">
        <w:rPr>
          <w:rFonts w:cs="Times New Roman"/>
          <w:lang w:val="en-GB"/>
        </w:rPr>
        <w:t xml:space="preserve"> the respective TSOs to issue long-term transmission rights (LTTR</w:t>
      </w:r>
      <w:r w:rsidR="00D2447A">
        <w:rPr>
          <w:rFonts w:cs="Times New Roman"/>
          <w:lang w:val="en-GB"/>
        </w:rPr>
        <w:t>s</w:t>
      </w:r>
      <w:r w:rsidR="00B84AD3" w:rsidRPr="00B84AD3">
        <w:rPr>
          <w:rFonts w:cs="Times New Roman"/>
          <w:lang w:val="en-GB"/>
        </w:rPr>
        <w:t xml:space="preserve">) on the FI-EE bidding zone border. </w:t>
      </w:r>
      <w:r w:rsidR="002910B7" w:rsidRPr="002910B7">
        <w:rPr>
          <w:rFonts w:cs="Times New Roman"/>
          <w:lang w:val="en-GB"/>
        </w:rPr>
        <w:t>With th</w:t>
      </w:r>
      <w:r w:rsidR="004A00CD">
        <w:rPr>
          <w:rFonts w:cs="Times New Roman"/>
          <w:lang w:val="en-GB"/>
        </w:rPr>
        <w:t xml:space="preserve">is </w:t>
      </w:r>
      <w:r w:rsidR="002910B7" w:rsidRPr="002910B7">
        <w:rPr>
          <w:rFonts w:cs="Times New Roman"/>
          <w:lang w:val="en-GB"/>
        </w:rPr>
        <w:t xml:space="preserve">amendment </w:t>
      </w:r>
      <w:r w:rsidR="00C9205A">
        <w:rPr>
          <w:rFonts w:cs="Times New Roman"/>
          <w:lang w:val="en-GB"/>
        </w:rPr>
        <w:t>to</w:t>
      </w:r>
      <w:r w:rsidR="00C9205A" w:rsidRPr="002910B7">
        <w:rPr>
          <w:rFonts w:cs="Times New Roman"/>
          <w:lang w:val="en-GB"/>
        </w:rPr>
        <w:t xml:space="preserve"> </w:t>
      </w:r>
      <w:r w:rsidR="002910B7" w:rsidRPr="002910B7">
        <w:rPr>
          <w:rFonts w:cs="Times New Roman"/>
          <w:lang w:val="en-GB"/>
        </w:rPr>
        <w:t xml:space="preserve">the </w:t>
      </w:r>
      <w:r w:rsidR="004A00CD">
        <w:rPr>
          <w:rFonts w:cs="Times New Roman"/>
          <w:lang w:val="en-GB"/>
        </w:rPr>
        <w:t>Baltic</w:t>
      </w:r>
      <w:r w:rsidR="002910B7" w:rsidRPr="002910B7">
        <w:rPr>
          <w:rFonts w:cs="Times New Roman"/>
          <w:lang w:val="en-GB"/>
        </w:rPr>
        <w:t xml:space="preserve"> Specific Annex</w:t>
      </w:r>
      <w:r w:rsidR="00C9205A">
        <w:rPr>
          <w:rFonts w:cs="Times New Roman"/>
          <w:lang w:val="en-GB"/>
        </w:rPr>
        <w:t>,</w:t>
      </w:r>
      <w:r w:rsidR="002910B7" w:rsidRPr="002910B7">
        <w:rPr>
          <w:rFonts w:cs="Times New Roman"/>
          <w:lang w:val="en-GB"/>
        </w:rPr>
        <w:t xml:space="preserve"> the </w:t>
      </w:r>
      <w:r w:rsidR="004A00CD">
        <w:rPr>
          <w:rFonts w:cs="Times New Roman"/>
          <w:lang w:val="en-GB"/>
        </w:rPr>
        <w:t xml:space="preserve">Baltic </w:t>
      </w:r>
      <w:r w:rsidR="002910B7" w:rsidRPr="002910B7">
        <w:rPr>
          <w:rFonts w:cs="Times New Roman"/>
          <w:lang w:val="en-GB"/>
        </w:rPr>
        <w:t>TSOs</w:t>
      </w:r>
      <w:r w:rsidR="00D871C5">
        <w:rPr>
          <w:rFonts w:cs="Times New Roman"/>
          <w:lang w:val="en-GB"/>
        </w:rPr>
        <w:t xml:space="preserve"> </w:t>
      </w:r>
      <w:r w:rsidR="00D871C5" w:rsidRPr="00D871C5">
        <w:rPr>
          <w:rFonts w:cs="Times New Roman"/>
          <w:lang w:val="en-GB"/>
        </w:rPr>
        <w:t>introduc</w:t>
      </w:r>
      <w:r w:rsidR="00FC7D46">
        <w:rPr>
          <w:rFonts w:cs="Times New Roman"/>
          <w:lang w:val="en-GB"/>
        </w:rPr>
        <w:t>e</w:t>
      </w:r>
      <w:r w:rsidR="00D871C5" w:rsidRPr="00D871C5">
        <w:rPr>
          <w:rFonts w:cs="Times New Roman"/>
          <w:lang w:val="en-GB"/>
        </w:rPr>
        <w:t xml:space="preserve"> </w:t>
      </w:r>
      <w:r w:rsidR="00D871C5">
        <w:rPr>
          <w:rFonts w:cs="Times New Roman"/>
          <w:lang w:val="en-GB"/>
        </w:rPr>
        <w:t>the</w:t>
      </w:r>
      <w:r w:rsidR="00D871C5" w:rsidRPr="00D871C5">
        <w:rPr>
          <w:rFonts w:cs="Times New Roman"/>
          <w:lang w:val="en-GB"/>
        </w:rPr>
        <w:t xml:space="preserve"> compensation cap for the </w:t>
      </w:r>
      <w:r w:rsidR="00A2039C">
        <w:rPr>
          <w:rFonts w:cs="Times New Roman"/>
          <w:lang w:val="en-GB"/>
        </w:rPr>
        <w:t>LTTRs issued</w:t>
      </w:r>
      <w:r w:rsidR="00D871C5" w:rsidRPr="00D871C5">
        <w:rPr>
          <w:rFonts w:cs="Times New Roman"/>
          <w:lang w:val="en-GB"/>
        </w:rPr>
        <w:t xml:space="preserve"> on the FI-EE bidding zone border</w:t>
      </w:r>
      <w:r w:rsidR="002910B7" w:rsidRPr="00D871C5">
        <w:rPr>
          <w:rFonts w:cs="Times New Roman"/>
          <w:lang w:val="en-GB"/>
        </w:rPr>
        <w:t xml:space="preserve"> in accordance with Article 59(</w:t>
      </w:r>
      <w:r w:rsidR="004A00CD" w:rsidRPr="00D871C5">
        <w:rPr>
          <w:rFonts w:cs="Times New Roman"/>
          <w:lang w:val="en-GB"/>
        </w:rPr>
        <w:t>3</w:t>
      </w:r>
      <w:r w:rsidR="002910B7" w:rsidRPr="00D871C5">
        <w:rPr>
          <w:rFonts w:cs="Times New Roman"/>
          <w:lang w:val="en-GB"/>
        </w:rPr>
        <w:t>) of the HAR</w:t>
      </w:r>
      <w:r w:rsidR="00D871C5" w:rsidRPr="00D871C5">
        <w:rPr>
          <w:rFonts w:cs="Times New Roman"/>
          <w:lang w:val="en-GB"/>
        </w:rPr>
        <w:t>.</w:t>
      </w:r>
      <w:r w:rsidR="00D871C5" w:rsidRPr="00D871C5">
        <w:t xml:space="preserve"> </w:t>
      </w:r>
    </w:p>
    <w:p w14:paraId="5BD70B31" w14:textId="77777777" w:rsidR="00D871C5" w:rsidRDefault="00D871C5" w:rsidP="00D871C5">
      <w:pPr>
        <w:pStyle w:val="ListParagraph"/>
        <w:rPr>
          <w:rFonts w:cs="Times New Roman"/>
          <w:lang w:val="en-GB"/>
        </w:rPr>
      </w:pPr>
    </w:p>
    <w:p w14:paraId="0EB5D12F" w14:textId="7CB2D4A1" w:rsidR="003D52DD" w:rsidRDefault="00C84EF5" w:rsidP="00BB62B3">
      <w:pPr>
        <w:pStyle w:val="ListParagraph"/>
        <w:numPr>
          <w:ilvl w:val="0"/>
          <w:numId w:val="3"/>
        </w:numPr>
        <w:rPr>
          <w:rFonts w:cs="Times New Roman"/>
          <w:lang w:val="en-GB"/>
        </w:rPr>
      </w:pPr>
      <w:r w:rsidRPr="00E52C9C">
        <w:rPr>
          <w:rFonts w:cs="Times New Roman"/>
          <w:lang w:val="en-GB"/>
        </w:rPr>
        <w:t xml:space="preserve">This proposal is submitted for the approval of all </w:t>
      </w:r>
      <w:r w:rsidR="00BB62B3">
        <w:rPr>
          <w:rFonts w:cs="Times New Roman"/>
          <w:lang w:val="en-GB"/>
        </w:rPr>
        <w:t xml:space="preserve">Baltic CCR </w:t>
      </w:r>
      <w:r w:rsidRPr="00E52C9C">
        <w:rPr>
          <w:rFonts w:cs="Times New Roman"/>
          <w:lang w:val="en-GB"/>
        </w:rPr>
        <w:t>NRAs.</w:t>
      </w:r>
      <w:r w:rsidR="002910B7">
        <w:rPr>
          <w:rFonts w:cs="Times New Roman"/>
          <w:lang w:val="en-GB"/>
        </w:rPr>
        <w:t xml:space="preserve"> </w:t>
      </w:r>
      <w:r w:rsidRPr="009D1493">
        <w:rPr>
          <w:rFonts w:cs="Times New Roman"/>
          <w:lang w:val="en-GB"/>
        </w:rPr>
        <w:t>TSOs understand that for the purposes of the approval or the future amendment of bidding zone border</w:t>
      </w:r>
      <w:r w:rsidR="00E52C9C">
        <w:rPr>
          <w:rFonts w:cs="Times New Roman"/>
          <w:lang w:val="en-GB"/>
        </w:rPr>
        <w:t xml:space="preserve"> </w:t>
      </w:r>
      <w:r w:rsidRPr="009D1493">
        <w:rPr>
          <w:rFonts w:cs="Times New Roman"/>
          <w:lang w:val="en-GB"/>
        </w:rPr>
        <w:t xml:space="preserve">specific requirements of </w:t>
      </w:r>
      <w:r w:rsidRPr="009D1493">
        <w:rPr>
          <w:rFonts w:cs="Times New Roman"/>
          <w:lang w:val="en-GB"/>
        </w:rPr>
        <w:lastRenderedPageBreak/>
        <w:t>this proposal, only the NRAs of the respective bidding zone border will have</w:t>
      </w:r>
      <w:r w:rsidR="00E52C9C">
        <w:rPr>
          <w:rFonts w:cs="Times New Roman"/>
          <w:lang w:val="en-GB"/>
        </w:rPr>
        <w:t xml:space="preserve"> </w:t>
      </w:r>
      <w:r w:rsidRPr="009D1493">
        <w:rPr>
          <w:rFonts w:cs="Times New Roman"/>
          <w:lang w:val="en-GB"/>
        </w:rPr>
        <w:t xml:space="preserve">to state their explicit approval. Non-concerned </w:t>
      </w:r>
      <w:r w:rsidR="00BB62B3">
        <w:rPr>
          <w:rFonts w:cs="Times New Roman"/>
          <w:lang w:val="en-GB"/>
        </w:rPr>
        <w:t xml:space="preserve">Baltic CCR </w:t>
      </w:r>
      <w:r w:rsidRPr="009D1493">
        <w:rPr>
          <w:rFonts w:cs="Times New Roman"/>
          <w:lang w:val="en-GB"/>
        </w:rPr>
        <w:t>NRAs will be duly informed.</w:t>
      </w:r>
    </w:p>
    <w:p w14:paraId="5AABBE06" w14:textId="77777777" w:rsidR="00E52C9C" w:rsidRPr="00DE240C" w:rsidRDefault="00E52C9C" w:rsidP="00E52C9C">
      <w:pPr>
        <w:spacing w:after="120" w:line="259" w:lineRule="auto"/>
        <w:contextualSpacing/>
        <w:rPr>
          <w:rFonts w:cs="Times New Roman"/>
          <w:lang w:val="en-GB"/>
        </w:rPr>
      </w:pPr>
    </w:p>
    <w:p w14:paraId="7026BF7A" w14:textId="75905878" w:rsidR="003D52DD" w:rsidRDefault="003D52DD" w:rsidP="003D52DD">
      <w:pPr>
        <w:spacing w:after="120" w:line="240" w:lineRule="auto"/>
        <w:rPr>
          <w:rFonts w:cs="Times New Roman"/>
          <w:b/>
          <w:lang w:val="en-GB"/>
        </w:rPr>
      </w:pPr>
      <w:r w:rsidRPr="000B4CEA">
        <w:rPr>
          <w:rFonts w:cs="Times New Roman"/>
          <w:b/>
          <w:lang w:val="en-GB"/>
        </w:rPr>
        <w:t xml:space="preserve">SUBMIT THE FOLLOWING </w:t>
      </w:r>
      <w:r w:rsidR="00E3255D" w:rsidRPr="00E3255D">
        <w:rPr>
          <w:rFonts w:cs="Times New Roman"/>
          <w:b/>
          <w:lang w:val="en-GB"/>
        </w:rPr>
        <w:t xml:space="preserve">BALTIC SPECIFIC ANNEX </w:t>
      </w:r>
      <w:r w:rsidRPr="000B4CEA">
        <w:rPr>
          <w:rFonts w:cs="Times New Roman"/>
          <w:b/>
          <w:lang w:val="en-GB"/>
        </w:rPr>
        <w:t xml:space="preserve">TO </w:t>
      </w:r>
      <w:r w:rsidR="00070D7E">
        <w:rPr>
          <w:rFonts w:cs="Times New Roman"/>
          <w:b/>
          <w:lang w:val="en-GB"/>
        </w:rPr>
        <w:t xml:space="preserve">THE </w:t>
      </w:r>
      <w:r w:rsidR="006C3360" w:rsidRPr="000B4CEA">
        <w:rPr>
          <w:rFonts w:cs="Times New Roman"/>
          <w:b/>
          <w:lang w:val="en-GB"/>
        </w:rPr>
        <w:t xml:space="preserve">RELEVANT </w:t>
      </w:r>
      <w:r w:rsidR="00163741">
        <w:rPr>
          <w:rFonts w:cs="Times New Roman"/>
          <w:b/>
          <w:lang w:val="en-GB"/>
        </w:rPr>
        <w:t xml:space="preserve">REGULATORY AUTHORITIES WITHIN </w:t>
      </w:r>
      <w:r w:rsidR="00070D7E">
        <w:rPr>
          <w:rFonts w:cs="Times New Roman"/>
          <w:b/>
          <w:lang w:val="en-GB"/>
        </w:rPr>
        <w:t>BALTIC</w:t>
      </w:r>
      <w:r w:rsidR="00070D7E" w:rsidRPr="00070D7E">
        <w:rPr>
          <w:rFonts w:cs="Times New Roman"/>
          <w:b/>
          <w:lang w:val="en-GB"/>
        </w:rPr>
        <w:t xml:space="preserve"> CCR</w:t>
      </w:r>
      <w:r w:rsidRPr="000B4CEA">
        <w:rPr>
          <w:rFonts w:cs="Times New Roman"/>
          <w:b/>
          <w:lang w:val="en-GB"/>
        </w:rPr>
        <w:t>:</w:t>
      </w:r>
    </w:p>
    <w:p w14:paraId="78E626B8" w14:textId="30685C8D" w:rsidR="00FC7D46" w:rsidRDefault="00FC7D46" w:rsidP="003D52DD">
      <w:pPr>
        <w:spacing w:after="120" w:line="240" w:lineRule="auto"/>
        <w:rPr>
          <w:rFonts w:cs="Times New Roman"/>
          <w:b/>
          <w:lang w:val="en-GB"/>
        </w:rPr>
      </w:pPr>
    </w:p>
    <w:p w14:paraId="198CAF7F" w14:textId="71D45EDC" w:rsidR="003D52DD" w:rsidRPr="00DE240C" w:rsidRDefault="003D52DD" w:rsidP="000B4CEA">
      <w:pPr>
        <w:spacing w:before="240" w:after="120" w:line="260" w:lineRule="exact"/>
        <w:jc w:val="center"/>
        <w:outlineLvl w:val="1"/>
        <w:rPr>
          <w:rFonts w:cs="Times New Roman"/>
          <w:b/>
          <w:color w:val="1F497D" w:themeColor="text2"/>
          <w:lang w:val="en-GB"/>
        </w:rPr>
      </w:pPr>
      <w:bookmarkStart w:id="9" w:name="_Toc491078294"/>
      <w:r w:rsidRPr="00DE240C">
        <w:rPr>
          <w:rFonts w:cs="Times New Roman"/>
          <w:b/>
          <w:color w:val="1F497D" w:themeColor="text2"/>
          <w:lang w:val="en-GB"/>
        </w:rPr>
        <w:t>Article 1</w:t>
      </w:r>
      <w:r w:rsidRPr="00DE240C">
        <w:rPr>
          <w:rFonts w:cs="Times New Roman"/>
          <w:b/>
          <w:color w:val="1F497D" w:themeColor="text2"/>
          <w:lang w:val="en-GB"/>
        </w:rPr>
        <w:br/>
        <w:t>Subject matter and scope</w:t>
      </w:r>
      <w:bookmarkEnd w:id="9"/>
    </w:p>
    <w:p w14:paraId="2998C607" w14:textId="6E280112" w:rsidR="004A00CD" w:rsidRDefault="00C31485" w:rsidP="000C027E">
      <w:pPr>
        <w:pStyle w:val="ListParagraph"/>
        <w:keepNext/>
        <w:numPr>
          <w:ilvl w:val="0"/>
          <w:numId w:val="14"/>
        </w:numPr>
        <w:spacing w:after="120" w:line="260" w:lineRule="exact"/>
        <w:ind w:left="426" w:hanging="426"/>
        <w:outlineLvl w:val="1"/>
        <w:rPr>
          <w:rFonts w:cs="Times New Roman"/>
          <w:lang w:val="en-GB"/>
        </w:rPr>
      </w:pPr>
      <w:r w:rsidRPr="00C31485">
        <w:rPr>
          <w:rFonts w:cs="Times New Roman"/>
          <w:lang w:val="en-GB"/>
        </w:rPr>
        <w:t>In accordance with Article 4 of the HAR regional and border specificities may be introduced for one (or more) bidding zone border(s).</w:t>
      </w:r>
      <w:r w:rsidR="004A00CD" w:rsidRPr="004A00CD">
        <w:t xml:space="preserve"> </w:t>
      </w:r>
      <w:r w:rsidR="004A00CD" w:rsidRPr="004A00CD">
        <w:rPr>
          <w:rFonts w:cs="Times New Roman"/>
          <w:lang w:val="en-GB"/>
        </w:rPr>
        <w:t xml:space="preserve">Rules described in this </w:t>
      </w:r>
      <w:r w:rsidR="00C94ABF">
        <w:rPr>
          <w:rFonts w:cs="Times New Roman"/>
          <w:lang w:val="en-GB"/>
        </w:rPr>
        <w:t>Baltic</w:t>
      </w:r>
      <w:r w:rsidR="00C94ABF" w:rsidRPr="004A00CD">
        <w:rPr>
          <w:rFonts w:cs="Times New Roman"/>
          <w:lang w:val="en-GB"/>
        </w:rPr>
        <w:t xml:space="preserve"> </w:t>
      </w:r>
      <w:r w:rsidR="00474C81">
        <w:rPr>
          <w:rFonts w:cs="Times New Roman"/>
          <w:lang w:val="en-GB"/>
        </w:rPr>
        <w:t>S</w:t>
      </w:r>
      <w:r w:rsidR="00474C81" w:rsidRPr="004A00CD">
        <w:rPr>
          <w:rFonts w:cs="Times New Roman"/>
          <w:lang w:val="en-GB"/>
        </w:rPr>
        <w:t xml:space="preserve">pecific </w:t>
      </w:r>
      <w:r w:rsidR="00474C81">
        <w:rPr>
          <w:rFonts w:cs="Times New Roman"/>
          <w:lang w:val="en-GB"/>
        </w:rPr>
        <w:t>A</w:t>
      </w:r>
      <w:r w:rsidR="00474C81" w:rsidRPr="004A00CD">
        <w:rPr>
          <w:rFonts w:cs="Times New Roman"/>
          <w:lang w:val="en-GB"/>
        </w:rPr>
        <w:t xml:space="preserve">nnex </w:t>
      </w:r>
      <w:r w:rsidR="00474C81">
        <w:rPr>
          <w:rFonts w:cs="Times New Roman"/>
          <w:lang w:val="en-GB"/>
        </w:rPr>
        <w:t xml:space="preserve">shall </w:t>
      </w:r>
      <w:r w:rsidR="004A00CD" w:rsidRPr="004A00CD">
        <w:rPr>
          <w:rFonts w:cs="Times New Roman"/>
          <w:lang w:val="en-GB"/>
        </w:rPr>
        <w:t xml:space="preserve">apply to the borders of the </w:t>
      </w:r>
      <w:r w:rsidR="0052675A">
        <w:rPr>
          <w:rFonts w:cs="Times New Roman"/>
          <w:lang w:val="en-GB"/>
        </w:rPr>
        <w:t>Baltic CCR</w:t>
      </w:r>
      <w:r w:rsidR="004A00CD" w:rsidRPr="004A00CD">
        <w:rPr>
          <w:rFonts w:cs="Times New Roman"/>
          <w:lang w:val="en-GB"/>
        </w:rPr>
        <w:t>.</w:t>
      </w:r>
      <w:bookmarkStart w:id="10" w:name="_Toc491078295"/>
      <w:bookmarkStart w:id="11" w:name="_Toc464485818"/>
      <w:bookmarkStart w:id="12" w:name="_Toc432586790"/>
      <w:bookmarkStart w:id="13" w:name="_Toc432586770"/>
    </w:p>
    <w:p w14:paraId="24C28466" w14:textId="77777777" w:rsidR="004A00CD" w:rsidRDefault="004A00CD" w:rsidP="000C027E">
      <w:pPr>
        <w:pStyle w:val="ListParagraph"/>
        <w:keepNext/>
        <w:spacing w:after="120" w:line="260" w:lineRule="exact"/>
        <w:ind w:left="426" w:hanging="426"/>
        <w:outlineLvl w:val="1"/>
        <w:rPr>
          <w:rFonts w:cs="Times New Roman"/>
          <w:lang w:val="en-GB"/>
        </w:rPr>
      </w:pPr>
    </w:p>
    <w:p w14:paraId="5CA9814A" w14:textId="0FBDEFE7" w:rsidR="004A00CD" w:rsidRDefault="004A00CD" w:rsidP="000C027E">
      <w:pPr>
        <w:pStyle w:val="ListParagraph"/>
        <w:keepNext/>
        <w:numPr>
          <w:ilvl w:val="0"/>
          <w:numId w:val="14"/>
        </w:numPr>
        <w:spacing w:after="120" w:line="260" w:lineRule="exact"/>
        <w:ind w:left="426" w:hanging="426"/>
        <w:outlineLvl w:val="1"/>
        <w:rPr>
          <w:rFonts w:cs="Times New Roman"/>
          <w:lang w:val="en-GB"/>
        </w:rPr>
      </w:pPr>
      <w:r w:rsidRPr="004A00CD">
        <w:rPr>
          <w:rFonts w:cs="Times New Roman"/>
          <w:lang w:val="en-GB"/>
        </w:rPr>
        <w:t>This</w:t>
      </w:r>
      <w:r w:rsidR="00474C81">
        <w:rPr>
          <w:rFonts w:cs="Times New Roman"/>
          <w:lang w:val="en-GB"/>
        </w:rPr>
        <w:t xml:space="preserve"> Baltic Specific</w:t>
      </w:r>
      <w:r w:rsidRPr="004A00CD">
        <w:rPr>
          <w:rFonts w:cs="Times New Roman"/>
          <w:lang w:val="en-GB"/>
        </w:rPr>
        <w:t xml:space="preserve"> </w:t>
      </w:r>
      <w:r w:rsidR="00474C81">
        <w:rPr>
          <w:rFonts w:cs="Times New Roman"/>
          <w:lang w:val="en-GB"/>
        </w:rPr>
        <w:t>A</w:t>
      </w:r>
      <w:r w:rsidR="00474C81" w:rsidRPr="004A00CD">
        <w:rPr>
          <w:rFonts w:cs="Times New Roman"/>
          <w:lang w:val="en-GB"/>
        </w:rPr>
        <w:t xml:space="preserve">nnex </w:t>
      </w:r>
      <w:r w:rsidRPr="004A00CD">
        <w:rPr>
          <w:rFonts w:cs="Times New Roman"/>
          <w:lang w:val="en-GB"/>
        </w:rPr>
        <w:t xml:space="preserve">may be reviewed based on request of the relevant </w:t>
      </w:r>
      <w:r w:rsidR="00FC7D46">
        <w:rPr>
          <w:rFonts w:cs="Times New Roman"/>
          <w:lang w:val="en-GB"/>
        </w:rPr>
        <w:t>NRAs</w:t>
      </w:r>
      <w:r w:rsidRPr="004A00CD">
        <w:rPr>
          <w:rFonts w:cs="Times New Roman"/>
          <w:lang w:val="en-GB"/>
        </w:rPr>
        <w:t xml:space="preserve">. In case this annex needs to be amended based on a decision of the </w:t>
      </w:r>
      <w:r w:rsidR="00FC7D46">
        <w:rPr>
          <w:rFonts w:cs="Times New Roman"/>
          <w:lang w:val="en-GB"/>
        </w:rPr>
        <w:t>NRAs</w:t>
      </w:r>
      <w:r w:rsidRPr="004A00CD">
        <w:rPr>
          <w:rFonts w:cs="Times New Roman"/>
          <w:lang w:val="en-GB"/>
        </w:rPr>
        <w:t>, Article 68 of the HAR shall apply</w:t>
      </w:r>
      <w:r>
        <w:rPr>
          <w:rFonts w:cs="Times New Roman"/>
          <w:lang w:val="en-GB"/>
        </w:rPr>
        <w:t>.</w:t>
      </w:r>
    </w:p>
    <w:p w14:paraId="3918C807" w14:textId="77777777" w:rsidR="004A00CD" w:rsidRPr="004A00CD" w:rsidRDefault="004A00CD" w:rsidP="000C027E">
      <w:pPr>
        <w:pStyle w:val="ListParagraph"/>
        <w:ind w:left="426" w:hanging="426"/>
        <w:rPr>
          <w:rFonts w:cs="Times New Roman"/>
          <w:lang w:val="en-GB"/>
        </w:rPr>
      </w:pPr>
    </w:p>
    <w:p w14:paraId="4E1CD3F6" w14:textId="68FFBBB0" w:rsidR="004A00CD" w:rsidRDefault="004A00CD" w:rsidP="000C027E">
      <w:pPr>
        <w:pStyle w:val="ListParagraph"/>
        <w:keepNext/>
        <w:numPr>
          <w:ilvl w:val="0"/>
          <w:numId w:val="14"/>
        </w:numPr>
        <w:spacing w:after="120" w:line="260" w:lineRule="exact"/>
        <w:ind w:left="426" w:hanging="426"/>
        <w:outlineLvl w:val="1"/>
        <w:rPr>
          <w:rFonts w:cs="Times New Roman"/>
          <w:lang w:val="en-GB"/>
        </w:rPr>
      </w:pPr>
      <w:r w:rsidRPr="004A00CD">
        <w:rPr>
          <w:rFonts w:cs="Times New Roman"/>
          <w:lang w:val="en-GB"/>
        </w:rPr>
        <w:t xml:space="preserve">If there is an inconsistency between any of the provisions in the main body of the HAR and this </w:t>
      </w:r>
      <w:r w:rsidR="00E56EC6">
        <w:rPr>
          <w:rFonts w:cs="Times New Roman"/>
          <w:lang w:val="en-GB"/>
        </w:rPr>
        <w:t>Baltic Specific A</w:t>
      </w:r>
      <w:r w:rsidR="00E56EC6" w:rsidRPr="004A00CD">
        <w:rPr>
          <w:rFonts w:cs="Times New Roman"/>
          <w:lang w:val="en-GB"/>
        </w:rPr>
        <w:t>nnex</w:t>
      </w:r>
      <w:r w:rsidRPr="004A00CD">
        <w:rPr>
          <w:rFonts w:cs="Times New Roman"/>
          <w:lang w:val="en-GB"/>
        </w:rPr>
        <w:t xml:space="preserve">, the provisions in this </w:t>
      </w:r>
      <w:r w:rsidR="00E56EC6">
        <w:rPr>
          <w:rFonts w:cs="Times New Roman"/>
          <w:lang w:val="en-GB"/>
        </w:rPr>
        <w:t>Baltic Specific A</w:t>
      </w:r>
      <w:r w:rsidR="00E56EC6" w:rsidRPr="004A00CD">
        <w:rPr>
          <w:rFonts w:cs="Times New Roman"/>
          <w:lang w:val="en-GB"/>
        </w:rPr>
        <w:t xml:space="preserve">nnex </w:t>
      </w:r>
      <w:r w:rsidRPr="004A00CD">
        <w:rPr>
          <w:rFonts w:cs="Times New Roman"/>
          <w:lang w:val="en-GB"/>
        </w:rPr>
        <w:t xml:space="preserve">shall prevail. </w:t>
      </w:r>
    </w:p>
    <w:p w14:paraId="7F7EDFFD" w14:textId="77777777" w:rsidR="004A00CD" w:rsidRDefault="004A00CD" w:rsidP="003D52DD">
      <w:pPr>
        <w:keepNext/>
        <w:spacing w:after="120" w:line="260" w:lineRule="exact"/>
        <w:jc w:val="center"/>
        <w:outlineLvl w:val="1"/>
        <w:rPr>
          <w:rFonts w:cs="Times New Roman"/>
          <w:b/>
          <w:color w:val="1F497D" w:themeColor="text2"/>
          <w:lang w:val="en-GB"/>
        </w:rPr>
      </w:pPr>
    </w:p>
    <w:p w14:paraId="2B77134B" w14:textId="5F8014B5" w:rsidR="003D52DD" w:rsidRDefault="003D52DD" w:rsidP="003D52DD">
      <w:pPr>
        <w:keepNext/>
        <w:spacing w:after="120" w:line="260" w:lineRule="exact"/>
        <w:jc w:val="center"/>
        <w:outlineLvl w:val="1"/>
        <w:rPr>
          <w:rFonts w:cs="Times New Roman"/>
          <w:b/>
          <w:color w:val="1F497D" w:themeColor="text2"/>
          <w:lang w:val="en-GB"/>
        </w:rPr>
      </w:pPr>
      <w:r w:rsidRPr="00DE240C">
        <w:rPr>
          <w:rFonts w:cs="Times New Roman"/>
          <w:b/>
          <w:color w:val="1F497D" w:themeColor="text2"/>
          <w:lang w:val="en-GB"/>
        </w:rPr>
        <w:t>Article 2</w:t>
      </w:r>
      <w:r w:rsidRPr="00DE240C">
        <w:rPr>
          <w:rFonts w:cs="Times New Roman"/>
          <w:b/>
          <w:color w:val="1F497D" w:themeColor="text2"/>
          <w:lang w:val="en-GB"/>
        </w:rPr>
        <w:br/>
        <w:t>Definitions</w:t>
      </w:r>
      <w:bookmarkEnd w:id="10"/>
      <w:r w:rsidR="00163741">
        <w:rPr>
          <w:rFonts w:cs="Times New Roman"/>
          <w:b/>
          <w:color w:val="1F497D" w:themeColor="text2"/>
          <w:lang w:val="en-GB"/>
        </w:rPr>
        <w:t xml:space="preserve"> and interpretation</w:t>
      </w:r>
      <w:r w:rsidRPr="00DE240C">
        <w:rPr>
          <w:rFonts w:cs="Times New Roman"/>
          <w:b/>
          <w:color w:val="1F497D" w:themeColor="text2"/>
          <w:lang w:val="en-GB"/>
        </w:rPr>
        <w:t xml:space="preserve"> </w:t>
      </w:r>
      <w:bookmarkEnd w:id="11"/>
      <w:bookmarkEnd w:id="12"/>
      <w:bookmarkEnd w:id="13"/>
    </w:p>
    <w:p w14:paraId="4FA74EE7" w14:textId="77777777" w:rsidR="000866EA" w:rsidRPr="00DE240C" w:rsidRDefault="000866EA" w:rsidP="003D52DD">
      <w:pPr>
        <w:keepNext/>
        <w:spacing w:after="120" w:line="260" w:lineRule="exact"/>
        <w:jc w:val="center"/>
        <w:outlineLvl w:val="1"/>
        <w:rPr>
          <w:rFonts w:cs="Times New Roman"/>
          <w:b/>
          <w:color w:val="1F497D" w:themeColor="text2"/>
          <w:lang w:val="en-GB"/>
        </w:rPr>
      </w:pPr>
    </w:p>
    <w:p w14:paraId="122BDFF8" w14:textId="4706BD69" w:rsidR="003D52DD" w:rsidRPr="00DE240C" w:rsidRDefault="003D52DD" w:rsidP="009B14F5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rPr>
          <w:rFonts w:cs="Times New Roman"/>
          <w:lang w:val="en-GB"/>
        </w:rPr>
      </w:pPr>
      <w:r w:rsidRPr="00DE240C">
        <w:rPr>
          <w:rFonts w:cs="Times New Roman"/>
          <w:lang w:val="en-GB"/>
        </w:rPr>
        <w:t xml:space="preserve">For the purposes of </w:t>
      </w:r>
      <w:r w:rsidR="00AE45B5">
        <w:rPr>
          <w:rFonts w:cs="Times New Roman"/>
          <w:lang w:val="en-GB"/>
        </w:rPr>
        <w:t>this Baltic S</w:t>
      </w:r>
      <w:r w:rsidR="00AE45B5" w:rsidRPr="00C31485">
        <w:rPr>
          <w:rFonts w:cs="Times New Roman"/>
          <w:lang w:val="en-GB"/>
        </w:rPr>
        <w:t xml:space="preserve">pecific </w:t>
      </w:r>
      <w:r w:rsidR="00AE45B5">
        <w:rPr>
          <w:rFonts w:cs="Times New Roman"/>
          <w:lang w:val="en-GB"/>
        </w:rPr>
        <w:t>A</w:t>
      </w:r>
      <w:r w:rsidR="00AE45B5" w:rsidRPr="00C31485">
        <w:rPr>
          <w:rFonts w:cs="Times New Roman"/>
          <w:lang w:val="en-GB"/>
        </w:rPr>
        <w:t xml:space="preserve">nnex </w:t>
      </w:r>
      <w:r w:rsidR="00C31485" w:rsidRPr="00C31485">
        <w:rPr>
          <w:rFonts w:cs="Times New Roman"/>
          <w:lang w:val="en-GB"/>
        </w:rPr>
        <w:t>to the HAR</w:t>
      </w:r>
      <w:r w:rsidR="00AE45B5">
        <w:rPr>
          <w:rFonts w:cs="Times New Roman"/>
          <w:lang w:val="en-GB"/>
        </w:rPr>
        <w:t>,</w:t>
      </w:r>
      <w:r w:rsidR="00C31485">
        <w:rPr>
          <w:rFonts w:cs="Times New Roman"/>
          <w:lang w:val="en-GB"/>
        </w:rPr>
        <w:t xml:space="preserve"> the </w:t>
      </w:r>
      <w:r w:rsidRPr="00DE240C">
        <w:rPr>
          <w:rFonts w:cs="Times New Roman"/>
          <w:lang w:val="en-GB"/>
        </w:rPr>
        <w:t xml:space="preserve">terms used in this document shall have the meaning of the definitions included in Article 2 of the </w:t>
      </w:r>
      <w:r w:rsidR="0026605D" w:rsidRPr="00DE240C">
        <w:rPr>
          <w:rFonts w:cs="Times New Roman"/>
          <w:lang w:val="en-GB"/>
        </w:rPr>
        <w:t>FCA</w:t>
      </w:r>
      <w:r w:rsidRPr="00DE240C">
        <w:rPr>
          <w:rFonts w:cs="Times New Roman"/>
          <w:lang w:val="en-GB"/>
        </w:rPr>
        <w:t xml:space="preserve"> Regulation, </w:t>
      </w:r>
      <w:r w:rsidR="00237023" w:rsidRPr="00237023">
        <w:rPr>
          <w:rFonts w:cs="Times New Roman"/>
          <w:lang w:val="en-GB"/>
        </w:rPr>
        <w:t>Regulation (EU) 2019/943</w:t>
      </w:r>
      <w:r w:rsidR="00237023">
        <w:rPr>
          <w:rFonts w:cs="Times New Roman"/>
          <w:lang w:val="en-GB"/>
        </w:rPr>
        <w:t xml:space="preserve">, </w:t>
      </w:r>
      <w:r w:rsidRPr="00DE240C">
        <w:rPr>
          <w:rFonts w:cs="Times New Roman"/>
          <w:lang w:val="en-GB"/>
        </w:rPr>
        <w:t>and Commission Regulation (EU) 543/2013.</w:t>
      </w:r>
    </w:p>
    <w:p w14:paraId="383BD7A7" w14:textId="5BE2DFE1" w:rsidR="009B14F5" w:rsidRPr="00DE240C" w:rsidRDefault="009B14F5" w:rsidP="009B14F5">
      <w:pPr>
        <w:numPr>
          <w:ilvl w:val="0"/>
          <w:numId w:val="4"/>
        </w:numPr>
        <w:spacing w:after="120" w:line="259" w:lineRule="auto"/>
        <w:ind w:left="426" w:hanging="426"/>
        <w:contextualSpacing/>
        <w:rPr>
          <w:rFonts w:cs="Times New Roman"/>
          <w:lang w:val="en-GB"/>
        </w:rPr>
      </w:pPr>
      <w:r w:rsidRPr="00DE240C">
        <w:rPr>
          <w:rFonts w:cs="Times New Roman"/>
          <w:lang w:val="en-GB"/>
        </w:rPr>
        <w:t xml:space="preserve">In this </w:t>
      </w:r>
      <w:r w:rsidR="00C31485">
        <w:rPr>
          <w:rFonts w:cs="Times New Roman"/>
          <w:lang w:val="en-GB"/>
        </w:rPr>
        <w:t>proposal</w:t>
      </w:r>
      <w:r w:rsidRPr="00DE240C">
        <w:rPr>
          <w:rFonts w:cs="Times New Roman"/>
          <w:lang w:val="en-GB"/>
        </w:rPr>
        <w:t xml:space="preserve"> unless the context requires otherwise: </w:t>
      </w:r>
    </w:p>
    <w:p w14:paraId="6ACD0219" w14:textId="77777777" w:rsidR="009B14F5" w:rsidRPr="00DE240C" w:rsidRDefault="009B14F5" w:rsidP="009B14F5">
      <w:pPr>
        <w:numPr>
          <w:ilvl w:val="1"/>
          <w:numId w:val="5"/>
        </w:numPr>
        <w:spacing w:after="120" w:line="259" w:lineRule="auto"/>
        <w:ind w:left="1134" w:hanging="425"/>
        <w:contextualSpacing/>
        <w:rPr>
          <w:rFonts w:cs="Times New Roman"/>
          <w:lang w:val="en-GB"/>
        </w:rPr>
      </w:pPr>
      <w:r w:rsidRPr="00DE240C">
        <w:rPr>
          <w:rFonts w:cs="Times New Roman"/>
          <w:lang w:val="en-GB"/>
        </w:rPr>
        <w:t xml:space="preserve">the singular indicates the plural and </w:t>
      </w:r>
      <w:proofErr w:type="gramStart"/>
      <w:r w:rsidRPr="00DE240C">
        <w:rPr>
          <w:rFonts w:cs="Times New Roman"/>
          <w:lang w:val="en-GB"/>
        </w:rPr>
        <w:t>vice versa;</w:t>
      </w:r>
      <w:proofErr w:type="gramEnd"/>
      <w:r w:rsidRPr="00DE240C">
        <w:rPr>
          <w:rFonts w:cs="Times New Roman"/>
          <w:lang w:val="en-GB"/>
        </w:rPr>
        <w:t xml:space="preserve"> </w:t>
      </w:r>
    </w:p>
    <w:p w14:paraId="55D67084" w14:textId="29B3A85C" w:rsidR="009B14F5" w:rsidRPr="00DE240C" w:rsidRDefault="009B14F5" w:rsidP="009B14F5">
      <w:pPr>
        <w:numPr>
          <w:ilvl w:val="1"/>
          <w:numId w:val="5"/>
        </w:numPr>
        <w:spacing w:after="120" w:line="259" w:lineRule="auto"/>
        <w:ind w:left="1134" w:hanging="425"/>
        <w:contextualSpacing/>
        <w:rPr>
          <w:rFonts w:cs="Times New Roman"/>
          <w:lang w:val="en-GB"/>
        </w:rPr>
      </w:pPr>
      <w:r w:rsidRPr="00DE240C">
        <w:rPr>
          <w:rFonts w:cs="Times New Roman"/>
          <w:lang w:val="en-GB"/>
        </w:rPr>
        <w:t xml:space="preserve">the headings are inserted for convenience only and do not affect the interpretation of the </w:t>
      </w:r>
      <w:r w:rsidR="00BC5FF2">
        <w:rPr>
          <w:rFonts w:cs="Times New Roman"/>
          <w:lang w:val="en-GB"/>
        </w:rPr>
        <w:t>proposal</w:t>
      </w:r>
      <w:r w:rsidRPr="00DE240C">
        <w:rPr>
          <w:rFonts w:cs="Times New Roman"/>
          <w:lang w:val="en-GB"/>
        </w:rPr>
        <w:t>; and</w:t>
      </w:r>
    </w:p>
    <w:p w14:paraId="1EA7667A" w14:textId="77777777" w:rsidR="009B14F5" w:rsidRPr="00DE240C" w:rsidRDefault="009B14F5" w:rsidP="009B14F5">
      <w:pPr>
        <w:numPr>
          <w:ilvl w:val="1"/>
          <w:numId w:val="5"/>
        </w:numPr>
        <w:spacing w:after="120" w:line="259" w:lineRule="auto"/>
        <w:ind w:left="1134" w:hanging="425"/>
        <w:contextualSpacing/>
        <w:rPr>
          <w:rFonts w:cs="Times New Roman"/>
          <w:lang w:val="en-GB"/>
        </w:rPr>
      </w:pPr>
      <w:r w:rsidRPr="00DE240C">
        <w:rPr>
          <w:rFonts w:cs="Times New Roman"/>
          <w:lang w:val="en-GB"/>
        </w:rPr>
        <w:t xml:space="preserve">any reference to legislation, regulations, directives, orders, instruments, </w:t>
      </w:r>
      <w:proofErr w:type="gramStart"/>
      <w:r w:rsidRPr="00DE240C">
        <w:rPr>
          <w:rFonts w:cs="Times New Roman"/>
          <w:lang w:val="en-GB"/>
        </w:rPr>
        <w:t>codes</w:t>
      </w:r>
      <w:proofErr w:type="gramEnd"/>
      <w:r w:rsidRPr="00DE240C">
        <w:rPr>
          <w:rFonts w:cs="Times New Roman"/>
          <w:lang w:val="en-GB"/>
        </w:rPr>
        <w:t xml:space="preserve"> or any other enactment shall include any modification, extension or re-enactment of it when in force. </w:t>
      </w:r>
    </w:p>
    <w:p w14:paraId="171306BA" w14:textId="77777777" w:rsidR="002C7389" w:rsidRPr="00DE240C" w:rsidRDefault="002C7389" w:rsidP="002C7389">
      <w:pPr>
        <w:spacing w:after="120" w:line="259" w:lineRule="auto"/>
        <w:ind w:left="720"/>
        <w:contextualSpacing/>
        <w:rPr>
          <w:rFonts w:cs="Times New Roman"/>
          <w:lang w:val="en-GB"/>
        </w:rPr>
      </w:pPr>
    </w:p>
    <w:p w14:paraId="2FBA5391" w14:textId="7C1891AA" w:rsidR="00745245" w:rsidRDefault="00745245" w:rsidP="00745245">
      <w:pPr>
        <w:spacing w:after="0" w:line="260" w:lineRule="exact"/>
        <w:jc w:val="center"/>
        <w:outlineLvl w:val="1"/>
        <w:rPr>
          <w:rFonts w:cs="Times New Roman"/>
          <w:b/>
          <w:color w:val="1F497D" w:themeColor="text2"/>
          <w:lang w:val="en-GB"/>
        </w:rPr>
      </w:pPr>
      <w:bookmarkStart w:id="14" w:name="_Toc445298916"/>
      <w:bookmarkStart w:id="15" w:name="_Toc445299178"/>
      <w:bookmarkStart w:id="16" w:name="_Toc445825434"/>
      <w:r w:rsidRPr="00745245">
        <w:rPr>
          <w:rFonts w:cs="Times New Roman"/>
          <w:b/>
          <w:color w:val="1F497D" w:themeColor="text2"/>
          <w:lang w:val="en-GB"/>
        </w:rPr>
        <w:t>Article 3</w:t>
      </w:r>
    </w:p>
    <w:p w14:paraId="4B127B01" w14:textId="01DA3B9C" w:rsidR="00745245" w:rsidRDefault="00745245" w:rsidP="00745245">
      <w:pPr>
        <w:spacing w:after="0" w:line="260" w:lineRule="exact"/>
        <w:jc w:val="center"/>
        <w:outlineLvl w:val="1"/>
        <w:rPr>
          <w:rFonts w:cs="Times New Roman"/>
          <w:b/>
          <w:color w:val="1F497D" w:themeColor="text2"/>
          <w:lang w:val="en-GB"/>
        </w:rPr>
      </w:pPr>
      <w:r w:rsidRPr="00745245">
        <w:rPr>
          <w:rFonts w:cs="Times New Roman"/>
          <w:b/>
          <w:color w:val="1F497D" w:themeColor="text2"/>
          <w:lang w:val="en-GB"/>
        </w:rPr>
        <w:t xml:space="preserve">Language </w:t>
      </w:r>
    </w:p>
    <w:p w14:paraId="2C2D7091" w14:textId="77777777" w:rsidR="00317004" w:rsidRPr="00745245" w:rsidRDefault="00317004" w:rsidP="00745245">
      <w:pPr>
        <w:spacing w:after="0" w:line="260" w:lineRule="exact"/>
        <w:jc w:val="center"/>
        <w:outlineLvl w:val="1"/>
        <w:rPr>
          <w:rFonts w:cs="Times New Roman"/>
          <w:b/>
          <w:color w:val="1F497D" w:themeColor="text2"/>
          <w:lang w:val="en-GB"/>
        </w:rPr>
      </w:pPr>
    </w:p>
    <w:p w14:paraId="70BC3E7B" w14:textId="5A3D6315" w:rsidR="00317004" w:rsidRDefault="00745245" w:rsidP="00317004">
      <w:pPr>
        <w:pStyle w:val="ListParagraph"/>
        <w:numPr>
          <w:ilvl w:val="0"/>
          <w:numId w:val="15"/>
        </w:numPr>
        <w:ind w:left="426" w:hanging="426"/>
        <w:rPr>
          <w:rFonts w:cs="Times New Roman"/>
          <w:b/>
          <w:color w:val="1F497D" w:themeColor="text2"/>
          <w:lang w:val="en-GB"/>
        </w:rPr>
      </w:pPr>
      <w:r w:rsidRPr="00D51338">
        <w:rPr>
          <w:lang w:val="en-GB"/>
        </w:rPr>
        <w:t xml:space="preserve">The reference language for this </w:t>
      </w:r>
      <w:bookmarkStart w:id="17" w:name="_Hlk82599447"/>
      <w:r w:rsidR="00AE45B5">
        <w:rPr>
          <w:lang w:val="en-GB"/>
        </w:rPr>
        <w:t xml:space="preserve">Baltic Specific Annex </w:t>
      </w:r>
      <w:r w:rsidR="00317004">
        <w:rPr>
          <w:lang w:val="en-GB"/>
        </w:rPr>
        <w:t>to the HAR</w:t>
      </w:r>
      <w:r w:rsidRPr="009C0D3C">
        <w:rPr>
          <w:lang w:val="en-GB"/>
        </w:rPr>
        <w:t xml:space="preserve"> </w:t>
      </w:r>
      <w:bookmarkEnd w:id="17"/>
      <w:r w:rsidRPr="009C0D3C">
        <w:rPr>
          <w:lang w:val="en-GB"/>
        </w:rPr>
        <w:t xml:space="preserve">shall be English. For the </w:t>
      </w:r>
      <w:r w:rsidRPr="00317004">
        <w:rPr>
          <w:lang w:val="en-GB"/>
        </w:rPr>
        <w:t xml:space="preserve">avoidance of doubt, where TSOs needs to translate this </w:t>
      </w:r>
      <w:r w:rsidR="000E1D23">
        <w:rPr>
          <w:lang w:val="en-GB"/>
        </w:rPr>
        <w:t>Baltic Specific Annex</w:t>
      </w:r>
      <w:r w:rsidR="000E1D23" w:rsidRPr="00317004">
        <w:rPr>
          <w:lang w:val="en-GB"/>
        </w:rPr>
        <w:t xml:space="preserve"> </w:t>
      </w:r>
      <w:r w:rsidRPr="00317004">
        <w:rPr>
          <w:lang w:val="en-GB"/>
        </w:rPr>
        <w:t xml:space="preserve">into national language(s), in the event of inconsistencies between the English version published by TSOs in </w:t>
      </w:r>
      <w:r w:rsidR="0052675A">
        <w:rPr>
          <w:lang w:val="en-GB"/>
        </w:rPr>
        <w:t>Baltic CCR</w:t>
      </w:r>
      <w:r w:rsidRPr="00317004">
        <w:rPr>
          <w:lang w:val="en-GB"/>
        </w:rPr>
        <w:t xml:space="preserve"> in a</w:t>
      </w:r>
      <w:r w:rsidRPr="00317004">
        <w:rPr>
          <w:rFonts w:cs="Times New Roman"/>
          <w:lang w:val="en-GB"/>
        </w:rPr>
        <w:t>ccordance with</w:t>
      </w:r>
      <w:r w:rsidRPr="00317004">
        <w:rPr>
          <w:rFonts w:cs="Times New Roman"/>
          <w:b/>
          <w:bCs/>
          <w:lang w:val="en-GB"/>
        </w:rPr>
        <w:t xml:space="preserve"> </w:t>
      </w:r>
      <w:r w:rsidRPr="00317004">
        <w:rPr>
          <w:lang w:val="en-GB"/>
        </w:rPr>
        <w:t xml:space="preserve">Article 4(13) of the FCA Regulation and any version in another language the relevant TSOs shall, in accordance with national legislation, provide the relevant national </w:t>
      </w:r>
      <w:r w:rsidRPr="00317004">
        <w:rPr>
          <w:rFonts w:cs="Times New Roman"/>
          <w:lang w:val="en-GB"/>
        </w:rPr>
        <w:t xml:space="preserve">regulatory authority with an updated translation of </w:t>
      </w:r>
      <w:r w:rsidR="000E1D23">
        <w:rPr>
          <w:rFonts w:cs="Times New Roman"/>
          <w:lang w:val="en-GB"/>
        </w:rPr>
        <w:t>t</w:t>
      </w:r>
      <w:r w:rsidR="00BF5299">
        <w:rPr>
          <w:rFonts w:cs="Times New Roman"/>
          <w:lang w:val="en-GB"/>
        </w:rPr>
        <w:t>his Baltic Specific</w:t>
      </w:r>
      <w:r w:rsidR="00317004" w:rsidRPr="00317004">
        <w:rPr>
          <w:rFonts w:cs="Times New Roman"/>
          <w:lang w:val="en-GB"/>
        </w:rPr>
        <w:t xml:space="preserve"> </w:t>
      </w:r>
      <w:r w:rsidR="00BF5299">
        <w:rPr>
          <w:rFonts w:cs="Times New Roman"/>
          <w:lang w:val="en-GB"/>
        </w:rPr>
        <w:t>A</w:t>
      </w:r>
      <w:r w:rsidR="00BF5299" w:rsidRPr="00317004">
        <w:rPr>
          <w:rFonts w:cs="Times New Roman"/>
          <w:lang w:val="en-GB"/>
        </w:rPr>
        <w:t xml:space="preserve">nnex </w:t>
      </w:r>
      <w:r w:rsidR="00BF5299">
        <w:rPr>
          <w:rFonts w:cs="Times New Roman"/>
          <w:lang w:val="en-GB"/>
        </w:rPr>
        <w:t>to</w:t>
      </w:r>
      <w:r w:rsidR="00BF5299" w:rsidRPr="00317004">
        <w:rPr>
          <w:rFonts w:cs="Times New Roman"/>
          <w:lang w:val="en-GB"/>
        </w:rPr>
        <w:t xml:space="preserve"> </w:t>
      </w:r>
      <w:r w:rsidR="00317004" w:rsidRPr="00317004">
        <w:rPr>
          <w:rFonts w:cs="Times New Roman"/>
          <w:lang w:val="en-GB"/>
        </w:rPr>
        <w:t>the HAR</w:t>
      </w:r>
      <w:r w:rsidRPr="00317004">
        <w:rPr>
          <w:rFonts w:cs="Times New Roman"/>
          <w:lang w:val="en-GB"/>
        </w:rPr>
        <w:t>.</w:t>
      </w:r>
    </w:p>
    <w:p w14:paraId="58E0D020" w14:textId="283F1440" w:rsidR="00317004" w:rsidRPr="00317004" w:rsidRDefault="00317004" w:rsidP="00317004">
      <w:pPr>
        <w:spacing w:after="0"/>
        <w:jc w:val="center"/>
        <w:rPr>
          <w:b/>
          <w:bCs/>
          <w:color w:val="1F497D" w:themeColor="text2"/>
        </w:rPr>
      </w:pPr>
      <w:r w:rsidRPr="00317004">
        <w:rPr>
          <w:b/>
          <w:bCs/>
          <w:color w:val="1F497D" w:themeColor="text2"/>
        </w:rPr>
        <w:t xml:space="preserve">Article </w:t>
      </w:r>
      <w:r>
        <w:rPr>
          <w:b/>
          <w:bCs/>
          <w:color w:val="1F497D" w:themeColor="text2"/>
        </w:rPr>
        <w:t>4</w:t>
      </w:r>
    </w:p>
    <w:p w14:paraId="0163A48B" w14:textId="5C016AC3" w:rsidR="00317004" w:rsidRDefault="00317004" w:rsidP="00317004">
      <w:pPr>
        <w:spacing w:after="0"/>
        <w:jc w:val="center"/>
        <w:rPr>
          <w:b/>
          <w:bCs/>
          <w:color w:val="1F497D" w:themeColor="text2"/>
        </w:rPr>
      </w:pPr>
      <w:r w:rsidRPr="00317004">
        <w:rPr>
          <w:b/>
          <w:bCs/>
          <w:color w:val="1F497D" w:themeColor="text2"/>
        </w:rPr>
        <w:t>Bidding zone borders where cap</w:t>
      </w:r>
      <w:r w:rsidR="00DD279B">
        <w:rPr>
          <w:b/>
          <w:bCs/>
          <w:color w:val="1F497D" w:themeColor="text2"/>
        </w:rPr>
        <w:t xml:space="preserve"> on compensation</w:t>
      </w:r>
      <w:r w:rsidRPr="00317004">
        <w:rPr>
          <w:b/>
          <w:bCs/>
          <w:color w:val="1F497D" w:themeColor="text2"/>
        </w:rPr>
        <w:t xml:space="preserve"> is applicable</w:t>
      </w:r>
    </w:p>
    <w:p w14:paraId="097645E8" w14:textId="77777777" w:rsidR="000C027E" w:rsidRPr="00317004" w:rsidRDefault="000C027E" w:rsidP="00317004">
      <w:pPr>
        <w:spacing w:after="0"/>
        <w:jc w:val="center"/>
        <w:rPr>
          <w:b/>
          <w:bCs/>
          <w:color w:val="1F497D" w:themeColor="text2"/>
        </w:rPr>
      </w:pPr>
    </w:p>
    <w:p w14:paraId="4B587D46" w14:textId="4CB48890" w:rsidR="00317004" w:rsidRDefault="00317004" w:rsidP="000C027E">
      <w:pPr>
        <w:pStyle w:val="ListParagraph"/>
        <w:numPr>
          <w:ilvl w:val="0"/>
          <w:numId w:val="18"/>
        </w:numPr>
        <w:spacing w:after="0" w:line="260" w:lineRule="exact"/>
        <w:ind w:left="426" w:hanging="426"/>
        <w:outlineLvl w:val="1"/>
      </w:pPr>
      <w:r>
        <w:t xml:space="preserve">For the purposes of this </w:t>
      </w:r>
      <w:r w:rsidR="0052675A">
        <w:t xml:space="preserve">Baltic </w:t>
      </w:r>
      <w:r w:rsidR="005778B4">
        <w:t>S</w:t>
      </w:r>
      <w:r w:rsidR="005778B4" w:rsidRPr="00046B76">
        <w:t xml:space="preserve">pecific </w:t>
      </w:r>
      <w:r w:rsidR="005778B4">
        <w:t>A</w:t>
      </w:r>
      <w:r w:rsidR="005778B4" w:rsidRPr="00046B76">
        <w:t xml:space="preserve">nnex </w:t>
      </w:r>
      <w:r w:rsidR="00046B76" w:rsidRPr="00046B76">
        <w:t xml:space="preserve">to </w:t>
      </w:r>
      <w:r>
        <w:t xml:space="preserve">the HAR, a cap on compensation shall only apply to the bidding zone borders listed in </w:t>
      </w:r>
      <w:r w:rsidR="00AE5545">
        <w:t>this</w:t>
      </w:r>
      <w:r>
        <w:t xml:space="preserve"> Article. </w:t>
      </w:r>
    </w:p>
    <w:p w14:paraId="6BD4D8D2" w14:textId="77777777" w:rsidR="000C027E" w:rsidRDefault="000C027E" w:rsidP="000C027E">
      <w:pPr>
        <w:pStyle w:val="ListParagraph"/>
        <w:spacing w:after="0" w:line="260" w:lineRule="exact"/>
        <w:ind w:left="426" w:hanging="426"/>
        <w:outlineLvl w:val="1"/>
      </w:pPr>
    </w:p>
    <w:p w14:paraId="7B6F2311" w14:textId="4E8533E4" w:rsidR="008A5CBF" w:rsidRPr="00317004" w:rsidRDefault="00317004" w:rsidP="000C027E">
      <w:pPr>
        <w:pStyle w:val="ListParagraph"/>
        <w:numPr>
          <w:ilvl w:val="0"/>
          <w:numId w:val="18"/>
        </w:numPr>
        <w:spacing w:after="0" w:line="260" w:lineRule="exact"/>
        <w:ind w:left="426" w:hanging="426"/>
        <w:outlineLvl w:val="1"/>
      </w:pPr>
      <w:r>
        <w:t xml:space="preserve">A cap on compensation shall be applicable to the FI-EE </w:t>
      </w:r>
      <w:r w:rsidR="00BA39DE">
        <w:t xml:space="preserve">bidding zone </w:t>
      </w:r>
      <w:r>
        <w:t>border in accordance with Article 59(3) of the HAR</w:t>
      </w:r>
      <w:bookmarkEnd w:id="14"/>
      <w:bookmarkEnd w:id="15"/>
      <w:bookmarkEnd w:id="16"/>
      <w:r>
        <w:t>.</w:t>
      </w:r>
    </w:p>
    <w:sectPr w:rsidR="008A5CBF" w:rsidRPr="00317004" w:rsidSect="00DE2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24A4" w14:textId="77777777" w:rsidR="004B3D8E" w:rsidRDefault="004B3D8E" w:rsidP="001E1565">
      <w:pPr>
        <w:spacing w:after="0" w:line="240" w:lineRule="auto"/>
      </w:pPr>
      <w:r>
        <w:separator/>
      </w:r>
    </w:p>
  </w:endnote>
  <w:endnote w:type="continuationSeparator" w:id="0">
    <w:p w14:paraId="418D6BD9" w14:textId="77777777" w:rsidR="004B3D8E" w:rsidRDefault="004B3D8E" w:rsidP="001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68E7" w14:textId="77777777" w:rsidR="00983CD0" w:rsidRDefault="00983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220932"/>
      <w:docPartObj>
        <w:docPartGallery w:val="Page Numbers (Bottom of Page)"/>
        <w:docPartUnique/>
      </w:docPartObj>
    </w:sdtPr>
    <w:sdtEndPr/>
    <w:sdtContent>
      <w:p w14:paraId="0F101589" w14:textId="349D3C6D" w:rsidR="00553A98" w:rsidRDefault="00553A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AC" w:rsidRPr="00814FAC">
          <w:rPr>
            <w:noProof/>
            <w:lang w:val="et-EE"/>
          </w:rPr>
          <w:t>2</w:t>
        </w:r>
        <w:r>
          <w:fldChar w:fldCharType="end"/>
        </w:r>
      </w:p>
    </w:sdtContent>
  </w:sdt>
  <w:p w14:paraId="7716DA5E" w14:textId="77777777" w:rsidR="00553A98" w:rsidRDefault="00553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9FDD" w14:textId="77777777" w:rsidR="00983CD0" w:rsidRDefault="00983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6292" w14:textId="77777777" w:rsidR="004B3D8E" w:rsidRDefault="004B3D8E" w:rsidP="001E1565">
      <w:pPr>
        <w:spacing w:after="0" w:line="240" w:lineRule="auto"/>
      </w:pPr>
      <w:r>
        <w:separator/>
      </w:r>
    </w:p>
  </w:footnote>
  <w:footnote w:type="continuationSeparator" w:id="0">
    <w:p w14:paraId="0AD150B8" w14:textId="77777777" w:rsidR="004B3D8E" w:rsidRDefault="004B3D8E" w:rsidP="001E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ED37" w14:textId="77777777" w:rsidR="00983CD0" w:rsidRDefault="00983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5B88" w14:textId="77777777" w:rsidR="00983CD0" w:rsidRDefault="00983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F4D8" w14:textId="5CB1996D" w:rsidR="00983CD0" w:rsidRDefault="00983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33F"/>
    <w:multiLevelType w:val="hybridMultilevel"/>
    <w:tmpl w:val="567C2FE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E6317"/>
    <w:multiLevelType w:val="hybridMultilevel"/>
    <w:tmpl w:val="DFA8E9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6098"/>
    <w:multiLevelType w:val="hybridMultilevel"/>
    <w:tmpl w:val="50CAC956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6DEEA86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45FC3"/>
    <w:multiLevelType w:val="hybridMultilevel"/>
    <w:tmpl w:val="2FBCC16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A70EC"/>
    <w:multiLevelType w:val="hybridMultilevel"/>
    <w:tmpl w:val="C9C64C0E"/>
    <w:lvl w:ilvl="0" w:tplc="699CDD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532"/>
    <w:multiLevelType w:val="hybridMultilevel"/>
    <w:tmpl w:val="384ABEFC"/>
    <w:lvl w:ilvl="0" w:tplc="8A8A5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C60BA"/>
    <w:multiLevelType w:val="hybridMultilevel"/>
    <w:tmpl w:val="1CE49B68"/>
    <w:lvl w:ilvl="0" w:tplc="786A1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108"/>
    <w:multiLevelType w:val="hybridMultilevel"/>
    <w:tmpl w:val="690A15B4"/>
    <w:lvl w:ilvl="0" w:tplc="12048B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5714E"/>
    <w:multiLevelType w:val="hybridMultilevel"/>
    <w:tmpl w:val="C7C43346"/>
    <w:lvl w:ilvl="0" w:tplc="41D0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E2984"/>
    <w:multiLevelType w:val="hybridMultilevel"/>
    <w:tmpl w:val="B0AA08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32"/>
    <w:multiLevelType w:val="hybridMultilevel"/>
    <w:tmpl w:val="68D053A0"/>
    <w:lvl w:ilvl="0" w:tplc="9ED6F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C6B00"/>
    <w:multiLevelType w:val="hybridMultilevel"/>
    <w:tmpl w:val="418A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E684D"/>
    <w:multiLevelType w:val="hybridMultilevel"/>
    <w:tmpl w:val="22F0A1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1657"/>
    <w:multiLevelType w:val="hybridMultilevel"/>
    <w:tmpl w:val="652E0D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0CDD"/>
    <w:multiLevelType w:val="hybridMultilevel"/>
    <w:tmpl w:val="635A04A4"/>
    <w:lvl w:ilvl="0" w:tplc="DD721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166F"/>
    <w:multiLevelType w:val="hybridMultilevel"/>
    <w:tmpl w:val="CDCA5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9F6D90"/>
    <w:multiLevelType w:val="hybridMultilevel"/>
    <w:tmpl w:val="6268AE64"/>
    <w:lvl w:ilvl="0" w:tplc="E99CA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E5725"/>
    <w:multiLevelType w:val="hybridMultilevel"/>
    <w:tmpl w:val="CDCA5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77AE9"/>
    <w:multiLevelType w:val="hybridMultilevel"/>
    <w:tmpl w:val="F5FA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A3"/>
    <w:rsid w:val="00000476"/>
    <w:rsid w:val="00006BB0"/>
    <w:rsid w:val="00017308"/>
    <w:rsid w:val="000415B4"/>
    <w:rsid w:val="00041F9F"/>
    <w:rsid w:val="00043171"/>
    <w:rsid w:val="00043673"/>
    <w:rsid w:val="00043A1F"/>
    <w:rsid w:val="0004463D"/>
    <w:rsid w:val="00046B76"/>
    <w:rsid w:val="00056557"/>
    <w:rsid w:val="00061B48"/>
    <w:rsid w:val="00062F68"/>
    <w:rsid w:val="00064987"/>
    <w:rsid w:val="00070D7E"/>
    <w:rsid w:val="000715A7"/>
    <w:rsid w:val="00082486"/>
    <w:rsid w:val="00082673"/>
    <w:rsid w:val="000866EA"/>
    <w:rsid w:val="00094844"/>
    <w:rsid w:val="000B4CEA"/>
    <w:rsid w:val="000B75AD"/>
    <w:rsid w:val="000C027E"/>
    <w:rsid w:val="000D46B2"/>
    <w:rsid w:val="000D5B7E"/>
    <w:rsid w:val="000E14A4"/>
    <w:rsid w:val="000E182F"/>
    <w:rsid w:val="000E1D23"/>
    <w:rsid w:val="000E7B84"/>
    <w:rsid w:val="000F3C37"/>
    <w:rsid w:val="000F573C"/>
    <w:rsid w:val="000F5D95"/>
    <w:rsid w:val="000F7380"/>
    <w:rsid w:val="00106E49"/>
    <w:rsid w:val="0013018A"/>
    <w:rsid w:val="00132CCC"/>
    <w:rsid w:val="00133449"/>
    <w:rsid w:val="00136097"/>
    <w:rsid w:val="00145DF9"/>
    <w:rsid w:val="00157B21"/>
    <w:rsid w:val="001619A3"/>
    <w:rsid w:val="00163741"/>
    <w:rsid w:val="00174513"/>
    <w:rsid w:val="001A2535"/>
    <w:rsid w:val="001B2A5C"/>
    <w:rsid w:val="001C74B7"/>
    <w:rsid w:val="001D4352"/>
    <w:rsid w:val="001E1565"/>
    <w:rsid w:val="001E6155"/>
    <w:rsid w:val="0020366A"/>
    <w:rsid w:val="00215D7B"/>
    <w:rsid w:val="00222DE0"/>
    <w:rsid w:val="00223B30"/>
    <w:rsid w:val="00237023"/>
    <w:rsid w:val="00251D01"/>
    <w:rsid w:val="00256D80"/>
    <w:rsid w:val="00260496"/>
    <w:rsid w:val="0026605D"/>
    <w:rsid w:val="0026710F"/>
    <w:rsid w:val="0027497F"/>
    <w:rsid w:val="002763E3"/>
    <w:rsid w:val="002771F5"/>
    <w:rsid w:val="00286B1D"/>
    <w:rsid w:val="002910B7"/>
    <w:rsid w:val="00296430"/>
    <w:rsid w:val="00296FD6"/>
    <w:rsid w:val="002A5EDD"/>
    <w:rsid w:val="002B3413"/>
    <w:rsid w:val="002C2D00"/>
    <w:rsid w:val="002C528C"/>
    <w:rsid w:val="002C7389"/>
    <w:rsid w:val="002D3C43"/>
    <w:rsid w:val="002D4B78"/>
    <w:rsid w:val="002D5A03"/>
    <w:rsid w:val="002E1CDC"/>
    <w:rsid w:val="002E41CE"/>
    <w:rsid w:val="002E7741"/>
    <w:rsid w:val="002F048C"/>
    <w:rsid w:val="002F4917"/>
    <w:rsid w:val="003167D5"/>
    <w:rsid w:val="00317004"/>
    <w:rsid w:val="00322E32"/>
    <w:rsid w:val="003246A3"/>
    <w:rsid w:val="0032535D"/>
    <w:rsid w:val="00334EF6"/>
    <w:rsid w:val="0033770C"/>
    <w:rsid w:val="00354E70"/>
    <w:rsid w:val="0038284D"/>
    <w:rsid w:val="003831F7"/>
    <w:rsid w:val="0039045A"/>
    <w:rsid w:val="00392136"/>
    <w:rsid w:val="003A1109"/>
    <w:rsid w:val="003A5846"/>
    <w:rsid w:val="003A5D21"/>
    <w:rsid w:val="003A6949"/>
    <w:rsid w:val="003B071E"/>
    <w:rsid w:val="003D3EB1"/>
    <w:rsid w:val="003D52DD"/>
    <w:rsid w:val="003E0ACD"/>
    <w:rsid w:val="003E3CEB"/>
    <w:rsid w:val="003F6E5C"/>
    <w:rsid w:val="00405B66"/>
    <w:rsid w:val="0041783D"/>
    <w:rsid w:val="004222D8"/>
    <w:rsid w:val="004227DA"/>
    <w:rsid w:val="004267E3"/>
    <w:rsid w:val="00432F26"/>
    <w:rsid w:val="00440110"/>
    <w:rsid w:val="0044151A"/>
    <w:rsid w:val="00460D7C"/>
    <w:rsid w:val="00474C81"/>
    <w:rsid w:val="00476E0E"/>
    <w:rsid w:val="004929F2"/>
    <w:rsid w:val="004A00CD"/>
    <w:rsid w:val="004A1054"/>
    <w:rsid w:val="004A1896"/>
    <w:rsid w:val="004A396F"/>
    <w:rsid w:val="004A51CC"/>
    <w:rsid w:val="004B1A79"/>
    <w:rsid w:val="004B3D8E"/>
    <w:rsid w:val="004C05A9"/>
    <w:rsid w:val="004D14FF"/>
    <w:rsid w:val="004F1FD7"/>
    <w:rsid w:val="00501262"/>
    <w:rsid w:val="00503EB7"/>
    <w:rsid w:val="0052675A"/>
    <w:rsid w:val="00526B2E"/>
    <w:rsid w:val="0053128F"/>
    <w:rsid w:val="00533C84"/>
    <w:rsid w:val="00542B48"/>
    <w:rsid w:val="00553980"/>
    <w:rsid w:val="00553A98"/>
    <w:rsid w:val="00555F6F"/>
    <w:rsid w:val="005766AC"/>
    <w:rsid w:val="0057705A"/>
    <w:rsid w:val="005778B4"/>
    <w:rsid w:val="00582B63"/>
    <w:rsid w:val="00590DF4"/>
    <w:rsid w:val="005C2434"/>
    <w:rsid w:val="005C43B1"/>
    <w:rsid w:val="005C7405"/>
    <w:rsid w:val="005D467D"/>
    <w:rsid w:val="005D72BA"/>
    <w:rsid w:val="005E31D3"/>
    <w:rsid w:val="005E47E5"/>
    <w:rsid w:val="005E4B1A"/>
    <w:rsid w:val="005E703A"/>
    <w:rsid w:val="005E70F5"/>
    <w:rsid w:val="005F268D"/>
    <w:rsid w:val="00600801"/>
    <w:rsid w:val="00620116"/>
    <w:rsid w:val="00630081"/>
    <w:rsid w:val="00630EDC"/>
    <w:rsid w:val="00631317"/>
    <w:rsid w:val="00635AB4"/>
    <w:rsid w:val="006521C7"/>
    <w:rsid w:val="00655C9E"/>
    <w:rsid w:val="00671F83"/>
    <w:rsid w:val="00677933"/>
    <w:rsid w:val="00695460"/>
    <w:rsid w:val="006A2D92"/>
    <w:rsid w:val="006A5F4D"/>
    <w:rsid w:val="006C3360"/>
    <w:rsid w:val="006D2286"/>
    <w:rsid w:val="007445D3"/>
    <w:rsid w:val="00745245"/>
    <w:rsid w:val="007653D6"/>
    <w:rsid w:val="00771642"/>
    <w:rsid w:val="00773DF1"/>
    <w:rsid w:val="00781906"/>
    <w:rsid w:val="00784BA6"/>
    <w:rsid w:val="00790F51"/>
    <w:rsid w:val="007B60C7"/>
    <w:rsid w:val="007C04D5"/>
    <w:rsid w:val="007C1234"/>
    <w:rsid w:val="007D0CBA"/>
    <w:rsid w:val="007D26F8"/>
    <w:rsid w:val="007F0E8B"/>
    <w:rsid w:val="00814FAC"/>
    <w:rsid w:val="00841B8E"/>
    <w:rsid w:val="0084292A"/>
    <w:rsid w:val="008541DA"/>
    <w:rsid w:val="008544C3"/>
    <w:rsid w:val="00861CD4"/>
    <w:rsid w:val="00863D31"/>
    <w:rsid w:val="008645FD"/>
    <w:rsid w:val="008850F7"/>
    <w:rsid w:val="008873CE"/>
    <w:rsid w:val="0089630A"/>
    <w:rsid w:val="008A5CBF"/>
    <w:rsid w:val="008A7BE8"/>
    <w:rsid w:val="008C51AE"/>
    <w:rsid w:val="008C7710"/>
    <w:rsid w:val="008D1500"/>
    <w:rsid w:val="008D4664"/>
    <w:rsid w:val="008E7989"/>
    <w:rsid w:val="008E7A28"/>
    <w:rsid w:val="00903DED"/>
    <w:rsid w:val="009175F7"/>
    <w:rsid w:val="0094270D"/>
    <w:rsid w:val="00950418"/>
    <w:rsid w:val="00954CA5"/>
    <w:rsid w:val="009564BB"/>
    <w:rsid w:val="0096158B"/>
    <w:rsid w:val="009631FA"/>
    <w:rsid w:val="009729C0"/>
    <w:rsid w:val="009811D4"/>
    <w:rsid w:val="00983CD0"/>
    <w:rsid w:val="009A1352"/>
    <w:rsid w:val="009B14F5"/>
    <w:rsid w:val="009B77C2"/>
    <w:rsid w:val="009C0D3C"/>
    <w:rsid w:val="009D1493"/>
    <w:rsid w:val="009E0441"/>
    <w:rsid w:val="009E0770"/>
    <w:rsid w:val="009E5B47"/>
    <w:rsid w:val="009E794B"/>
    <w:rsid w:val="00A2039C"/>
    <w:rsid w:val="00A20490"/>
    <w:rsid w:val="00A40D96"/>
    <w:rsid w:val="00A423FB"/>
    <w:rsid w:val="00A45A60"/>
    <w:rsid w:val="00A54E7B"/>
    <w:rsid w:val="00A569EE"/>
    <w:rsid w:val="00A75E59"/>
    <w:rsid w:val="00A77299"/>
    <w:rsid w:val="00A8035C"/>
    <w:rsid w:val="00A925B6"/>
    <w:rsid w:val="00AA35B7"/>
    <w:rsid w:val="00AB4FCA"/>
    <w:rsid w:val="00AC2775"/>
    <w:rsid w:val="00AC2E76"/>
    <w:rsid w:val="00AD15AF"/>
    <w:rsid w:val="00AD779D"/>
    <w:rsid w:val="00AE45B5"/>
    <w:rsid w:val="00AE5545"/>
    <w:rsid w:val="00AF12EA"/>
    <w:rsid w:val="00AF3F86"/>
    <w:rsid w:val="00AF6170"/>
    <w:rsid w:val="00B11F13"/>
    <w:rsid w:val="00B1749E"/>
    <w:rsid w:val="00B22522"/>
    <w:rsid w:val="00B22741"/>
    <w:rsid w:val="00B22BD7"/>
    <w:rsid w:val="00B31ED6"/>
    <w:rsid w:val="00B32E80"/>
    <w:rsid w:val="00B45CB0"/>
    <w:rsid w:val="00B51EB4"/>
    <w:rsid w:val="00B75829"/>
    <w:rsid w:val="00B772E5"/>
    <w:rsid w:val="00B8424F"/>
    <w:rsid w:val="00B84AD3"/>
    <w:rsid w:val="00B94C3F"/>
    <w:rsid w:val="00B9682D"/>
    <w:rsid w:val="00BA39DE"/>
    <w:rsid w:val="00BA6E91"/>
    <w:rsid w:val="00BB1F84"/>
    <w:rsid w:val="00BB2629"/>
    <w:rsid w:val="00BB357C"/>
    <w:rsid w:val="00BB4CC7"/>
    <w:rsid w:val="00BB62B3"/>
    <w:rsid w:val="00BC0169"/>
    <w:rsid w:val="00BC327C"/>
    <w:rsid w:val="00BC5FF2"/>
    <w:rsid w:val="00BF5299"/>
    <w:rsid w:val="00BF5543"/>
    <w:rsid w:val="00BF5AAA"/>
    <w:rsid w:val="00C13EB0"/>
    <w:rsid w:val="00C31485"/>
    <w:rsid w:val="00C425A2"/>
    <w:rsid w:val="00C4462C"/>
    <w:rsid w:val="00C64010"/>
    <w:rsid w:val="00C84EF5"/>
    <w:rsid w:val="00C9073A"/>
    <w:rsid w:val="00C9205A"/>
    <w:rsid w:val="00C92231"/>
    <w:rsid w:val="00C9274E"/>
    <w:rsid w:val="00C94ABF"/>
    <w:rsid w:val="00C94F15"/>
    <w:rsid w:val="00C961B1"/>
    <w:rsid w:val="00CB1AA1"/>
    <w:rsid w:val="00CD1F3C"/>
    <w:rsid w:val="00CD6B16"/>
    <w:rsid w:val="00CE3102"/>
    <w:rsid w:val="00CE5FD3"/>
    <w:rsid w:val="00CE62A9"/>
    <w:rsid w:val="00CE6D0C"/>
    <w:rsid w:val="00CE73AC"/>
    <w:rsid w:val="00CF22C6"/>
    <w:rsid w:val="00D00D9B"/>
    <w:rsid w:val="00D12140"/>
    <w:rsid w:val="00D2447A"/>
    <w:rsid w:val="00D34690"/>
    <w:rsid w:val="00D40612"/>
    <w:rsid w:val="00D46899"/>
    <w:rsid w:val="00D51338"/>
    <w:rsid w:val="00D76F8D"/>
    <w:rsid w:val="00D83B2B"/>
    <w:rsid w:val="00D871C5"/>
    <w:rsid w:val="00DA6B8F"/>
    <w:rsid w:val="00DB2BD6"/>
    <w:rsid w:val="00DB6B5B"/>
    <w:rsid w:val="00DC720B"/>
    <w:rsid w:val="00DD279B"/>
    <w:rsid w:val="00DD644D"/>
    <w:rsid w:val="00DE240C"/>
    <w:rsid w:val="00DE7C91"/>
    <w:rsid w:val="00E1700A"/>
    <w:rsid w:val="00E22401"/>
    <w:rsid w:val="00E3255D"/>
    <w:rsid w:val="00E33872"/>
    <w:rsid w:val="00E52C9C"/>
    <w:rsid w:val="00E56EC6"/>
    <w:rsid w:val="00E62BBE"/>
    <w:rsid w:val="00E7385B"/>
    <w:rsid w:val="00E77323"/>
    <w:rsid w:val="00E90DA8"/>
    <w:rsid w:val="00E916B0"/>
    <w:rsid w:val="00E96F47"/>
    <w:rsid w:val="00EB0D14"/>
    <w:rsid w:val="00EF1FC1"/>
    <w:rsid w:val="00EF52B9"/>
    <w:rsid w:val="00EF77AF"/>
    <w:rsid w:val="00F07047"/>
    <w:rsid w:val="00F07C46"/>
    <w:rsid w:val="00F136EA"/>
    <w:rsid w:val="00F2178D"/>
    <w:rsid w:val="00F2601A"/>
    <w:rsid w:val="00F336D3"/>
    <w:rsid w:val="00F52CF7"/>
    <w:rsid w:val="00F66E4D"/>
    <w:rsid w:val="00F8109B"/>
    <w:rsid w:val="00F90D8D"/>
    <w:rsid w:val="00FB069C"/>
    <w:rsid w:val="00FC7D46"/>
    <w:rsid w:val="00FD0DEB"/>
    <w:rsid w:val="00FD4506"/>
    <w:rsid w:val="00FE5DD2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B1497"/>
  <w15:docId w15:val="{82CF6509-CD45-4102-9770-743A5933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245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1D4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t-E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DD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DE7C91"/>
    <w:pPr>
      <w:tabs>
        <w:tab w:val="right" w:leader="dot" w:pos="9060"/>
      </w:tabs>
      <w:spacing w:after="100"/>
      <w:ind w:left="284"/>
    </w:pPr>
  </w:style>
  <w:style w:type="paragraph" w:styleId="TOC1">
    <w:name w:val="toc 1"/>
    <w:basedOn w:val="Normal"/>
    <w:next w:val="Normal"/>
    <w:autoRedefine/>
    <w:uiPriority w:val="39"/>
    <w:unhideWhenUsed/>
    <w:rsid w:val="00DE7C91"/>
    <w:pPr>
      <w:tabs>
        <w:tab w:val="right" w:leader="dot" w:pos="906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3D52DD"/>
    <w:rPr>
      <w:color w:val="0000FF" w:themeColor="hyperlink"/>
      <w:u w:val="single"/>
    </w:rPr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B94C3F"/>
    <w:pPr>
      <w:ind w:left="720"/>
      <w:contextualSpacing/>
    </w:pPr>
  </w:style>
  <w:style w:type="character" w:styleId="CommentReference">
    <w:name w:val="annotation reference"/>
    <w:aliases w:val="Stinking Styles6,Marque de commentaire1"/>
    <w:basedOn w:val="DefaultParagraphFont"/>
    <w:uiPriority w:val="99"/>
    <w:unhideWhenUsed/>
    <w:rsid w:val="003E3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E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5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5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5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3C"/>
  </w:style>
  <w:style w:type="paragraph" w:styleId="Footer">
    <w:name w:val="footer"/>
    <w:basedOn w:val="Normal"/>
    <w:link w:val="FooterChar"/>
    <w:uiPriority w:val="99"/>
    <w:unhideWhenUsed/>
    <w:rsid w:val="00CD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3C"/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215D7B"/>
  </w:style>
  <w:style w:type="paragraph" w:styleId="Revision">
    <w:name w:val="Revision"/>
    <w:hidden/>
    <w:uiPriority w:val="99"/>
    <w:semiHidden/>
    <w:rsid w:val="00215D7B"/>
    <w:pPr>
      <w:spacing w:after="0" w:line="240" w:lineRule="auto"/>
    </w:pPr>
  </w:style>
  <w:style w:type="table" w:styleId="TableGrid">
    <w:name w:val="Table Grid"/>
    <w:basedOn w:val="TableNormal"/>
    <w:uiPriority w:val="39"/>
    <w:rsid w:val="008A5CBF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4C0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331C-F62D-4D81-9864-8CAE3F18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5142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Latvenergo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 Noor</dc:creator>
  <cp:lastModifiedBy>Airi Noor</cp:lastModifiedBy>
  <cp:revision>3</cp:revision>
  <cp:lastPrinted>2017-10-23T13:46:00Z</cp:lastPrinted>
  <dcterms:created xsi:type="dcterms:W3CDTF">2022-03-29T09:00:00Z</dcterms:created>
  <dcterms:modified xsi:type="dcterms:W3CDTF">2022-04-13T09:03:00Z</dcterms:modified>
</cp:coreProperties>
</file>