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8BA7" w14:textId="77777777" w:rsidR="00CA0FDE" w:rsidRPr="0041608F" w:rsidRDefault="00CA0FDE" w:rsidP="00B87E4B">
      <w:pPr>
        <w:pStyle w:val="Title"/>
        <w:rPr>
          <w:rFonts w:ascii="Arial" w:hAnsi="Arial" w:cs="Arial"/>
          <w:b/>
          <w:bCs/>
          <w:sz w:val="22"/>
          <w:szCs w:val="22"/>
          <w:lang w:val="en-GB"/>
        </w:rPr>
      </w:pPr>
    </w:p>
    <w:p w14:paraId="5245365E" w14:textId="77777777" w:rsidR="00CA0FDE" w:rsidRPr="0041608F" w:rsidRDefault="00CA0FDE" w:rsidP="00CA0FDE">
      <w:pPr>
        <w:rPr>
          <w:lang w:val="en-GB"/>
        </w:rPr>
      </w:pPr>
    </w:p>
    <w:p w14:paraId="5FFC9EF0" w14:textId="77777777" w:rsidR="00CA0FDE" w:rsidRPr="0041608F" w:rsidRDefault="00CA0FDE" w:rsidP="00CA0FDE">
      <w:pPr>
        <w:rPr>
          <w:lang w:val="en-GB"/>
        </w:rPr>
      </w:pPr>
    </w:p>
    <w:p w14:paraId="22F30F76" w14:textId="77777777" w:rsidR="00CA0FDE" w:rsidRPr="0041608F" w:rsidRDefault="00CA0FDE" w:rsidP="00CA0FDE">
      <w:pPr>
        <w:rPr>
          <w:lang w:val="en-GB"/>
        </w:rPr>
      </w:pPr>
    </w:p>
    <w:p w14:paraId="252B5F0F" w14:textId="77777777" w:rsidR="00CA0FDE" w:rsidRPr="0041608F" w:rsidRDefault="00CA0FDE" w:rsidP="00CA0FDE">
      <w:pPr>
        <w:rPr>
          <w:lang w:val="en-GB"/>
        </w:rPr>
      </w:pPr>
    </w:p>
    <w:p w14:paraId="51074F88" w14:textId="77777777" w:rsidR="00CA0FDE" w:rsidRPr="0041608F" w:rsidRDefault="00CA0FDE" w:rsidP="00CA0FDE">
      <w:pPr>
        <w:rPr>
          <w:lang w:val="en-GB"/>
        </w:rPr>
      </w:pPr>
    </w:p>
    <w:p w14:paraId="5CB1ED6B" w14:textId="77777777" w:rsidR="00AB5793" w:rsidRPr="0041608F" w:rsidRDefault="00AB5793" w:rsidP="00CA0FDE">
      <w:pPr>
        <w:rPr>
          <w:lang w:val="en-GB"/>
        </w:rPr>
      </w:pPr>
    </w:p>
    <w:p w14:paraId="606711A5" w14:textId="77777777" w:rsidR="00AB5793" w:rsidRPr="0041608F" w:rsidRDefault="00AB5793" w:rsidP="00CA0FDE">
      <w:pPr>
        <w:rPr>
          <w:lang w:val="en-GB"/>
        </w:rPr>
      </w:pPr>
    </w:p>
    <w:p w14:paraId="61D9DE5E" w14:textId="77777777" w:rsidR="00CA0FDE" w:rsidRPr="0041608F" w:rsidRDefault="00CA0FDE" w:rsidP="00F4051D">
      <w:pPr>
        <w:rPr>
          <w:lang w:val="en-GB"/>
        </w:rPr>
      </w:pPr>
    </w:p>
    <w:p w14:paraId="4EBAFC14" w14:textId="77777777" w:rsidR="00CA0FDE" w:rsidRPr="0041608F" w:rsidRDefault="00CA0FDE" w:rsidP="00B87E4B">
      <w:pPr>
        <w:pStyle w:val="Title"/>
        <w:rPr>
          <w:rFonts w:ascii="Arial" w:hAnsi="Arial" w:cs="Arial"/>
          <w:b/>
          <w:bCs/>
          <w:sz w:val="22"/>
          <w:szCs w:val="22"/>
          <w:lang w:val="en-GB"/>
        </w:rPr>
      </w:pPr>
    </w:p>
    <w:p w14:paraId="71B3B3B1" w14:textId="77777777" w:rsidR="00CA0FDE" w:rsidRPr="0041608F" w:rsidRDefault="00CA0FDE" w:rsidP="00B87E4B">
      <w:pPr>
        <w:pStyle w:val="Title"/>
        <w:rPr>
          <w:rFonts w:ascii="Arial" w:hAnsi="Arial" w:cs="Arial"/>
          <w:b/>
          <w:bCs/>
          <w:sz w:val="22"/>
          <w:szCs w:val="22"/>
          <w:lang w:val="en-GB"/>
        </w:rPr>
      </w:pPr>
    </w:p>
    <w:p w14:paraId="493C1054" w14:textId="181B7DBE" w:rsidR="00B87E4B" w:rsidRPr="0041608F" w:rsidRDefault="00B87E4B" w:rsidP="00B87E4B">
      <w:pPr>
        <w:pStyle w:val="Title"/>
        <w:rPr>
          <w:rFonts w:ascii="Arial" w:hAnsi="Arial" w:cs="Arial"/>
          <w:b/>
          <w:bCs/>
          <w:sz w:val="28"/>
          <w:szCs w:val="28"/>
          <w:lang w:val="en-GB"/>
        </w:rPr>
      </w:pPr>
      <w:r w:rsidRPr="0041608F">
        <w:rPr>
          <w:rFonts w:ascii="Arial" w:hAnsi="Arial" w:cs="Arial"/>
          <w:b/>
          <w:bCs/>
          <w:sz w:val="28"/>
          <w:szCs w:val="28"/>
          <w:lang w:val="en-GB"/>
        </w:rPr>
        <w:t>All Baltic CCR TSOs’ Common Capacity Calculation Methodology for Long-term Time Frames in Accordance with Article 10(1) of the Commission Regulation (EU) 2016/1719 of 26 September 2016 Establishing a Guideline on Forward Capacity Allocation</w:t>
      </w:r>
    </w:p>
    <w:p w14:paraId="5E6A5F66" w14:textId="77777777" w:rsidR="001B4076" w:rsidRPr="0041608F" w:rsidRDefault="001B4076">
      <w:pPr>
        <w:rPr>
          <w:sz w:val="19"/>
          <w:szCs w:val="19"/>
          <w:lang w:val="en-GB"/>
        </w:rPr>
      </w:pPr>
    </w:p>
    <w:p w14:paraId="43B92C82" w14:textId="77777777" w:rsidR="001B4076" w:rsidRPr="0041608F" w:rsidRDefault="001B4076">
      <w:pPr>
        <w:rPr>
          <w:sz w:val="19"/>
          <w:szCs w:val="19"/>
          <w:lang w:val="en-GB"/>
        </w:rPr>
      </w:pPr>
    </w:p>
    <w:p w14:paraId="77F0281D" w14:textId="77777777" w:rsidR="001B4076" w:rsidRPr="0041608F" w:rsidRDefault="001B4076">
      <w:pPr>
        <w:rPr>
          <w:sz w:val="19"/>
          <w:szCs w:val="19"/>
          <w:lang w:val="en-GB"/>
        </w:rPr>
      </w:pPr>
    </w:p>
    <w:p w14:paraId="7113F69E" w14:textId="77777777" w:rsidR="00337506" w:rsidRPr="0041608F" w:rsidRDefault="00337506">
      <w:pPr>
        <w:rPr>
          <w:sz w:val="19"/>
          <w:szCs w:val="19"/>
          <w:lang w:val="en-GB"/>
        </w:rPr>
      </w:pPr>
    </w:p>
    <w:p w14:paraId="3B8FF1BE" w14:textId="77777777" w:rsidR="00337506" w:rsidRPr="0041608F" w:rsidRDefault="00337506">
      <w:pPr>
        <w:rPr>
          <w:sz w:val="19"/>
          <w:szCs w:val="19"/>
          <w:lang w:val="en-GB"/>
        </w:rPr>
      </w:pPr>
    </w:p>
    <w:p w14:paraId="62E45049" w14:textId="77777777" w:rsidR="00337506" w:rsidRPr="0041608F" w:rsidRDefault="00337506">
      <w:pPr>
        <w:rPr>
          <w:sz w:val="19"/>
          <w:szCs w:val="19"/>
          <w:lang w:val="en-GB"/>
        </w:rPr>
      </w:pPr>
    </w:p>
    <w:p w14:paraId="61B718CA" w14:textId="77777777" w:rsidR="001B4076" w:rsidRPr="0041608F" w:rsidRDefault="001B4076">
      <w:pPr>
        <w:rPr>
          <w:sz w:val="19"/>
          <w:szCs w:val="19"/>
          <w:lang w:val="en-GB"/>
        </w:rPr>
      </w:pPr>
    </w:p>
    <w:p w14:paraId="374DED11" w14:textId="77777777" w:rsidR="00AB5793" w:rsidRPr="0041608F" w:rsidRDefault="00AB5793">
      <w:pPr>
        <w:rPr>
          <w:sz w:val="19"/>
          <w:szCs w:val="19"/>
          <w:lang w:val="en-GB"/>
        </w:rPr>
      </w:pPr>
    </w:p>
    <w:p w14:paraId="51A582E7" w14:textId="77777777" w:rsidR="001B4076" w:rsidRPr="00CC4E8D" w:rsidRDefault="001B4076" w:rsidP="00AB1DE9">
      <w:pPr>
        <w:spacing w:before="0" w:after="0"/>
        <w:rPr>
          <w:b/>
          <w:bCs/>
          <w:lang w:val="en-GB"/>
        </w:rPr>
      </w:pPr>
      <w:r w:rsidRPr="00CC4E8D">
        <w:rPr>
          <w:b/>
          <w:bCs/>
          <w:lang w:val="en-GB"/>
        </w:rPr>
        <w:t>Among:</w:t>
      </w:r>
    </w:p>
    <w:p w14:paraId="1F26558D" w14:textId="77777777" w:rsidR="00F405CA" w:rsidRPr="00CC4E8D" w:rsidRDefault="00F405CA" w:rsidP="00AB1DE9">
      <w:pPr>
        <w:spacing w:before="0" w:after="0"/>
        <w:rPr>
          <w:b/>
          <w:bCs/>
          <w:lang w:val="en-GB"/>
        </w:rPr>
      </w:pPr>
    </w:p>
    <w:p w14:paraId="559BACA9" w14:textId="77777777" w:rsidR="001B4076" w:rsidRPr="00CC4E8D" w:rsidRDefault="001B4076" w:rsidP="00AB1DE9">
      <w:pPr>
        <w:spacing w:before="0" w:after="0"/>
        <w:ind w:left="720"/>
        <w:rPr>
          <w:b/>
          <w:bCs/>
          <w:lang w:val="en-GB"/>
        </w:rPr>
      </w:pPr>
      <w:r w:rsidRPr="00CC4E8D">
        <w:rPr>
          <w:b/>
          <w:bCs/>
          <w:lang w:val="en-GB"/>
        </w:rPr>
        <w:t>AS “</w:t>
      </w:r>
      <w:proofErr w:type="spellStart"/>
      <w:r w:rsidRPr="00CC4E8D">
        <w:rPr>
          <w:b/>
          <w:bCs/>
          <w:lang w:val="en-GB"/>
        </w:rPr>
        <w:t>Augstsprieguma</w:t>
      </w:r>
      <w:proofErr w:type="spellEnd"/>
      <w:r w:rsidRPr="00CC4E8D">
        <w:rPr>
          <w:b/>
          <w:bCs/>
          <w:lang w:val="en-GB"/>
        </w:rPr>
        <w:t xml:space="preserve"> </w:t>
      </w:r>
      <w:proofErr w:type="spellStart"/>
      <w:r w:rsidRPr="00CC4E8D">
        <w:rPr>
          <w:b/>
          <w:bCs/>
          <w:lang w:val="en-GB"/>
        </w:rPr>
        <w:t>tikls</w:t>
      </w:r>
      <w:proofErr w:type="spellEnd"/>
      <w:r w:rsidRPr="00CC4E8D">
        <w:rPr>
          <w:b/>
          <w:bCs/>
          <w:lang w:val="en-GB"/>
        </w:rPr>
        <w:t xml:space="preserve">” </w:t>
      </w:r>
    </w:p>
    <w:p w14:paraId="503BB9F1" w14:textId="77777777" w:rsidR="001B4076" w:rsidRPr="00CC4E8D" w:rsidRDefault="001B4076" w:rsidP="00AB1DE9">
      <w:pPr>
        <w:spacing w:before="0" w:after="0"/>
        <w:ind w:left="720"/>
        <w:rPr>
          <w:b/>
          <w:bCs/>
          <w:lang w:val="en-GB"/>
        </w:rPr>
      </w:pPr>
      <w:proofErr w:type="spellStart"/>
      <w:r w:rsidRPr="00CC4E8D">
        <w:rPr>
          <w:b/>
          <w:bCs/>
          <w:lang w:val="en-GB"/>
        </w:rPr>
        <w:t>Elering</w:t>
      </w:r>
      <w:proofErr w:type="spellEnd"/>
      <w:r w:rsidRPr="00CC4E8D">
        <w:rPr>
          <w:b/>
          <w:bCs/>
          <w:lang w:val="en-GB"/>
        </w:rPr>
        <w:t xml:space="preserve"> AS </w:t>
      </w:r>
    </w:p>
    <w:p w14:paraId="1E5937A2" w14:textId="77777777" w:rsidR="001B4076" w:rsidRPr="00CC4E8D" w:rsidRDefault="001B4076" w:rsidP="00AB1DE9">
      <w:pPr>
        <w:spacing w:before="0" w:after="0"/>
        <w:ind w:left="720"/>
        <w:rPr>
          <w:b/>
          <w:bCs/>
          <w:lang w:val="en-GB"/>
        </w:rPr>
      </w:pPr>
      <w:r w:rsidRPr="00CC4E8D">
        <w:rPr>
          <w:b/>
          <w:bCs/>
          <w:lang w:val="en-GB"/>
        </w:rPr>
        <w:t xml:space="preserve">LITGRID AB </w:t>
      </w:r>
    </w:p>
    <w:p w14:paraId="5FB7F699" w14:textId="77777777" w:rsidR="001B4076" w:rsidRPr="00CC4E8D" w:rsidRDefault="001B4076" w:rsidP="00AB1DE9">
      <w:pPr>
        <w:spacing w:before="0" w:after="0"/>
        <w:ind w:left="720"/>
        <w:rPr>
          <w:b/>
          <w:bCs/>
          <w:lang w:val="en-GB"/>
        </w:rPr>
      </w:pPr>
      <w:r w:rsidRPr="00CC4E8D">
        <w:rPr>
          <w:b/>
          <w:bCs/>
          <w:lang w:val="en-GB"/>
        </w:rPr>
        <w:t>PSE S.A.</w:t>
      </w:r>
    </w:p>
    <w:p w14:paraId="2F7C46FE" w14:textId="77777777" w:rsidR="001B4076" w:rsidRPr="00CC4E8D" w:rsidRDefault="001B4076" w:rsidP="00AB1DE9">
      <w:pPr>
        <w:spacing w:before="0" w:after="0"/>
        <w:ind w:left="720"/>
        <w:rPr>
          <w:b/>
          <w:bCs/>
          <w:lang w:val="en-GB"/>
        </w:rPr>
      </w:pPr>
      <w:r w:rsidRPr="00CC4E8D">
        <w:rPr>
          <w:b/>
          <w:bCs/>
          <w:lang w:val="en-GB"/>
        </w:rPr>
        <w:t xml:space="preserve">Svenska </w:t>
      </w:r>
      <w:proofErr w:type="spellStart"/>
      <w:r w:rsidRPr="00CC4E8D">
        <w:rPr>
          <w:b/>
          <w:bCs/>
          <w:lang w:val="en-GB"/>
        </w:rPr>
        <w:t>kraftnat</w:t>
      </w:r>
      <w:proofErr w:type="spellEnd"/>
    </w:p>
    <w:p w14:paraId="4DBC37F8" w14:textId="77777777" w:rsidR="001B4076" w:rsidRPr="00CC4E8D" w:rsidRDefault="001B4076" w:rsidP="00AB1DE9">
      <w:pPr>
        <w:spacing w:before="0" w:after="0"/>
        <w:ind w:left="720"/>
        <w:rPr>
          <w:b/>
          <w:bCs/>
          <w:lang w:val="en-GB"/>
        </w:rPr>
      </w:pPr>
      <w:proofErr w:type="spellStart"/>
      <w:r w:rsidRPr="00CC4E8D">
        <w:rPr>
          <w:b/>
          <w:bCs/>
          <w:lang w:val="en-GB"/>
        </w:rPr>
        <w:t>Fingrid</w:t>
      </w:r>
      <w:proofErr w:type="spellEnd"/>
      <w:r w:rsidRPr="00CC4E8D">
        <w:rPr>
          <w:b/>
          <w:bCs/>
          <w:lang w:val="en-GB"/>
        </w:rPr>
        <w:t xml:space="preserve"> </w:t>
      </w:r>
      <w:proofErr w:type="spellStart"/>
      <w:r w:rsidRPr="00CC4E8D">
        <w:rPr>
          <w:b/>
          <w:bCs/>
          <w:lang w:val="en-GB"/>
        </w:rPr>
        <w:t>Oyj</w:t>
      </w:r>
      <w:proofErr w:type="spellEnd"/>
    </w:p>
    <w:p w14:paraId="20FA387D" w14:textId="77777777" w:rsidR="00CA0FDE" w:rsidRPr="00CC4E8D" w:rsidRDefault="00CA0FDE" w:rsidP="00CA0FDE">
      <w:pPr>
        <w:rPr>
          <w:lang w:val="en-GB"/>
        </w:rPr>
      </w:pPr>
    </w:p>
    <w:p w14:paraId="0BD7D4CF" w14:textId="77777777" w:rsidR="00CA0FDE" w:rsidRPr="00CC4E8D" w:rsidRDefault="00CA0FDE" w:rsidP="00CA0FDE">
      <w:pPr>
        <w:rPr>
          <w:lang w:val="en-GB"/>
        </w:rPr>
      </w:pPr>
    </w:p>
    <w:p w14:paraId="0764321C" w14:textId="77777777" w:rsidR="00AB1DE9" w:rsidRPr="00CC4E8D" w:rsidRDefault="00AB1DE9" w:rsidP="00CA0FDE">
      <w:pPr>
        <w:rPr>
          <w:lang w:val="en-GB"/>
        </w:rPr>
      </w:pPr>
    </w:p>
    <w:p w14:paraId="4F1FB96B" w14:textId="77777777" w:rsidR="00AB1DE9" w:rsidRPr="00CC4E8D" w:rsidRDefault="00AB1DE9" w:rsidP="00CA0FDE">
      <w:pPr>
        <w:rPr>
          <w:lang w:val="en-GB"/>
        </w:rPr>
      </w:pPr>
    </w:p>
    <w:p w14:paraId="2A103101" w14:textId="77777777" w:rsidR="00AB1DE9" w:rsidRPr="00CC4E8D" w:rsidRDefault="00AB1DE9" w:rsidP="00CA0FDE">
      <w:pPr>
        <w:rPr>
          <w:lang w:val="en-GB"/>
        </w:rPr>
      </w:pPr>
    </w:p>
    <w:p w14:paraId="3F43C31E" w14:textId="77777777" w:rsidR="00AB1DE9" w:rsidRPr="00CC4E8D" w:rsidRDefault="00AB1DE9" w:rsidP="00CA0FDE">
      <w:pPr>
        <w:rPr>
          <w:lang w:val="en-GB"/>
        </w:rPr>
      </w:pPr>
    </w:p>
    <w:p w14:paraId="26E39DC8" w14:textId="77777777" w:rsidR="00CA0FDE" w:rsidRPr="00CC4E8D" w:rsidRDefault="00CA0FDE" w:rsidP="00CA0FDE">
      <w:pPr>
        <w:rPr>
          <w:lang w:val="en-GB"/>
        </w:rPr>
      </w:pPr>
    </w:p>
    <w:p w14:paraId="1060AE25" w14:textId="37055CA9" w:rsidR="00CA0FDE" w:rsidRPr="00CC4E8D" w:rsidRDefault="00D71607" w:rsidP="00F4051D">
      <w:pPr>
        <w:jc w:val="center"/>
        <w:rPr>
          <w:b/>
          <w:bCs/>
          <w:lang w:val="en-GB"/>
        </w:rPr>
      </w:pPr>
      <w:r w:rsidRPr="00D71607">
        <w:rPr>
          <w:b/>
          <w:bCs/>
          <w:lang w:val="en-GB"/>
        </w:rPr>
        <w:t>February 8</w:t>
      </w:r>
      <w:r w:rsidR="00FC5018" w:rsidRPr="00FC5018">
        <w:rPr>
          <w:b/>
          <w:bCs/>
          <w:vertAlign w:val="superscript"/>
          <w:lang w:val="en-GB"/>
        </w:rPr>
        <w:t>th</w:t>
      </w:r>
      <w:r w:rsidR="00FC5018">
        <w:rPr>
          <w:b/>
          <w:bCs/>
          <w:lang w:val="en-GB"/>
        </w:rPr>
        <w:t xml:space="preserve">, </w:t>
      </w:r>
      <w:r w:rsidR="00FC5018" w:rsidRPr="00D71607">
        <w:rPr>
          <w:b/>
          <w:bCs/>
          <w:lang w:val="en-GB"/>
        </w:rPr>
        <w:t>2024</w:t>
      </w:r>
    </w:p>
    <w:p w14:paraId="34386A28" w14:textId="315F31B0" w:rsidR="00F4051D" w:rsidRPr="00CC4E8D" w:rsidRDefault="00CA0FDE" w:rsidP="00F4051D">
      <w:pPr>
        <w:jc w:val="center"/>
        <w:rPr>
          <w:b/>
          <w:bCs/>
          <w:lang w:val="en-GB"/>
        </w:rPr>
      </w:pPr>
      <w:r w:rsidRPr="00CC4E8D">
        <w:rPr>
          <w:b/>
          <w:bCs/>
          <w:lang w:val="en-GB"/>
        </w:rPr>
        <w:t>Vilnius, Riga, Tallinn, Helsinki, Stockholm, Warsaw</w:t>
      </w:r>
    </w:p>
    <w:p w14:paraId="2C01F518" w14:textId="77777777" w:rsidR="00F4051D" w:rsidRPr="00CC4E8D" w:rsidRDefault="00F4051D">
      <w:pPr>
        <w:spacing w:before="0" w:after="200" w:line="276" w:lineRule="auto"/>
        <w:jc w:val="left"/>
        <w:rPr>
          <w:b/>
          <w:bCs/>
          <w:lang w:val="en-GB"/>
        </w:rPr>
      </w:pPr>
      <w:r w:rsidRPr="00CC4E8D">
        <w:rPr>
          <w:b/>
          <w:bCs/>
          <w:lang w:val="en-GB"/>
        </w:rPr>
        <w:br w:type="page"/>
      </w:r>
    </w:p>
    <w:p w14:paraId="47BA3203" w14:textId="4668D16D" w:rsidR="00C46D3A" w:rsidRPr="00CC4E8D" w:rsidRDefault="00C46D3A">
      <w:pPr>
        <w:spacing w:before="0" w:after="200" w:line="276" w:lineRule="auto"/>
        <w:jc w:val="left"/>
        <w:rPr>
          <w:b/>
          <w:bCs/>
          <w:caps/>
          <w:lang w:val="en-GB"/>
        </w:rPr>
      </w:pPr>
      <w:r w:rsidRPr="00CC4E8D">
        <w:rPr>
          <w:b/>
          <w:bCs/>
          <w:caps/>
          <w:lang w:val="en-GB"/>
        </w:rPr>
        <w:lastRenderedPageBreak/>
        <w:t>Table of Contents</w:t>
      </w:r>
    </w:p>
    <w:p w14:paraId="51C8941B" w14:textId="248370E0" w:rsidR="00290AE3" w:rsidRPr="00290AE3" w:rsidRDefault="002708DD">
      <w:pPr>
        <w:pStyle w:val="TOC1"/>
        <w:rPr>
          <w:rFonts w:ascii="Arial" w:eastAsiaTheme="minorEastAsia" w:hAnsi="Arial" w:cs="Arial"/>
          <w:b w:val="0"/>
          <w:bCs w:val="0"/>
          <w:caps w:val="0"/>
          <w:noProof/>
          <w:kern w:val="2"/>
          <w:sz w:val="22"/>
          <w:szCs w:val="22"/>
          <w:lang w:val="en-US"/>
          <w14:ligatures w14:val="standardContextual"/>
        </w:rPr>
      </w:pPr>
      <w:r w:rsidRPr="00290AE3">
        <w:rPr>
          <w:rStyle w:val="Hyperlink"/>
          <w:rFonts w:ascii="Arial" w:hAnsi="Arial" w:cs="Arial"/>
          <w:b w:val="0"/>
          <w:bCs w:val="0"/>
          <w:caps w:val="0"/>
          <w:noProof/>
          <w:sz w:val="22"/>
          <w:szCs w:val="22"/>
          <w:lang w:val="en-GB"/>
        </w:rPr>
        <w:fldChar w:fldCharType="begin"/>
      </w:r>
      <w:r w:rsidRPr="00290AE3">
        <w:rPr>
          <w:rStyle w:val="Hyperlink"/>
          <w:rFonts w:ascii="Arial" w:hAnsi="Arial" w:cs="Arial"/>
          <w:b w:val="0"/>
          <w:bCs w:val="0"/>
          <w:caps w:val="0"/>
          <w:noProof/>
          <w:sz w:val="22"/>
          <w:szCs w:val="22"/>
          <w:lang w:val="en-GB"/>
        </w:rPr>
        <w:instrText xml:space="preserve"> TOC \o "1-3" \h \z \u </w:instrText>
      </w:r>
      <w:r w:rsidRPr="00290AE3">
        <w:rPr>
          <w:rStyle w:val="Hyperlink"/>
          <w:rFonts w:ascii="Arial" w:hAnsi="Arial" w:cs="Arial"/>
          <w:b w:val="0"/>
          <w:bCs w:val="0"/>
          <w:caps w:val="0"/>
          <w:noProof/>
          <w:sz w:val="22"/>
          <w:szCs w:val="22"/>
          <w:lang w:val="en-GB"/>
        </w:rPr>
        <w:fldChar w:fldCharType="separate"/>
      </w:r>
      <w:hyperlink w:anchor="_Toc158275573" w:history="1">
        <w:r w:rsidR="00290AE3" w:rsidRPr="00290AE3">
          <w:rPr>
            <w:rStyle w:val="Hyperlink"/>
            <w:rFonts w:ascii="Arial" w:hAnsi="Arial" w:cs="Arial"/>
            <w:b w:val="0"/>
            <w:bCs w:val="0"/>
            <w:noProof/>
            <w:sz w:val="22"/>
            <w:szCs w:val="22"/>
          </w:rPr>
          <w:t>1</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Subject matter and scope</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_Toc158275573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5</w:t>
        </w:r>
        <w:r w:rsidR="00290AE3" w:rsidRPr="00290AE3">
          <w:rPr>
            <w:rFonts w:ascii="Arial" w:hAnsi="Arial" w:cs="Arial"/>
            <w:b w:val="0"/>
            <w:bCs w:val="0"/>
            <w:noProof/>
            <w:webHidden/>
            <w:sz w:val="22"/>
            <w:szCs w:val="22"/>
          </w:rPr>
          <w:fldChar w:fldCharType="end"/>
        </w:r>
      </w:hyperlink>
    </w:p>
    <w:p w14:paraId="16E6A395" w14:textId="2DE0F376"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74" w:history="1">
        <w:r w:rsidR="00290AE3" w:rsidRPr="00290AE3">
          <w:rPr>
            <w:rStyle w:val="Hyperlink"/>
            <w:rFonts w:ascii="Arial" w:hAnsi="Arial" w:cs="Arial"/>
            <w:b w:val="0"/>
            <w:bCs w:val="0"/>
            <w:noProof/>
            <w:sz w:val="22"/>
            <w:szCs w:val="22"/>
          </w:rPr>
          <w:t>2</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Definitions</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_Toc158275574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5</w:t>
        </w:r>
        <w:r w:rsidR="00290AE3" w:rsidRPr="00290AE3">
          <w:rPr>
            <w:rFonts w:ascii="Arial" w:hAnsi="Arial" w:cs="Arial"/>
            <w:b w:val="0"/>
            <w:bCs w:val="0"/>
            <w:noProof/>
            <w:webHidden/>
            <w:sz w:val="22"/>
            <w:szCs w:val="22"/>
          </w:rPr>
          <w:fldChar w:fldCharType="end"/>
        </w:r>
      </w:hyperlink>
    </w:p>
    <w:p w14:paraId="291E4174" w14:textId="2DEF10F8"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75" w:history="1">
        <w:r w:rsidR="00290AE3" w:rsidRPr="00290AE3">
          <w:rPr>
            <w:rStyle w:val="Hyperlink"/>
            <w:rFonts w:ascii="Arial" w:hAnsi="Arial" w:cs="Arial"/>
            <w:b w:val="0"/>
            <w:bCs w:val="0"/>
            <w:noProof/>
            <w:sz w:val="22"/>
            <w:szCs w:val="22"/>
          </w:rPr>
          <w:t>3</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Transmission reliability margin calculation methodology</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_Toc158275575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6</w:t>
        </w:r>
        <w:r w:rsidR="00290AE3" w:rsidRPr="00290AE3">
          <w:rPr>
            <w:rFonts w:ascii="Arial" w:hAnsi="Arial" w:cs="Arial"/>
            <w:b w:val="0"/>
            <w:bCs w:val="0"/>
            <w:noProof/>
            <w:webHidden/>
            <w:sz w:val="22"/>
            <w:szCs w:val="22"/>
          </w:rPr>
          <w:fldChar w:fldCharType="end"/>
        </w:r>
      </w:hyperlink>
    </w:p>
    <w:p w14:paraId="08C1CD12" w14:textId="1F4A1767"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76" w:history="1">
        <w:r w:rsidR="00290AE3" w:rsidRPr="00290AE3">
          <w:rPr>
            <w:rStyle w:val="Hyperlink"/>
            <w:rFonts w:ascii="Arial" w:hAnsi="Arial" w:cs="Arial"/>
            <w:b w:val="0"/>
            <w:bCs w:val="0"/>
            <w:noProof/>
            <w:sz w:val="22"/>
            <w:szCs w:val="22"/>
          </w:rPr>
          <w:t>4</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Operational security limits, critical network elements, contingencies and allocation constraints</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_Toc158275576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7</w:t>
        </w:r>
        <w:r w:rsidR="00290AE3" w:rsidRPr="00290AE3">
          <w:rPr>
            <w:rFonts w:ascii="Arial" w:hAnsi="Arial" w:cs="Arial"/>
            <w:b w:val="0"/>
            <w:bCs w:val="0"/>
            <w:noProof/>
            <w:webHidden/>
            <w:sz w:val="22"/>
            <w:szCs w:val="22"/>
          </w:rPr>
          <w:fldChar w:fldCharType="end"/>
        </w:r>
      </w:hyperlink>
    </w:p>
    <w:p w14:paraId="0DE4DB6C" w14:textId="67259616"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77" w:history="1">
        <w:r w:rsidR="00290AE3" w:rsidRPr="00290AE3">
          <w:rPr>
            <w:rStyle w:val="Hyperlink"/>
            <w:rFonts w:ascii="Arial" w:hAnsi="Arial" w:cs="Arial"/>
            <w:b w:val="0"/>
            <w:bCs w:val="0"/>
            <w:noProof/>
            <w:sz w:val="22"/>
            <w:szCs w:val="22"/>
          </w:rPr>
          <w:t>5</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Generation and load shift keys (GLSK)</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_Toc158275577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8</w:t>
        </w:r>
        <w:r w:rsidR="00290AE3" w:rsidRPr="00290AE3">
          <w:rPr>
            <w:rFonts w:ascii="Arial" w:hAnsi="Arial" w:cs="Arial"/>
            <w:b w:val="0"/>
            <w:bCs w:val="0"/>
            <w:noProof/>
            <w:webHidden/>
            <w:sz w:val="22"/>
            <w:szCs w:val="22"/>
          </w:rPr>
          <w:fldChar w:fldCharType="end"/>
        </w:r>
      </w:hyperlink>
    </w:p>
    <w:p w14:paraId="1FC27456" w14:textId="5A87D78D"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78" w:history="1">
        <w:r w:rsidR="00290AE3" w:rsidRPr="00290AE3">
          <w:rPr>
            <w:rStyle w:val="Hyperlink"/>
            <w:rFonts w:ascii="Arial" w:hAnsi="Arial" w:cs="Arial"/>
            <w:b w:val="0"/>
            <w:bCs w:val="0"/>
            <w:noProof/>
            <w:sz w:val="22"/>
            <w:szCs w:val="22"/>
          </w:rPr>
          <w:t>6</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Remedial actions (RAs)</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_Toc158275578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9</w:t>
        </w:r>
        <w:r w:rsidR="00290AE3" w:rsidRPr="00290AE3">
          <w:rPr>
            <w:rFonts w:ascii="Arial" w:hAnsi="Arial" w:cs="Arial"/>
            <w:b w:val="0"/>
            <w:bCs w:val="0"/>
            <w:noProof/>
            <w:webHidden/>
            <w:sz w:val="22"/>
            <w:szCs w:val="22"/>
          </w:rPr>
          <w:fldChar w:fldCharType="end"/>
        </w:r>
      </w:hyperlink>
    </w:p>
    <w:p w14:paraId="01F5C044" w14:textId="3E7543B9"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79" w:history="1">
        <w:r w:rsidR="00290AE3" w:rsidRPr="00290AE3">
          <w:rPr>
            <w:rStyle w:val="Hyperlink"/>
            <w:rFonts w:ascii="Arial" w:hAnsi="Arial" w:cs="Arial"/>
            <w:b w:val="0"/>
            <w:bCs w:val="0"/>
            <w:noProof/>
            <w:sz w:val="22"/>
            <w:szCs w:val="22"/>
          </w:rPr>
          <w:t>7</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Common RULES capacity calculation methodology for long-term time frames</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_Toc158275579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9</w:t>
        </w:r>
        <w:r w:rsidR="00290AE3" w:rsidRPr="00290AE3">
          <w:rPr>
            <w:rFonts w:ascii="Arial" w:hAnsi="Arial" w:cs="Arial"/>
            <w:b w:val="0"/>
            <w:bCs w:val="0"/>
            <w:noProof/>
            <w:webHidden/>
            <w:sz w:val="22"/>
            <w:szCs w:val="22"/>
          </w:rPr>
          <w:fldChar w:fldCharType="end"/>
        </w:r>
      </w:hyperlink>
    </w:p>
    <w:p w14:paraId="4BDDACF2" w14:textId="18CA29F5"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80" w:history="1">
        <w:r w:rsidR="00290AE3" w:rsidRPr="00290AE3">
          <w:rPr>
            <w:rStyle w:val="Hyperlink"/>
            <w:rFonts w:ascii="Arial" w:hAnsi="Arial" w:cs="Arial"/>
            <w:b w:val="0"/>
            <w:bCs w:val="0"/>
            <w:noProof/>
            <w:sz w:val="22"/>
            <w:szCs w:val="22"/>
          </w:rPr>
          <w:t>8</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TTC calculation methodology</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_Toc158275580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10</w:t>
        </w:r>
        <w:r w:rsidR="00290AE3" w:rsidRPr="00290AE3">
          <w:rPr>
            <w:rFonts w:ascii="Arial" w:hAnsi="Arial" w:cs="Arial"/>
            <w:b w:val="0"/>
            <w:bCs w:val="0"/>
            <w:noProof/>
            <w:webHidden/>
            <w:sz w:val="22"/>
            <w:szCs w:val="22"/>
          </w:rPr>
          <w:fldChar w:fldCharType="end"/>
        </w:r>
      </w:hyperlink>
    </w:p>
    <w:p w14:paraId="12409B42" w14:textId="621F9AB0"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81" w:history="1">
        <w:r w:rsidR="00290AE3" w:rsidRPr="00290AE3">
          <w:rPr>
            <w:rStyle w:val="Hyperlink"/>
            <w:rFonts w:ascii="Arial" w:hAnsi="Arial" w:cs="Arial"/>
            <w:b w:val="0"/>
            <w:bCs w:val="0"/>
            <w:noProof/>
            <w:sz w:val="22"/>
            <w:szCs w:val="22"/>
          </w:rPr>
          <w:t>9</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COORDINATED NTC calculation principles for Internal Baltic AC interconnectors</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_Toc158275581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11</w:t>
        </w:r>
        <w:r w:rsidR="00290AE3" w:rsidRPr="00290AE3">
          <w:rPr>
            <w:rFonts w:ascii="Arial" w:hAnsi="Arial" w:cs="Arial"/>
            <w:b w:val="0"/>
            <w:bCs w:val="0"/>
            <w:noProof/>
            <w:webHidden/>
            <w:sz w:val="22"/>
            <w:szCs w:val="22"/>
          </w:rPr>
          <w:fldChar w:fldCharType="end"/>
        </w:r>
      </w:hyperlink>
    </w:p>
    <w:p w14:paraId="5390E733" w14:textId="16E32666"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82" w:history="1">
        <w:r w:rsidR="00290AE3" w:rsidRPr="00290AE3">
          <w:rPr>
            <w:rStyle w:val="Hyperlink"/>
            <w:rFonts w:ascii="Arial" w:hAnsi="Arial" w:cs="Arial"/>
            <w:b w:val="0"/>
            <w:bCs w:val="0"/>
            <w:noProof/>
            <w:sz w:val="22"/>
            <w:szCs w:val="22"/>
          </w:rPr>
          <w:t>10</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COORDINATED NTC calculation principles for DC interconnectors</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_Toc158275582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12</w:t>
        </w:r>
        <w:r w:rsidR="00290AE3" w:rsidRPr="00290AE3">
          <w:rPr>
            <w:rFonts w:ascii="Arial" w:hAnsi="Arial" w:cs="Arial"/>
            <w:b w:val="0"/>
            <w:bCs w:val="0"/>
            <w:noProof/>
            <w:webHidden/>
            <w:sz w:val="22"/>
            <w:szCs w:val="22"/>
          </w:rPr>
          <w:fldChar w:fldCharType="end"/>
        </w:r>
      </w:hyperlink>
    </w:p>
    <w:p w14:paraId="79028084" w14:textId="295D57E5"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83" w:history="1">
        <w:r w:rsidR="00290AE3" w:rsidRPr="00290AE3">
          <w:rPr>
            <w:rStyle w:val="Hyperlink"/>
            <w:rFonts w:ascii="Arial" w:hAnsi="Arial" w:cs="Arial"/>
            <w:b w:val="0"/>
            <w:bCs w:val="0"/>
            <w:noProof/>
            <w:sz w:val="22"/>
            <w:szCs w:val="22"/>
          </w:rPr>
          <w:t>11</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Total Transfer Capacity (TTC) Calculation for Lithuanian - Poland AC cross-borders interconnector</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_Toc158275583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12</w:t>
        </w:r>
        <w:r w:rsidR="00290AE3" w:rsidRPr="00290AE3">
          <w:rPr>
            <w:rFonts w:ascii="Arial" w:hAnsi="Arial" w:cs="Arial"/>
            <w:b w:val="0"/>
            <w:bCs w:val="0"/>
            <w:noProof/>
            <w:webHidden/>
            <w:sz w:val="22"/>
            <w:szCs w:val="22"/>
          </w:rPr>
          <w:fldChar w:fldCharType="end"/>
        </w:r>
      </w:hyperlink>
    </w:p>
    <w:p w14:paraId="700944DB" w14:textId="4D93E36B"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84" w:history="1">
        <w:r w:rsidR="00290AE3" w:rsidRPr="00290AE3">
          <w:rPr>
            <w:rStyle w:val="Hyperlink"/>
            <w:rFonts w:ascii="Arial" w:hAnsi="Arial" w:cs="Arial"/>
            <w:b w:val="0"/>
            <w:bCs w:val="0"/>
            <w:noProof/>
            <w:sz w:val="22"/>
            <w:szCs w:val="22"/>
          </w:rPr>
          <w:t>12</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Long-term Capacity Calculation Rules for Year-Ahead Timeframe</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_Toc158275584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14</w:t>
        </w:r>
        <w:r w:rsidR="00290AE3" w:rsidRPr="00290AE3">
          <w:rPr>
            <w:rFonts w:ascii="Arial" w:hAnsi="Arial" w:cs="Arial"/>
            <w:b w:val="0"/>
            <w:bCs w:val="0"/>
            <w:noProof/>
            <w:webHidden/>
            <w:sz w:val="22"/>
            <w:szCs w:val="22"/>
          </w:rPr>
          <w:fldChar w:fldCharType="end"/>
        </w:r>
      </w:hyperlink>
    </w:p>
    <w:p w14:paraId="2EA37DF8" w14:textId="50D54002"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85" w:history="1">
        <w:r w:rsidR="00290AE3" w:rsidRPr="00290AE3">
          <w:rPr>
            <w:rStyle w:val="Hyperlink"/>
            <w:rFonts w:ascii="Arial" w:hAnsi="Arial" w:cs="Arial"/>
            <w:b w:val="0"/>
            <w:bCs w:val="0"/>
            <w:noProof/>
            <w:sz w:val="22"/>
            <w:szCs w:val="22"/>
          </w:rPr>
          <w:t>13</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Long-term Capacity Calculation Rules for Month-Ahead Timeframe</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_Toc158275585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14</w:t>
        </w:r>
        <w:r w:rsidR="00290AE3" w:rsidRPr="00290AE3">
          <w:rPr>
            <w:rFonts w:ascii="Arial" w:hAnsi="Arial" w:cs="Arial"/>
            <w:b w:val="0"/>
            <w:bCs w:val="0"/>
            <w:noProof/>
            <w:webHidden/>
            <w:sz w:val="22"/>
            <w:szCs w:val="22"/>
          </w:rPr>
          <w:fldChar w:fldCharType="end"/>
        </w:r>
      </w:hyperlink>
    </w:p>
    <w:p w14:paraId="51246909" w14:textId="20F87ED8"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86" w:history="1">
        <w:r w:rsidR="00290AE3" w:rsidRPr="00290AE3">
          <w:rPr>
            <w:rStyle w:val="Hyperlink"/>
            <w:rFonts w:ascii="Arial" w:hAnsi="Arial" w:cs="Arial"/>
            <w:b w:val="0"/>
            <w:bCs w:val="0"/>
            <w:noProof/>
            <w:sz w:val="22"/>
            <w:szCs w:val="22"/>
          </w:rPr>
          <w:t>14</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LONG-TERM Capacity calculation for other timeframes</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_Toc158275586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15</w:t>
        </w:r>
        <w:r w:rsidR="00290AE3" w:rsidRPr="00290AE3">
          <w:rPr>
            <w:rFonts w:ascii="Arial" w:hAnsi="Arial" w:cs="Arial"/>
            <w:b w:val="0"/>
            <w:bCs w:val="0"/>
            <w:noProof/>
            <w:webHidden/>
            <w:sz w:val="22"/>
            <w:szCs w:val="22"/>
          </w:rPr>
          <w:fldChar w:fldCharType="end"/>
        </w:r>
      </w:hyperlink>
    </w:p>
    <w:p w14:paraId="7CDE6538" w14:textId="114D088C"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87" w:history="1">
        <w:r w:rsidR="00290AE3" w:rsidRPr="00290AE3">
          <w:rPr>
            <w:rStyle w:val="Hyperlink"/>
            <w:rFonts w:ascii="Arial" w:hAnsi="Arial" w:cs="Arial"/>
            <w:b w:val="0"/>
            <w:bCs w:val="0"/>
            <w:noProof/>
            <w:sz w:val="22"/>
            <w:szCs w:val="22"/>
          </w:rPr>
          <w:t>15</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Rules for taking into account previously allocated cross-zonal capacity</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_Toc158275587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15</w:t>
        </w:r>
        <w:r w:rsidR="00290AE3" w:rsidRPr="00290AE3">
          <w:rPr>
            <w:rFonts w:ascii="Arial" w:hAnsi="Arial" w:cs="Arial"/>
            <w:b w:val="0"/>
            <w:bCs w:val="0"/>
            <w:noProof/>
            <w:webHidden/>
            <w:sz w:val="22"/>
            <w:szCs w:val="22"/>
          </w:rPr>
          <w:fldChar w:fldCharType="end"/>
        </w:r>
      </w:hyperlink>
    </w:p>
    <w:p w14:paraId="7ADE0535" w14:textId="6F243614"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88" w:history="1">
        <w:r w:rsidR="00290AE3" w:rsidRPr="00290AE3">
          <w:rPr>
            <w:rStyle w:val="Hyperlink"/>
            <w:rFonts w:ascii="Arial" w:hAnsi="Arial" w:cs="Arial"/>
            <w:b w:val="0"/>
            <w:bCs w:val="0"/>
            <w:noProof/>
            <w:sz w:val="22"/>
            <w:szCs w:val="22"/>
          </w:rPr>
          <w:t>16</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Rules for efficiently sharing power flow capabilities of CNEs among different bidding-zone borders</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_Toc158275588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15</w:t>
        </w:r>
        <w:r w:rsidR="00290AE3" w:rsidRPr="00290AE3">
          <w:rPr>
            <w:rFonts w:ascii="Arial" w:hAnsi="Arial" w:cs="Arial"/>
            <w:b w:val="0"/>
            <w:bCs w:val="0"/>
            <w:noProof/>
            <w:webHidden/>
            <w:sz w:val="22"/>
            <w:szCs w:val="22"/>
          </w:rPr>
          <w:fldChar w:fldCharType="end"/>
        </w:r>
      </w:hyperlink>
    </w:p>
    <w:p w14:paraId="327AC9CD" w14:textId="3A83DB43"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89" w:history="1">
        <w:r w:rsidR="00290AE3" w:rsidRPr="00290AE3">
          <w:rPr>
            <w:rStyle w:val="Hyperlink"/>
            <w:rFonts w:ascii="Arial" w:hAnsi="Arial" w:cs="Arial"/>
            <w:b w:val="0"/>
            <w:bCs w:val="0"/>
            <w:noProof/>
            <w:sz w:val="22"/>
            <w:szCs w:val="22"/>
          </w:rPr>
          <w:t>17</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Rules for sharing the power flow capabilities of CNEs among different CCRs</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_Toc158275589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15</w:t>
        </w:r>
        <w:r w:rsidR="00290AE3" w:rsidRPr="00290AE3">
          <w:rPr>
            <w:rFonts w:ascii="Arial" w:hAnsi="Arial" w:cs="Arial"/>
            <w:b w:val="0"/>
            <w:bCs w:val="0"/>
            <w:noProof/>
            <w:webHidden/>
            <w:sz w:val="22"/>
            <w:szCs w:val="22"/>
          </w:rPr>
          <w:fldChar w:fldCharType="end"/>
        </w:r>
      </w:hyperlink>
    </w:p>
    <w:p w14:paraId="2B9C8794" w14:textId="23323585"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90" w:history="1">
        <w:r w:rsidR="00290AE3" w:rsidRPr="00290AE3">
          <w:rPr>
            <w:rStyle w:val="Hyperlink"/>
            <w:rFonts w:ascii="Arial" w:hAnsi="Arial" w:cs="Arial"/>
            <w:b w:val="0"/>
            <w:bCs w:val="0"/>
            <w:noProof/>
            <w:sz w:val="22"/>
            <w:szCs w:val="22"/>
          </w:rPr>
          <w:t>18</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Rules on the adjustment of power flows of cross-zonal capacity due to RAs</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_Toc158275590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16</w:t>
        </w:r>
        <w:r w:rsidR="00290AE3" w:rsidRPr="00290AE3">
          <w:rPr>
            <w:rFonts w:ascii="Arial" w:hAnsi="Arial" w:cs="Arial"/>
            <w:b w:val="0"/>
            <w:bCs w:val="0"/>
            <w:noProof/>
            <w:webHidden/>
            <w:sz w:val="22"/>
            <w:szCs w:val="22"/>
          </w:rPr>
          <w:fldChar w:fldCharType="end"/>
        </w:r>
      </w:hyperlink>
    </w:p>
    <w:p w14:paraId="2F0A04E5" w14:textId="7D7A41DF"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91" w:history="1">
        <w:r w:rsidR="00290AE3" w:rsidRPr="00290AE3">
          <w:rPr>
            <w:rStyle w:val="Hyperlink"/>
            <w:rFonts w:ascii="Arial" w:hAnsi="Arial" w:cs="Arial"/>
            <w:b w:val="0"/>
            <w:bCs w:val="0"/>
            <w:noProof/>
            <w:sz w:val="22"/>
            <w:szCs w:val="22"/>
          </w:rPr>
          <w:t>19</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Cross-zonal capacity validation methodology</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_Toc158275591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16</w:t>
        </w:r>
        <w:r w:rsidR="00290AE3" w:rsidRPr="00290AE3">
          <w:rPr>
            <w:rFonts w:ascii="Arial" w:hAnsi="Arial" w:cs="Arial"/>
            <w:b w:val="0"/>
            <w:bCs w:val="0"/>
            <w:noProof/>
            <w:webHidden/>
            <w:sz w:val="22"/>
            <w:szCs w:val="22"/>
          </w:rPr>
          <w:fldChar w:fldCharType="end"/>
        </w:r>
      </w:hyperlink>
    </w:p>
    <w:p w14:paraId="2E6A8DA6" w14:textId="2FDA6CEF"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92" w:history="1">
        <w:r w:rsidR="00290AE3" w:rsidRPr="00290AE3">
          <w:rPr>
            <w:rStyle w:val="Hyperlink"/>
            <w:rFonts w:ascii="Arial" w:hAnsi="Arial" w:cs="Arial"/>
            <w:b w:val="0"/>
            <w:bCs w:val="0"/>
            <w:noProof/>
            <w:sz w:val="22"/>
            <w:szCs w:val="22"/>
          </w:rPr>
          <w:t>20</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Fallback procedure</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_Toc158275592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16</w:t>
        </w:r>
        <w:r w:rsidR="00290AE3" w:rsidRPr="00290AE3">
          <w:rPr>
            <w:rFonts w:ascii="Arial" w:hAnsi="Arial" w:cs="Arial"/>
            <w:b w:val="0"/>
            <w:bCs w:val="0"/>
            <w:noProof/>
            <w:webHidden/>
            <w:sz w:val="22"/>
            <w:szCs w:val="22"/>
          </w:rPr>
          <w:fldChar w:fldCharType="end"/>
        </w:r>
      </w:hyperlink>
    </w:p>
    <w:p w14:paraId="48C8E595" w14:textId="08F63F52"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93" w:history="1">
        <w:r w:rsidR="00290AE3" w:rsidRPr="00290AE3">
          <w:rPr>
            <w:rStyle w:val="Hyperlink"/>
            <w:rFonts w:ascii="Arial" w:hAnsi="Arial" w:cs="Arial"/>
            <w:b w:val="0"/>
            <w:bCs w:val="0"/>
            <w:noProof/>
            <w:sz w:val="22"/>
            <w:szCs w:val="22"/>
          </w:rPr>
          <w:t>21</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Publication of data</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_Toc158275593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16</w:t>
        </w:r>
        <w:r w:rsidR="00290AE3" w:rsidRPr="00290AE3">
          <w:rPr>
            <w:rFonts w:ascii="Arial" w:hAnsi="Arial" w:cs="Arial"/>
            <w:b w:val="0"/>
            <w:bCs w:val="0"/>
            <w:noProof/>
            <w:webHidden/>
            <w:sz w:val="22"/>
            <w:szCs w:val="22"/>
          </w:rPr>
          <w:fldChar w:fldCharType="end"/>
        </w:r>
      </w:hyperlink>
    </w:p>
    <w:p w14:paraId="5E1C5B85" w14:textId="7F9DEA0E"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94" w:history="1">
        <w:r w:rsidR="00290AE3" w:rsidRPr="00290AE3">
          <w:rPr>
            <w:rStyle w:val="Hyperlink"/>
            <w:rFonts w:ascii="Arial" w:hAnsi="Arial" w:cs="Arial"/>
            <w:b w:val="0"/>
            <w:bCs w:val="0"/>
            <w:noProof/>
            <w:sz w:val="22"/>
            <w:szCs w:val="22"/>
          </w:rPr>
          <w:t>22</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REPORT PROVISION and data publication</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_Toc158275594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16</w:t>
        </w:r>
        <w:r w:rsidR="00290AE3" w:rsidRPr="00290AE3">
          <w:rPr>
            <w:rFonts w:ascii="Arial" w:hAnsi="Arial" w:cs="Arial"/>
            <w:b w:val="0"/>
            <w:bCs w:val="0"/>
            <w:noProof/>
            <w:webHidden/>
            <w:sz w:val="22"/>
            <w:szCs w:val="22"/>
          </w:rPr>
          <w:fldChar w:fldCharType="end"/>
        </w:r>
      </w:hyperlink>
    </w:p>
    <w:p w14:paraId="00EFE7B8" w14:textId="66C789C9"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95" w:history="1">
        <w:r w:rsidR="00290AE3" w:rsidRPr="00290AE3">
          <w:rPr>
            <w:rStyle w:val="Hyperlink"/>
            <w:rFonts w:ascii="Arial" w:hAnsi="Arial" w:cs="Arial"/>
            <w:b w:val="0"/>
            <w:bCs w:val="0"/>
            <w:noProof/>
            <w:sz w:val="22"/>
            <w:szCs w:val="22"/>
          </w:rPr>
          <w:t>23</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Implementation of the Long-term CCM</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_Toc158275595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17</w:t>
        </w:r>
        <w:r w:rsidR="00290AE3" w:rsidRPr="00290AE3">
          <w:rPr>
            <w:rFonts w:ascii="Arial" w:hAnsi="Arial" w:cs="Arial"/>
            <w:b w:val="0"/>
            <w:bCs w:val="0"/>
            <w:noProof/>
            <w:webHidden/>
            <w:sz w:val="22"/>
            <w:szCs w:val="22"/>
          </w:rPr>
          <w:fldChar w:fldCharType="end"/>
        </w:r>
      </w:hyperlink>
    </w:p>
    <w:p w14:paraId="0E992EA0" w14:textId="5D217346" w:rsidR="00290AE3" w:rsidRPr="00290AE3" w:rsidRDefault="00000000">
      <w:pPr>
        <w:pStyle w:val="TOC1"/>
        <w:rPr>
          <w:rFonts w:ascii="Arial" w:eastAsiaTheme="minorEastAsia" w:hAnsi="Arial" w:cs="Arial"/>
          <w:b w:val="0"/>
          <w:bCs w:val="0"/>
          <w:caps w:val="0"/>
          <w:noProof/>
          <w:kern w:val="2"/>
          <w:sz w:val="22"/>
          <w:szCs w:val="22"/>
          <w:lang w:val="en-US"/>
          <w14:ligatures w14:val="standardContextual"/>
        </w:rPr>
      </w:pPr>
      <w:hyperlink w:anchor="_Toc158275596" w:history="1">
        <w:r w:rsidR="00290AE3" w:rsidRPr="00290AE3">
          <w:rPr>
            <w:rStyle w:val="Hyperlink"/>
            <w:rFonts w:ascii="Arial" w:hAnsi="Arial" w:cs="Arial"/>
            <w:b w:val="0"/>
            <w:bCs w:val="0"/>
            <w:noProof/>
            <w:sz w:val="22"/>
            <w:szCs w:val="22"/>
          </w:rPr>
          <w:t>24</w:t>
        </w:r>
        <w:r w:rsidR="00290AE3" w:rsidRPr="00290AE3">
          <w:rPr>
            <w:rFonts w:ascii="Arial" w:eastAsiaTheme="minorEastAsia" w:hAnsi="Arial" w:cs="Arial"/>
            <w:b w:val="0"/>
            <w:bCs w:val="0"/>
            <w:caps w:val="0"/>
            <w:noProof/>
            <w:kern w:val="2"/>
            <w:sz w:val="22"/>
            <w:szCs w:val="22"/>
            <w:lang w:val="en-US"/>
            <w14:ligatures w14:val="standardContextual"/>
          </w:rPr>
          <w:tab/>
        </w:r>
        <w:r w:rsidR="00290AE3" w:rsidRPr="00290AE3">
          <w:rPr>
            <w:rStyle w:val="Hyperlink"/>
            <w:rFonts w:ascii="Arial" w:hAnsi="Arial" w:cs="Arial"/>
            <w:b w:val="0"/>
            <w:bCs w:val="0"/>
            <w:noProof/>
            <w:sz w:val="22"/>
            <w:szCs w:val="22"/>
          </w:rPr>
          <w:t>Language</w:t>
        </w:r>
        <w:r w:rsidR="00290AE3" w:rsidRPr="00290AE3">
          <w:rPr>
            <w:rFonts w:ascii="Arial" w:hAnsi="Arial" w:cs="Arial"/>
            <w:b w:val="0"/>
            <w:bCs w:val="0"/>
            <w:noProof/>
            <w:webHidden/>
            <w:sz w:val="22"/>
            <w:szCs w:val="22"/>
          </w:rPr>
          <w:tab/>
        </w:r>
        <w:r w:rsidR="00290AE3" w:rsidRPr="00290AE3">
          <w:rPr>
            <w:rFonts w:ascii="Arial" w:hAnsi="Arial" w:cs="Arial"/>
            <w:b w:val="0"/>
            <w:bCs w:val="0"/>
            <w:noProof/>
            <w:webHidden/>
            <w:sz w:val="22"/>
            <w:szCs w:val="22"/>
          </w:rPr>
          <w:fldChar w:fldCharType="begin"/>
        </w:r>
        <w:r w:rsidR="00290AE3" w:rsidRPr="00290AE3">
          <w:rPr>
            <w:rFonts w:ascii="Arial" w:hAnsi="Arial" w:cs="Arial"/>
            <w:b w:val="0"/>
            <w:bCs w:val="0"/>
            <w:noProof/>
            <w:webHidden/>
            <w:sz w:val="22"/>
            <w:szCs w:val="22"/>
          </w:rPr>
          <w:instrText xml:space="preserve"> PAGEREF _Toc158275596 \h </w:instrText>
        </w:r>
        <w:r w:rsidR="00290AE3" w:rsidRPr="00290AE3">
          <w:rPr>
            <w:rFonts w:ascii="Arial" w:hAnsi="Arial" w:cs="Arial"/>
            <w:b w:val="0"/>
            <w:bCs w:val="0"/>
            <w:noProof/>
            <w:webHidden/>
            <w:sz w:val="22"/>
            <w:szCs w:val="22"/>
          </w:rPr>
        </w:r>
        <w:r w:rsidR="00290AE3" w:rsidRPr="00290AE3">
          <w:rPr>
            <w:rFonts w:ascii="Arial" w:hAnsi="Arial" w:cs="Arial"/>
            <w:b w:val="0"/>
            <w:bCs w:val="0"/>
            <w:noProof/>
            <w:webHidden/>
            <w:sz w:val="22"/>
            <w:szCs w:val="22"/>
          </w:rPr>
          <w:fldChar w:fldCharType="separate"/>
        </w:r>
        <w:r w:rsidR="00290AE3" w:rsidRPr="00290AE3">
          <w:rPr>
            <w:rFonts w:ascii="Arial" w:hAnsi="Arial" w:cs="Arial"/>
            <w:b w:val="0"/>
            <w:bCs w:val="0"/>
            <w:noProof/>
            <w:webHidden/>
            <w:sz w:val="22"/>
            <w:szCs w:val="22"/>
          </w:rPr>
          <w:t>17</w:t>
        </w:r>
        <w:r w:rsidR="00290AE3" w:rsidRPr="00290AE3">
          <w:rPr>
            <w:rFonts w:ascii="Arial" w:hAnsi="Arial" w:cs="Arial"/>
            <w:b w:val="0"/>
            <w:bCs w:val="0"/>
            <w:noProof/>
            <w:webHidden/>
            <w:sz w:val="22"/>
            <w:szCs w:val="22"/>
          </w:rPr>
          <w:fldChar w:fldCharType="end"/>
        </w:r>
      </w:hyperlink>
    </w:p>
    <w:p w14:paraId="6987820A" w14:textId="13F3E07F" w:rsidR="00C46D3A" w:rsidRPr="00290AE3" w:rsidRDefault="002708DD">
      <w:pPr>
        <w:spacing w:before="0" w:after="200" w:line="276" w:lineRule="auto"/>
        <w:jc w:val="left"/>
        <w:rPr>
          <w:rStyle w:val="Hyperlink"/>
          <w:rFonts w:asciiTheme="minorHAnsi" w:hAnsiTheme="minorHAnsi" w:cstheme="minorHAnsi"/>
          <w:caps/>
          <w:noProof/>
          <w:sz w:val="20"/>
          <w:szCs w:val="20"/>
          <w:lang w:val="en-GB"/>
        </w:rPr>
      </w:pPr>
      <w:r w:rsidRPr="00290AE3">
        <w:rPr>
          <w:rStyle w:val="Hyperlink"/>
          <w:rFonts w:cs="Arial"/>
          <w:caps/>
          <w:noProof/>
          <w:lang w:val="en-GB"/>
        </w:rPr>
        <w:fldChar w:fldCharType="end"/>
      </w:r>
    </w:p>
    <w:p w14:paraId="3A7FF812" w14:textId="77777777" w:rsidR="00C46D3A" w:rsidRPr="00290AE3" w:rsidRDefault="00C46D3A">
      <w:pPr>
        <w:spacing w:before="0" w:after="200" w:line="276" w:lineRule="auto"/>
        <w:jc w:val="left"/>
        <w:rPr>
          <w:rStyle w:val="Hyperlink"/>
          <w:rFonts w:asciiTheme="minorHAnsi" w:hAnsiTheme="minorHAnsi" w:cstheme="minorHAnsi"/>
          <w:caps/>
          <w:noProof/>
          <w:sz w:val="20"/>
          <w:szCs w:val="20"/>
          <w:lang w:val="en-GB"/>
        </w:rPr>
      </w:pPr>
      <w:r w:rsidRPr="00290AE3">
        <w:rPr>
          <w:rStyle w:val="Hyperlink"/>
          <w:rFonts w:asciiTheme="minorHAnsi" w:hAnsiTheme="minorHAnsi" w:cstheme="minorHAnsi"/>
          <w:caps/>
          <w:noProof/>
          <w:sz w:val="20"/>
          <w:szCs w:val="20"/>
          <w:lang w:val="en-GB"/>
        </w:rPr>
        <w:br w:type="page"/>
      </w:r>
    </w:p>
    <w:p w14:paraId="18CB7D2B" w14:textId="6B52FB81" w:rsidR="003D52DD" w:rsidRPr="0041608F" w:rsidRDefault="003D52DD" w:rsidP="003D52DD">
      <w:pPr>
        <w:rPr>
          <w:rFonts w:cs="Times New Roman"/>
          <w:sz w:val="24"/>
          <w:lang w:val="en-GB"/>
        </w:rPr>
      </w:pPr>
      <w:r w:rsidRPr="0041608F">
        <w:rPr>
          <w:rFonts w:cs="Times New Roman"/>
          <w:lang w:val="en-GB"/>
        </w:rPr>
        <w:lastRenderedPageBreak/>
        <w:t xml:space="preserve">All Baltic CCR TSOs, </w:t>
      </w:r>
      <w:proofErr w:type="gramStart"/>
      <w:r w:rsidRPr="0041608F">
        <w:rPr>
          <w:rFonts w:cs="Times New Roman"/>
          <w:lang w:val="en-GB"/>
        </w:rPr>
        <w:t>taking into account</w:t>
      </w:r>
      <w:proofErr w:type="gramEnd"/>
      <w:r w:rsidRPr="0041608F">
        <w:rPr>
          <w:rFonts w:cs="Times New Roman"/>
          <w:lang w:val="en-GB"/>
        </w:rPr>
        <w:t xml:space="preserve"> the following,</w:t>
      </w:r>
    </w:p>
    <w:p w14:paraId="518D98E3" w14:textId="77777777" w:rsidR="003D52DD" w:rsidRPr="0041608F" w:rsidRDefault="003D52DD" w:rsidP="002708DD">
      <w:pPr>
        <w:jc w:val="center"/>
        <w:rPr>
          <w:b/>
          <w:bCs/>
          <w:lang w:val="en-GB"/>
        </w:rPr>
      </w:pPr>
      <w:bookmarkStart w:id="0" w:name="_Toc432586767"/>
      <w:bookmarkStart w:id="1" w:name="_Toc432586787"/>
      <w:bookmarkStart w:id="2" w:name="_Toc464485816"/>
      <w:bookmarkStart w:id="3" w:name="_Toc474830498"/>
      <w:bookmarkStart w:id="4" w:name="_Toc153355171"/>
      <w:bookmarkStart w:id="5" w:name="_Toc153355300"/>
      <w:r w:rsidRPr="0041608F">
        <w:rPr>
          <w:b/>
          <w:bCs/>
          <w:lang w:val="en-GB"/>
        </w:rPr>
        <w:t>Whereas</w:t>
      </w:r>
      <w:bookmarkEnd w:id="0"/>
      <w:bookmarkEnd w:id="1"/>
      <w:bookmarkEnd w:id="2"/>
      <w:bookmarkEnd w:id="3"/>
      <w:bookmarkEnd w:id="4"/>
      <w:bookmarkEnd w:id="5"/>
    </w:p>
    <w:p w14:paraId="402F1422" w14:textId="77777777" w:rsidR="003D52DD" w:rsidRPr="0041608F" w:rsidRDefault="003D52DD" w:rsidP="008E4773">
      <w:pPr>
        <w:numPr>
          <w:ilvl w:val="0"/>
          <w:numId w:val="1"/>
        </w:numPr>
        <w:spacing w:line="259" w:lineRule="auto"/>
        <w:ind w:left="567" w:hanging="567"/>
        <w:contextualSpacing/>
        <w:rPr>
          <w:rFonts w:cs="Times New Roman"/>
          <w:sz w:val="24"/>
          <w:lang w:val="en-GB"/>
        </w:rPr>
      </w:pPr>
      <w:r w:rsidRPr="0041608F">
        <w:rPr>
          <w:rFonts w:cs="Times New Roman"/>
          <w:lang w:val="en-GB"/>
        </w:rPr>
        <w:t xml:space="preserve">This document is developed by Baltic Capacity Calculation region (hereafter referred to as “Baltic CCR”) Transmission System Operators (hereafter referred to as “TSOs”) </w:t>
      </w:r>
      <w:r w:rsidR="002C0D6B" w:rsidRPr="0041608F">
        <w:rPr>
          <w:rFonts w:cs="Times New Roman"/>
          <w:lang w:val="en-GB"/>
        </w:rPr>
        <w:t xml:space="preserve">as </w:t>
      </w:r>
      <w:r w:rsidR="001F6149" w:rsidRPr="0041608F">
        <w:rPr>
          <w:rFonts w:cs="Times New Roman"/>
          <w:lang w:val="en-GB"/>
        </w:rPr>
        <w:t xml:space="preserve">common Capacity Calculation Methodology for Long-Term time frames </w:t>
      </w:r>
      <w:r w:rsidRPr="0041608F">
        <w:rPr>
          <w:rFonts w:cs="Times New Roman"/>
          <w:lang w:val="en-GB"/>
        </w:rPr>
        <w:t>(hereafter referred to as “</w:t>
      </w:r>
      <w:r w:rsidR="001F6149" w:rsidRPr="0041608F">
        <w:rPr>
          <w:rFonts w:cs="Times New Roman"/>
          <w:lang w:val="en-GB"/>
        </w:rPr>
        <w:t>L</w:t>
      </w:r>
      <w:r w:rsidR="00285B9D" w:rsidRPr="0041608F">
        <w:rPr>
          <w:rFonts w:cs="Times New Roman"/>
          <w:lang w:val="en-GB"/>
        </w:rPr>
        <w:t>ong-term</w:t>
      </w:r>
      <w:r w:rsidR="001F6149" w:rsidRPr="0041608F">
        <w:rPr>
          <w:rFonts w:cs="Times New Roman"/>
          <w:lang w:val="en-GB"/>
        </w:rPr>
        <w:t xml:space="preserve"> CCM</w:t>
      </w:r>
      <w:r w:rsidRPr="0041608F">
        <w:rPr>
          <w:rFonts w:cs="Times New Roman"/>
          <w:lang w:val="en-GB"/>
        </w:rPr>
        <w:t xml:space="preserve">”) in accordance with Article </w:t>
      </w:r>
      <w:r w:rsidR="001F6149" w:rsidRPr="0041608F">
        <w:rPr>
          <w:rFonts w:cs="Times New Roman"/>
          <w:lang w:val="en-GB"/>
        </w:rPr>
        <w:t>10</w:t>
      </w:r>
      <w:r w:rsidR="004718FB" w:rsidRPr="0041608F">
        <w:rPr>
          <w:rFonts w:cs="Times New Roman"/>
          <w:lang w:val="en-GB"/>
        </w:rPr>
        <w:t>(1)</w:t>
      </w:r>
      <w:r w:rsidRPr="0041608F">
        <w:rPr>
          <w:rFonts w:cs="Times New Roman"/>
          <w:lang w:val="en-GB"/>
        </w:rPr>
        <w:t xml:space="preserve"> of Commission Regulation (EU) 20</w:t>
      </w:r>
      <w:r w:rsidR="001F6149" w:rsidRPr="0041608F">
        <w:rPr>
          <w:rFonts w:cs="Times New Roman"/>
          <w:lang w:val="en-GB"/>
        </w:rPr>
        <w:t>16</w:t>
      </w:r>
      <w:r w:rsidRPr="0041608F">
        <w:rPr>
          <w:rFonts w:cs="Times New Roman"/>
          <w:lang w:val="en-GB"/>
        </w:rPr>
        <w:t>/1</w:t>
      </w:r>
      <w:r w:rsidR="001F6149" w:rsidRPr="0041608F">
        <w:rPr>
          <w:rFonts w:cs="Times New Roman"/>
          <w:lang w:val="en-GB"/>
        </w:rPr>
        <w:t>719</w:t>
      </w:r>
      <w:r w:rsidRPr="0041608F">
        <w:rPr>
          <w:rFonts w:cs="Times New Roman"/>
          <w:lang w:val="en-GB"/>
        </w:rPr>
        <w:t xml:space="preserve"> establishing a guideline on </w:t>
      </w:r>
      <w:r w:rsidR="001F6149" w:rsidRPr="0041608F">
        <w:rPr>
          <w:rFonts w:cs="Times New Roman"/>
          <w:lang w:val="en-GB"/>
        </w:rPr>
        <w:t>forward capacity allocation</w:t>
      </w:r>
      <w:r w:rsidRPr="0041608F">
        <w:rPr>
          <w:rFonts w:cs="Times New Roman"/>
          <w:lang w:val="en-GB"/>
        </w:rPr>
        <w:t xml:space="preserve"> (hereafter referred to as the “</w:t>
      </w:r>
      <w:r w:rsidR="001F6149" w:rsidRPr="0041608F">
        <w:rPr>
          <w:rFonts w:cs="Times New Roman"/>
          <w:lang w:val="en-GB"/>
        </w:rPr>
        <w:t>FCA</w:t>
      </w:r>
      <w:r w:rsidRPr="0041608F">
        <w:rPr>
          <w:rFonts w:cs="Times New Roman"/>
          <w:lang w:val="en-GB"/>
        </w:rPr>
        <w:t xml:space="preserve"> Regulation”). </w:t>
      </w:r>
    </w:p>
    <w:p w14:paraId="692423C2" w14:textId="77777777" w:rsidR="000E695C" w:rsidRPr="0041608F" w:rsidRDefault="000E695C" w:rsidP="008E4773">
      <w:pPr>
        <w:numPr>
          <w:ilvl w:val="0"/>
          <w:numId w:val="1"/>
        </w:numPr>
        <w:spacing w:line="259" w:lineRule="auto"/>
        <w:ind w:left="567" w:hanging="567"/>
        <w:contextualSpacing/>
        <w:rPr>
          <w:rFonts w:cs="Times New Roman"/>
          <w:sz w:val="24"/>
          <w:lang w:val="en-GB"/>
        </w:rPr>
      </w:pPr>
      <w:r w:rsidRPr="0041608F">
        <w:rPr>
          <w:rFonts w:cs="Times New Roman"/>
          <w:lang w:val="en-GB"/>
        </w:rPr>
        <w:t xml:space="preserve">The Long-term CCM shall be compatible </w:t>
      </w:r>
      <w:r w:rsidR="00390768" w:rsidRPr="0041608F">
        <w:rPr>
          <w:rFonts w:cs="Times New Roman"/>
          <w:lang w:val="en-GB"/>
        </w:rPr>
        <w:t>with the capacity calculation methodology established for the day-ahead and intraday time frames</w:t>
      </w:r>
      <w:r w:rsidRPr="0041608F">
        <w:rPr>
          <w:rFonts w:cs="Times New Roman"/>
          <w:lang w:val="en-GB"/>
        </w:rPr>
        <w:t xml:space="preserve"> according to Article 10(</w:t>
      </w:r>
      <w:r w:rsidR="00390768" w:rsidRPr="0041608F">
        <w:rPr>
          <w:rFonts w:cs="Times New Roman"/>
          <w:lang w:val="en-GB"/>
        </w:rPr>
        <w:t>3</w:t>
      </w:r>
      <w:r w:rsidRPr="0041608F">
        <w:rPr>
          <w:rFonts w:cs="Times New Roman"/>
          <w:lang w:val="en-GB"/>
        </w:rPr>
        <w:t>) of FCA Regulation.</w:t>
      </w:r>
    </w:p>
    <w:p w14:paraId="6557FD3B" w14:textId="068C7E20" w:rsidR="004718FB" w:rsidRPr="0041608F" w:rsidRDefault="004718FB" w:rsidP="008E4773">
      <w:pPr>
        <w:numPr>
          <w:ilvl w:val="0"/>
          <w:numId w:val="1"/>
        </w:numPr>
        <w:spacing w:line="259" w:lineRule="auto"/>
        <w:ind w:left="567" w:hanging="567"/>
        <w:contextualSpacing/>
        <w:rPr>
          <w:sz w:val="24"/>
          <w:lang w:val="en-GB"/>
        </w:rPr>
      </w:pPr>
      <w:bookmarkStart w:id="6" w:name="_Ref153270719"/>
      <w:r w:rsidRPr="0041608F">
        <w:rPr>
          <w:rFonts w:cs="Times New Roman"/>
          <w:lang w:val="en-GB"/>
        </w:rPr>
        <w:t xml:space="preserve">The goal of the FCA Regulation is the coordination and harmonisation of </w:t>
      </w:r>
      <w:r w:rsidR="000E695C" w:rsidRPr="0041608F">
        <w:rPr>
          <w:rFonts w:cs="Times New Roman"/>
          <w:lang w:val="en-GB"/>
        </w:rPr>
        <w:t xml:space="preserve">forecasted </w:t>
      </w:r>
      <w:r w:rsidRPr="0041608F">
        <w:rPr>
          <w:rFonts w:cs="Times New Roman"/>
          <w:lang w:val="en-GB"/>
        </w:rPr>
        <w:t>cross-zonal capacity</w:t>
      </w:r>
      <w:r w:rsidRPr="0041608F">
        <w:rPr>
          <w:lang w:val="en-GB"/>
        </w:rPr>
        <w:t xml:space="preserve"> calculation and capacity allocation in the forward markets</w:t>
      </w:r>
      <w:r w:rsidR="00C46946" w:rsidRPr="0041608F">
        <w:rPr>
          <w:lang w:val="en-GB"/>
        </w:rPr>
        <w:t>.</w:t>
      </w:r>
      <w:r w:rsidRPr="0041608F">
        <w:rPr>
          <w:lang w:val="en-GB"/>
        </w:rPr>
        <w:t xml:space="preserve"> </w:t>
      </w:r>
      <w:r w:rsidR="00C46946" w:rsidRPr="0041608F">
        <w:rPr>
          <w:lang w:val="en-GB"/>
        </w:rPr>
        <w:t xml:space="preserve">Moreover, the </w:t>
      </w:r>
      <w:r w:rsidRPr="0041608F">
        <w:rPr>
          <w:lang w:val="en-GB"/>
        </w:rPr>
        <w:t xml:space="preserve">requirements </w:t>
      </w:r>
      <w:r w:rsidR="00C46946" w:rsidRPr="0041608F">
        <w:rPr>
          <w:lang w:val="en-GB"/>
        </w:rPr>
        <w:t xml:space="preserve">are set </w:t>
      </w:r>
      <w:r w:rsidRPr="0041608F">
        <w:rPr>
          <w:lang w:val="en-GB"/>
        </w:rPr>
        <w:t xml:space="preserve">for the TSOs to cooperate on the level of capacity calculation regions (hereinafter referred to as “CCRs”), on a pan-European level and across bidding zone borders. The </w:t>
      </w:r>
      <w:r w:rsidR="00434665" w:rsidRPr="0041608F">
        <w:rPr>
          <w:lang w:val="en-GB"/>
        </w:rPr>
        <w:t xml:space="preserve">Article 10(2) of </w:t>
      </w:r>
      <w:r w:rsidRPr="0041608F">
        <w:rPr>
          <w:lang w:val="en-GB"/>
        </w:rPr>
        <w:t xml:space="preserve">FCA Regulation also sets rules for establishing capacity calculation methodologies based either on the coordinated net transmission capacity approach or on the flow-based approach. </w:t>
      </w:r>
      <w:r w:rsidR="0066377C" w:rsidRPr="0041608F">
        <w:rPr>
          <w:lang w:val="en-GB"/>
        </w:rPr>
        <w:t>This Methodology foresees to apply coordinated net transmission capacity (CNTC) approach</w:t>
      </w:r>
      <w:r w:rsidR="008F2D91" w:rsidRPr="0041608F">
        <w:rPr>
          <w:lang w:val="en-GB"/>
        </w:rPr>
        <w:t xml:space="preserve"> in Baltic CCR.</w:t>
      </w:r>
      <w:bookmarkEnd w:id="6"/>
    </w:p>
    <w:p w14:paraId="7B9AAF2D" w14:textId="77777777" w:rsidR="004718FB" w:rsidRPr="0041608F" w:rsidRDefault="004718FB" w:rsidP="008E4773">
      <w:pPr>
        <w:pStyle w:val="ListParagraph"/>
        <w:numPr>
          <w:ilvl w:val="0"/>
          <w:numId w:val="1"/>
        </w:numPr>
        <w:ind w:left="567" w:hanging="567"/>
        <w:jc w:val="both"/>
        <w:rPr>
          <w:b w:val="0"/>
          <w:lang w:val="en-GB"/>
        </w:rPr>
      </w:pPr>
      <w:r w:rsidRPr="0041608F">
        <w:rPr>
          <w:b w:val="0"/>
          <w:lang w:val="en-GB"/>
        </w:rPr>
        <w:t>The objective of providing L</w:t>
      </w:r>
      <w:r w:rsidR="00285B9D" w:rsidRPr="0041608F">
        <w:rPr>
          <w:b w:val="0"/>
          <w:lang w:val="en-GB"/>
        </w:rPr>
        <w:t>ong-term</w:t>
      </w:r>
      <w:r w:rsidRPr="0041608F">
        <w:rPr>
          <w:b w:val="0"/>
          <w:lang w:val="en-GB"/>
        </w:rPr>
        <w:t xml:space="preserve"> CCM is two-fold. Firstly, market participants in the power market aim at forecasting future </w:t>
      </w:r>
      <w:r w:rsidR="008B484A" w:rsidRPr="0041608F">
        <w:rPr>
          <w:b w:val="0"/>
          <w:lang w:val="en-GB"/>
        </w:rPr>
        <w:t xml:space="preserve">day-ahead </w:t>
      </w:r>
      <w:r w:rsidRPr="0041608F">
        <w:rPr>
          <w:b w:val="0"/>
          <w:lang w:val="en-GB"/>
        </w:rPr>
        <w:t xml:space="preserve">pricing of the different bidding zones, acting as an input to the strategies for operation and investment decisions. The goal of </w:t>
      </w:r>
      <w:r w:rsidR="00285B9D" w:rsidRPr="0041608F">
        <w:rPr>
          <w:b w:val="0"/>
          <w:lang w:val="en-GB"/>
        </w:rPr>
        <w:t xml:space="preserve">Long-term </w:t>
      </w:r>
      <w:r w:rsidRPr="0041608F">
        <w:rPr>
          <w:b w:val="0"/>
          <w:lang w:val="en-GB"/>
        </w:rPr>
        <w:t xml:space="preserve">CCM is to provide the market participants with the information of expected capacity between bidding zones, as this information has an impact on demand and supply of electricity and hence the </w:t>
      </w:r>
      <w:r w:rsidR="008B484A" w:rsidRPr="0041608F">
        <w:rPr>
          <w:b w:val="0"/>
          <w:lang w:val="en-GB"/>
        </w:rPr>
        <w:t xml:space="preserve">day-ahead </w:t>
      </w:r>
      <w:r w:rsidRPr="0041608F">
        <w:rPr>
          <w:b w:val="0"/>
          <w:lang w:val="en-GB"/>
        </w:rPr>
        <w:t xml:space="preserve">pricing. Secondly, the calculation of </w:t>
      </w:r>
      <w:r w:rsidR="008B484A" w:rsidRPr="0041608F">
        <w:rPr>
          <w:b w:val="0"/>
          <w:lang w:val="en-GB"/>
        </w:rPr>
        <w:t>long</w:t>
      </w:r>
      <w:r w:rsidR="00285B9D" w:rsidRPr="0041608F">
        <w:rPr>
          <w:b w:val="0"/>
          <w:lang w:val="en-GB"/>
        </w:rPr>
        <w:t xml:space="preserve">-term </w:t>
      </w:r>
      <w:r w:rsidRPr="0041608F">
        <w:rPr>
          <w:b w:val="0"/>
          <w:lang w:val="en-GB"/>
        </w:rPr>
        <w:t xml:space="preserve">capacity will act as input to the issuing of </w:t>
      </w:r>
      <w:r w:rsidR="008B484A" w:rsidRPr="0041608F">
        <w:rPr>
          <w:b w:val="0"/>
          <w:lang w:val="en-GB"/>
        </w:rPr>
        <w:t>long</w:t>
      </w:r>
      <w:r w:rsidR="00285B9D" w:rsidRPr="0041608F">
        <w:rPr>
          <w:b w:val="0"/>
          <w:lang w:val="en-GB"/>
        </w:rPr>
        <w:t xml:space="preserve">-term </w:t>
      </w:r>
      <w:r w:rsidRPr="0041608F">
        <w:rPr>
          <w:b w:val="0"/>
          <w:lang w:val="en-GB"/>
        </w:rPr>
        <w:t xml:space="preserve">transmission rights on bidding zone borders where </w:t>
      </w:r>
      <w:r w:rsidR="008B484A" w:rsidRPr="0041608F">
        <w:rPr>
          <w:b w:val="0"/>
          <w:lang w:val="en-GB"/>
        </w:rPr>
        <w:t>long</w:t>
      </w:r>
      <w:r w:rsidR="00285B9D" w:rsidRPr="0041608F">
        <w:rPr>
          <w:b w:val="0"/>
          <w:lang w:val="en-GB"/>
        </w:rPr>
        <w:t xml:space="preserve">-term </w:t>
      </w:r>
      <w:r w:rsidRPr="0041608F">
        <w:rPr>
          <w:b w:val="0"/>
          <w:lang w:val="en-GB"/>
        </w:rPr>
        <w:t xml:space="preserve">transmissions rights are implemented. </w:t>
      </w:r>
    </w:p>
    <w:p w14:paraId="783F3D04" w14:textId="77777777" w:rsidR="0000653B" w:rsidRPr="0041608F" w:rsidRDefault="00285B9D" w:rsidP="008E4773">
      <w:pPr>
        <w:numPr>
          <w:ilvl w:val="0"/>
          <w:numId w:val="1"/>
        </w:numPr>
        <w:spacing w:line="259" w:lineRule="auto"/>
        <w:ind w:left="567" w:hanging="567"/>
        <w:contextualSpacing/>
        <w:rPr>
          <w:rFonts w:cs="Times New Roman"/>
          <w:sz w:val="24"/>
          <w:lang w:val="en-GB"/>
        </w:rPr>
      </w:pPr>
      <w:r w:rsidRPr="0041608F">
        <w:rPr>
          <w:lang w:val="en-GB"/>
        </w:rPr>
        <w:t xml:space="preserve">Long-term </w:t>
      </w:r>
      <w:r w:rsidR="00BE6E76" w:rsidRPr="0041608F">
        <w:rPr>
          <w:rFonts w:cs="Times New Roman"/>
          <w:lang w:val="en-GB"/>
        </w:rPr>
        <w:t xml:space="preserve">CCM is </w:t>
      </w:r>
      <w:r w:rsidR="0000653B" w:rsidRPr="0041608F">
        <w:rPr>
          <w:rFonts w:cs="Times New Roman"/>
          <w:lang w:val="en-GB"/>
        </w:rPr>
        <w:t>ensuring and enhancing the transparency and reliability of information on forward capacity allocation,</w:t>
      </w:r>
      <w:r w:rsidR="0000653B" w:rsidRPr="0041608F">
        <w:rPr>
          <w:lang w:val="en-GB"/>
        </w:rPr>
        <w:t xml:space="preserve"> </w:t>
      </w:r>
      <w:r w:rsidR="0000653B" w:rsidRPr="0041608F">
        <w:rPr>
          <w:rFonts w:cs="Times New Roman"/>
          <w:lang w:val="en-GB"/>
        </w:rPr>
        <w:t xml:space="preserve">as the </w:t>
      </w:r>
      <w:r w:rsidRPr="0041608F">
        <w:rPr>
          <w:lang w:val="en-GB"/>
        </w:rPr>
        <w:t xml:space="preserve">Long-term </w:t>
      </w:r>
      <w:r w:rsidR="0000653B" w:rsidRPr="0041608F">
        <w:rPr>
          <w:rFonts w:cs="Times New Roman"/>
          <w:lang w:val="en-GB"/>
        </w:rPr>
        <w:t xml:space="preserve">CCM determines the main principles and main processes for </w:t>
      </w:r>
      <w:r w:rsidR="00BE6E76" w:rsidRPr="0041608F">
        <w:rPr>
          <w:rFonts w:cs="Times New Roman"/>
          <w:lang w:val="en-GB"/>
        </w:rPr>
        <w:t>long-term capacity calculation</w:t>
      </w:r>
      <w:r w:rsidR="0000653B" w:rsidRPr="0041608F">
        <w:rPr>
          <w:rFonts w:cs="Times New Roman"/>
          <w:lang w:val="en-GB"/>
        </w:rPr>
        <w:t xml:space="preserve"> timeframes. The Methodology enables </w:t>
      </w:r>
      <w:r w:rsidR="00C46946" w:rsidRPr="0041608F">
        <w:rPr>
          <w:rFonts w:cs="Times New Roman"/>
          <w:lang w:val="en-GB"/>
        </w:rPr>
        <w:t>TSOs</w:t>
      </w:r>
      <w:r w:rsidR="0000653B" w:rsidRPr="0041608F">
        <w:rPr>
          <w:rFonts w:cs="Times New Roman"/>
          <w:lang w:val="en-GB"/>
        </w:rPr>
        <w:t xml:space="preserve"> in a transparent way </w:t>
      </w:r>
      <w:r w:rsidR="00670E70" w:rsidRPr="0041608F">
        <w:rPr>
          <w:rFonts w:cs="Times New Roman"/>
          <w:lang w:val="en-GB"/>
        </w:rPr>
        <w:t xml:space="preserve">to </w:t>
      </w:r>
      <w:r w:rsidR="0000653B" w:rsidRPr="0041608F">
        <w:rPr>
          <w:rFonts w:cs="Times New Roman"/>
          <w:lang w:val="en-GB"/>
        </w:rPr>
        <w:t xml:space="preserve">provide information on </w:t>
      </w:r>
      <w:r w:rsidR="004718FB" w:rsidRPr="0041608F">
        <w:rPr>
          <w:rFonts w:cs="Times New Roman"/>
          <w:lang w:val="en-GB"/>
        </w:rPr>
        <w:t xml:space="preserve">forecasted </w:t>
      </w:r>
      <w:r w:rsidR="0000653B" w:rsidRPr="0041608F">
        <w:rPr>
          <w:rFonts w:cs="Times New Roman"/>
          <w:lang w:val="en-GB"/>
        </w:rPr>
        <w:t>cross-zonal capacities</w:t>
      </w:r>
      <w:r w:rsidR="00670E70" w:rsidRPr="0041608F">
        <w:rPr>
          <w:rFonts w:cs="Times New Roman"/>
          <w:lang w:val="en-GB"/>
        </w:rPr>
        <w:t xml:space="preserve"> for long-term transmission rights auctions </w:t>
      </w:r>
      <w:r w:rsidR="00434665" w:rsidRPr="0041608F">
        <w:rPr>
          <w:rFonts w:cs="Times New Roman"/>
          <w:lang w:val="en-GB"/>
        </w:rPr>
        <w:t xml:space="preserve">where </w:t>
      </w:r>
      <w:r w:rsidR="00670E70" w:rsidRPr="0041608F">
        <w:rPr>
          <w:rFonts w:cs="Times New Roman"/>
          <w:lang w:val="en-GB"/>
        </w:rPr>
        <w:t xml:space="preserve">applicable </w:t>
      </w:r>
      <w:r w:rsidR="00C46946" w:rsidRPr="0041608F">
        <w:rPr>
          <w:rFonts w:cs="Times New Roman"/>
          <w:lang w:val="en-GB"/>
        </w:rPr>
        <w:t xml:space="preserve">on </w:t>
      </w:r>
      <w:r w:rsidR="00670E70" w:rsidRPr="0041608F">
        <w:rPr>
          <w:rFonts w:cs="Times New Roman"/>
          <w:lang w:val="en-GB"/>
        </w:rPr>
        <w:t>Baltic CCR borders</w:t>
      </w:r>
      <w:r w:rsidR="00294E93" w:rsidRPr="0041608F">
        <w:rPr>
          <w:rFonts w:cs="Times New Roman"/>
          <w:lang w:val="en-GB"/>
        </w:rPr>
        <w:t>.</w:t>
      </w:r>
    </w:p>
    <w:p w14:paraId="2D14C368" w14:textId="77777777" w:rsidR="002E6C3C" w:rsidRPr="0041608F" w:rsidRDefault="002E6C3C" w:rsidP="008E4773">
      <w:pPr>
        <w:numPr>
          <w:ilvl w:val="0"/>
          <w:numId w:val="1"/>
        </w:numPr>
        <w:spacing w:line="259" w:lineRule="auto"/>
        <w:ind w:left="567" w:hanging="567"/>
        <w:contextualSpacing/>
        <w:rPr>
          <w:rFonts w:cs="Times New Roman"/>
          <w:sz w:val="24"/>
          <w:lang w:val="en-GB"/>
        </w:rPr>
      </w:pPr>
      <w:bookmarkStart w:id="7" w:name="_Ref153270723"/>
      <w:r w:rsidRPr="0041608F">
        <w:rPr>
          <w:rFonts w:cs="Times New Roman"/>
          <w:lang w:val="en-GB"/>
        </w:rPr>
        <w:t xml:space="preserve">In this </w:t>
      </w:r>
      <w:r w:rsidR="00285B9D" w:rsidRPr="0041608F">
        <w:rPr>
          <w:lang w:val="en-GB"/>
        </w:rPr>
        <w:t xml:space="preserve">Long-term </w:t>
      </w:r>
      <w:r w:rsidR="00B5458F" w:rsidRPr="0041608F">
        <w:rPr>
          <w:rFonts w:cs="Times New Roman"/>
          <w:lang w:val="en-GB"/>
        </w:rPr>
        <w:t>CCM</w:t>
      </w:r>
      <w:r w:rsidRPr="0041608F">
        <w:rPr>
          <w:rFonts w:cs="Times New Roman"/>
          <w:lang w:val="en-GB"/>
        </w:rPr>
        <w:t>, unless the context requires otherwise:</w:t>
      </w:r>
      <w:bookmarkEnd w:id="7"/>
      <w:r w:rsidRPr="0041608F">
        <w:rPr>
          <w:rFonts w:cs="Times New Roman"/>
          <w:lang w:val="en-GB"/>
        </w:rPr>
        <w:t xml:space="preserve"> </w:t>
      </w:r>
    </w:p>
    <w:p w14:paraId="1099377D" w14:textId="77777777" w:rsidR="002E6C3C" w:rsidRPr="0041608F" w:rsidRDefault="002E6C3C" w:rsidP="008E4773">
      <w:pPr>
        <w:pStyle w:val="ListParagraph"/>
        <w:numPr>
          <w:ilvl w:val="0"/>
          <w:numId w:val="2"/>
        </w:numPr>
        <w:ind w:left="851" w:hanging="284"/>
        <w:jc w:val="both"/>
        <w:rPr>
          <w:rFonts w:cs="Times New Roman"/>
          <w:b w:val="0"/>
          <w:lang w:val="en-GB"/>
        </w:rPr>
      </w:pPr>
      <w:r w:rsidRPr="0041608F">
        <w:rPr>
          <w:rFonts w:cs="Times New Roman"/>
          <w:b w:val="0"/>
          <w:lang w:val="en-GB"/>
        </w:rPr>
        <w:t xml:space="preserve">headings are inserted for convenience only and do not affect the interpretation of this </w:t>
      </w:r>
      <w:r w:rsidR="00285B9D" w:rsidRPr="0041608F">
        <w:rPr>
          <w:b w:val="0"/>
          <w:lang w:val="en-GB"/>
        </w:rPr>
        <w:t>Long</w:t>
      </w:r>
      <w:r w:rsidR="00285B9D" w:rsidRPr="0041608F">
        <w:rPr>
          <w:lang w:val="en-GB"/>
        </w:rPr>
        <w:t>-</w:t>
      </w:r>
      <w:r w:rsidR="00285B9D" w:rsidRPr="0041608F">
        <w:rPr>
          <w:b w:val="0"/>
          <w:lang w:val="en-GB"/>
        </w:rPr>
        <w:t>term</w:t>
      </w:r>
      <w:r w:rsidR="00285B9D" w:rsidRPr="0041608F">
        <w:rPr>
          <w:lang w:val="en-GB"/>
        </w:rPr>
        <w:t xml:space="preserve"> </w:t>
      </w:r>
      <w:r w:rsidR="00D11E9F" w:rsidRPr="0041608F">
        <w:rPr>
          <w:rFonts w:cs="Times New Roman"/>
          <w:b w:val="0"/>
          <w:lang w:val="en-GB"/>
        </w:rPr>
        <w:t>CCM</w:t>
      </w:r>
      <w:r w:rsidRPr="0041608F">
        <w:rPr>
          <w:rFonts w:cs="Times New Roman"/>
          <w:b w:val="0"/>
          <w:lang w:val="en-GB"/>
        </w:rPr>
        <w:t>; and</w:t>
      </w:r>
    </w:p>
    <w:p w14:paraId="60F26D8E" w14:textId="77777777" w:rsidR="002E6C3C" w:rsidRPr="0041608F" w:rsidRDefault="002E6C3C" w:rsidP="008E4773">
      <w:pPr>
        <w:pStyle w:val="ListParagraph"/>
        <w:numPr>
          <w:ilvl w:val="0"/>
          <w:numId w:val="2"/>
        </w:numPr>
        <w:ind w:left="851" w:hanging="284"/>
        <w:jc w:val="both"/>
        <w:rPr>
          <w:rFonts w:cs="Times New Roman"/>
          <w:b w:val="0"/>
          <w:lang w:val="en-GB"/>
        </w:rPr>
      </w:pPr>
      <w:r w:rsidRPr="0041608F">
        <w:rPr>
          <w:rFonts w:cs="Times New Roman"/>
          <w:b w:val="0"/>
          <w:lang w:val="en-GB"/>
        </w:rPr>
        <w:t xml:space="preserve">any reference to legislation, regulations, directives, orders, instruments, </w:t>
      </w:r>
      <w:proofErr w:type="gramStart"/>
      <w:r w:rsidRPr="0041608F">
        <w:rPr>
          <w:rFonts w:cs="Times New Roman"/>
          <w:b w:val="0"/>
          <w:lang w:val="en-GB"/>
        </w:rPr>
        <w:t>codes</w:t>
      </w:r>
      <w:proofErr w:type="gramEnd"/>
      <w:r w:rsidRPr="0041608F">
        <w:rPr>
          <w:rFonts w:cs="Times New Roman"/>
          <w:b w:val="0"/>
          <w:lang w:val="en-GB"/>
        </w:rPr>
        <w:t xml:space="preserve"> or any other enactment shall include any modification, extension or re-enactment of it when in force.</w:t>
      </w:r>
    </w:p>
    <w:p w14:paraId="310B41F9" w14:textId="35455AAE" w:rsidR="007940C7" w:rsidRPr="0041608F" w:rsidRDefault="008B484A" w:rsidP="007940C7">
      <w:pPr>
        <w:pStyle w:val="ListParagraph"/>
        <w:numPr>
          <w:ilvl w:val="0"/>
          <w:numId w:val="2"/>
        </w:numPr>
        <w:ind w:left="851" w:hanging="284"/>
        <w:jc w:val="both"/>
        <w:rPr>
          <w:rFonts w:cs="Times New Roman"/>
          <w:b w:val="0"/>
          <w:lang w:val="en-GB"/>
        </w:rPr>
      </w:pPr>
      <w:r w:rsidRPr="0041608F">
        <w:rPr>
          <w:rFonts w:cs="Times New Roman"/>
          <w:b w:val="0"/>
          <w:lang w:val="en-GB"/>
        </w:rPr>
        <w:t xml:space="preserve">references </w:t>
      </w:r>
      <w:r w:rsidR="002E6C3C" w:rsidRPr="0041608F">
        <w:rPr>
          <w:rFonts w:cs="Times New Roman"/>
          <w:b w:val="0"/>
          <w:lang w:val="en-GB"/>
        </w:rPr>
        <w:t xml:space="preserve">to an “Article” are, unless otherwise stated, references to an article of this </w:t>
      </w:r>
      <w:r w:rsidR="00285B9D" w:rsidRPr="0041608F">
        <w:rPr>
          <w:b w:val="0"/>
          <w:lang w:val="en-GB"/>
        </w:rPr>
        <w:t>Long</w:t>
      </w:r>
      <w:r w:rsidR="00285B9D" w:rsidRPr="0041608F">
        <w:rPr>
          <w:lang w:val="en-GB"/>
        </w:rPr>
        <w:t>-</w:t>
      </w:r>
      <w:r w:rsidR="00285B9D" w:rsidRPr="0041608F">
        <w:rPr>
          <w:b w:val="0"/>
          <w:lang w:val="en-GB"/>
        </w:rPr>
        <w:t>term</w:t>
      </w:r>
      <w:r w:rsidR="00285B9D" w:rsidRPr="0041608F">
        <w:rPr>
          <w:lang w:val="en-GB"/>
        </w:rPr>
        <w:t xml:space="preserve"> </w:t>
      </w:r>
      <w:r w:rsidR="00D11E9F" w:rsidRPr="0041608F">
        <w:rPr>
          <w:rFonts w:cs="Times New Roman"/>
          <w:b w:val="0"/>
          <w:lang w:val="en-GB"/>
        </w:rPr>
        <w:t>CCM</w:t>
      </w:r>
      <w:r w:rsidR="002E6C3C" w:rsidRPr="0041608F">
        <w:rPr>
          <w:rFonts w:cs="Times New Roman"/>
          <w:b w:val="0"/>
          <w:lang w:val="en-GB"/>
        </w:rPr>
        <w:t>.</w:t>
      </w:r>
    </w:p>
    <w:p w14:paraId="0C5C89F0" w14:textId="023CA2AC" w:rsidR="007940C7" w:rsidRPr="0041608F" w:rsidRDefault="007940C7" w:rsidP="003368E3">
      <w:pPr>
        <w:numPr>
          <w:ilvl w:val="0"/>
          <w:numId w:val="1"/>
        </w:numPr>
        <w:spacing w:line="259" w:lineRule="auto"/>
        <w:ind w:left="567" w:hanging="567"/>
        <w:contextualSpacing/>
        <w:rPr>
          <w:rFonts w:cs="Times New Roman"/>
          <w:lang w:val="en-GB"/>
        </w:rPr>
      </w:pPr>
      <w:r w:rsidRPr="0041608F">
        <w:rPr>
          <w:rFonts w:cs="Times New Roman"/>
          <w:lang w:val="en-GB"/>
        </w:rPr>
        <w:t xml:space="preserve">This Methodology also </w:t>
      </w:r>
      <w:proofErr w:type="gramStart"/>
      <w:r w:rsidRPr="0041608F">
        <w:rPr>
          <w:rFonts w:cs="Times New Roman"/>
          <w:lang w:val="en-GB"/>
        </w:rPr>
        <w:t>takes into account</w:t>
      </w:r>
      <w:proofErr w:type="gramEnd"/>
      <w:r w:rsidRPr="0041608F">
        <w:rPr>
          <w:rFonts w:cs="Times New Roman"/>
          <w:lang w:val="en-GB"/>
        </w:rPr>
        <w:t xml:space="preserve"> and acts upon the fact that the Baltic States are foreseen to be synchronized with the Continental Europe Synchronous Area by double circuit line connecting Poland and Lithuania. Upon synchronisation, the capacity of this line will have to be, in large part, kept for reliability margins in a case of unexpected tripping of </w:t>
      </w:r>
      <w:proofErr w:type="gramStart"/>
      <w:r w:rsidRPr="0041608F">
        <w:rPr>
          <w:rFonts w:cs="Times New Roman"/>
          <w:lang w:val="en-GB"/>
        </w:rPr>
        <w:t>aforementioned double</w:t>
      </w:r>
      <w:proofErr w:type="gramEnd"/>
      <w:r w:rsidRPr="0041608F">
        <w:rPr>
          <w:rFonts w:cs="Times New Roman"/>
          <w:lang w:val="en-GB"/>
        </w:rPr>
        <w:t xml:space="preserve"> circuit line (with simultaneous transfer of Baltic System into island operation) or outage (of load or generation/infeed) in the Baltic System. Transmission system operators will continue offering maximum capacity for cross-border trading, compliant with operational security limits and considering possible contingencies in the Polish and Lithuanian systems, including those resulting from </w:t>
      </w:r>
      <w:proofErr w:type="gramStart"/>
      <w:r w:rsidRPr="0041608F">
        <w:rPr>
          <w:rFonts w:cs="Times New Roman"/>
          <w:lang w:val="en-GB"/>
        </w:rPr>
        <w:t>aforementioned unexpected</w:t>
      </w:r>
      <w:proofErr w:type="gramEnd"/>
      <w:r w:rsidRPr="0041608F">
        <w:rPr>
          <w:rFonts w:cs="Times New Roman"/>
          <w:lang w:val="en-GB"/>
        </w:rPr>
        <w:t xml:space="preserve"> events. The specific situation of this interconnection </w:t>
      </w:r>
      <w:r w:rsidRPr="0041608F">
        <w:rPr>
          <w:rFonts w:cs="Times New Roman"/>
          <w:lang w:val="en-GB"/>
        </w:rPr>
        <w:lastRenderedPageBreak/>
        <w:t>is hereby taken into consideration for the calculation of the total capacity and contingencies pursuant to Article 16(8) of Regulation (EU) 2019/943.</w:t>
      </w:r>
    </w:p>
    <w:p w14:paraId="772D8BBE" w14:textId="77777777" w:rsidR="008B484A" w:rsidRPr="0041608F" w:rsidRDefault="008B484A" w:rsidP="0064032A">
      <w:pPr>
        <w:pStyle w:val="ListParagraph"/>
        <w:ind w:left="1638"/>
        <w:jc w:val="both"/>
        <w:rPr>
          <w:rFonts w:cs="Times New Roman"/>
          <w:b w:val="0"/>
          <w:lang w:val="en-GB"/>
        </w:rPr>
      </w:pPr>
    </w:p>
    <w:p w14:paraId="2956FEF9" w14:textId="77777777" w:rsidR="003D52DD" w:rsidRPr="0041608F" w:rsidRDefault="003D52DD" w:rsidP="003D52DD">
      <w:pPr>
        <w:rPr>
          <w:rFonts w:cs="Times New Roman"/>
          <w:sz w:val="24"/>
          <w:lang w:val="en-GB"/>
        </w:rPr>
      </w:pPr>
      <w:r w:rsidRPr="0041608F">
        <w:rPr>
          <w:rFonts w:cs="Times New Roman"/>
          <w:lang w:val="en-GB"/>
        </w:rPr>
        <w:t xml:space="preserve">SUBMIT THE FOLLOWING </w:t>
      </w:r>
      <w:r w:rsidR="00285B9D" w:rsidRPr="0041608F">
        <w:rPr>
          <w:lang w:val="en-GB"/>
        </w:rPr>
        <w:t>LONG-TERM</w:t>
      </w:r>
      <w:r w:rsidR="00285B9D" w:rsidRPr="0041608F">
        <w:rPr>
          <w:rFonts w:cs="Times New Roman"/>
          <w:lang w:val="en-GB"/>
        </w:rPr>
        <w:t xml:space="preserve"> </w:t>
      </w:r>
      <w:r w:rsidR="00B33148" w:rsidRPr="0041608F">
        <w:rPr>
          <w:rFonts w:cs="Times New Roman"/>
          <w:lang w:val="en-GB"/>
        </w:rPr>
        <w:t>CCM</w:t>
      </w:r>
      <w:r w:rsidR="00DA4CF7" w:rsidRPr="0041608F">
        <w:rPr>
          <w:rFonts w:cs="Times New Roman"/>
          <w:lang w:val="en-GB"/>
        </w:rPr>
        <w:t xml:space="preserve"> </w:t>
      </w:r>
      <w:r w:rsidRPr="0041608F">
        <w:rPr>
          <w:rFonts w:cs="Times New Roman"/>
          <w:lang w:val="en-GB"/>
        </w:rPr>
        <w:t>TO ALL REGULATORY AUTHORITIES</w:t>
      </w:r>
      <w:r w:rsidR="00C21E3F" w:rsidRPr="0041608F">
        <w:rPr>
          <w:rFonts w:cs="Times New Roman"/>
          <w:lang w:val="en-GB"/>
        </w:rPr>
        <w:t xml:space="preserve"> OF THE </w:t>
      </w:r>
      <w:r w:rsidR="004E0D23" w:rsidRPr="0041608F">
        <w:rPr>
          <w:rFonts w:cs="Times New Roman"/>
          <w:lang w:val="en-GB"/>
        </w:rPr>
        <w:t>BALTIC CCR</w:t>
      </w:r>
      <w:r w:rsidRPr="0041608F">
        <w:rPr>
          <w:rFonts w:cs="Times New Roman"/>
          <w:lang w:val="en-GB"/>
        </w:rPr>
        <w:t>:</w:t>
      </w:r>
    </w:p>
    <w:p w14:paraId="09804F2E" w14:textId="3384DBAA" w:rsidR="003D52DD" w:rsidRPr="0041608F" w:rsidRDefault="003D52DD" w:rsidP="005D6338">
      <w:pPr>
        <w:pStyle w:val="Heading1"/>
      </w:pPr>
      <w:bookmarkStart w:id="8" w:name="_Toc153355172"/>
      <w:bookmarkStart w:id="9" w:name="_Toc153355301"/>
      <w:bookmarkStart w:id="10" w:name="_Toc153355539"/>
      <w:bookmarkStart w:id="11" w:name="_Toc158275573"/>
      <w:r w:rsidRPr="0041608F">
        <w:t>Subject matter and scope</w:t>
      </w:r>
      <w:bookmarkEnd w:id="8"/>
      <w:bookmarkEnd w:id="9"/>
      <w:bookmarkEnd w:id="10"/>
      <w:bookmarkEnd w:id="11"/>
    </w:p>
    <w:p w14:paraId="7DB600DF" w14:textId="6C48F464" w:rsidR="00E068BC" w:rsidRPr="0041608F" w:rsidRDefault="003D52DD" w:rsidP="008E4773">
      <w:pPr>
        <w:pStyle w:val="ListParagraph"/>
        <w:numPr>
          <w:ilvl w:val="1"/>
          <w:numId w:val="12"/>
        </w:numPr>
        <w:tabs>
          <w:tab w:val="left" w:pos="567"/>
        </w:tabs>
        <w:contextualSpacing w:val="0"/>
        <w:jc w:val="both"/>
        <w:rPr>
          <w:rFonts w:cs="Arial"/>
          <w:bCs/>
          <w:color w:val="000000"/>
          <w:szCs w:val="24"/>
          <w:lang w:val="en-GB"/>
        </w:rPr>
      </w:pPr>
      <w:r w:rsidRPr="0041608F">
        <w:rPr>
          <w:rFonts w:cs="Arial"/>
          <w:b w:val="0"/>
          <w:bCs/>
          <w:lang w:val="en-GB"/>
        </w:rPr>
        <w:t>The</w:t>
      </w:r>
      <w:r w:rsidR="0022102D" w:rsidRPr="0041608F">
        <w:rPr>
          <w:rFonts w:cs="Arial"/>
          <w:b w:val="0"/>
          <w:bCs/>
          <w:lang w:val="en-GB"/>
        </w:rPr>
        <w:t xml:space="preserve"> common </w:t>
      </w:r>
      <w:r w:rsidR="00434665" w:rsidRPr="0041608F">
        <w:rPr>
          <w:rFonts w:cs="Arial"/>
          <w:b w:val="0"/>
          <w:bCs/>
          <w:lang w:val="en-GB"/>
        </w:rPr>
        <w:t>CCM</w:t>
      </w:r>
      <w:r w:rsidR="0022102D" w:rsidRPr="0041608F">
        <w:rPr>
          <w:rFonts w:cs="Arial"/>
          <w:b w:val="0"/>
          <w:bCs/>
          <w:lang w:val="en-GB"/>
        </w:rPr>
        <w:t xml:space="preserve"> for long-term timeframes as determined in this document shall be considered as the </w:t>
      </w:r>
      <w:r w:rsidR="006C5521" w:rsidRPr="0041608F">
        <w:rPr>
          <w:rFonts w:cs="Arial"/>
          <w:b w:val="0"/>
          <w:bCs/>
          <w:lang w:val="en-GB"/>
        </w:rPr>
        <w:t xml:space="preserve">common </w:t>
      </w:r>
      <w:r w:rsidR="003B2BAD" w:rsidRPr="0041608F">
        <w:rPr>
          <w:rFonts w:cs="Arial"/>
          <w:b w:val="0"/>
          <w:bCs/>
          <w:lang w:val="en-GB"/>
        </w:rPr>
        <w:t>L</w:t>
      </w:r>
      <w:r w:rsidR="006855B0" w:rsidRPr="0041608F">
        <w:rPr>
          <w:rFonts w:cs="Arial"/>
          <w:b w:val="0"/>
          <w:bCs/>
          <w:lang w:val="en-GB"/>
        </w:rPr>
        <w:t>ong-term</w:t>
      </w:r>
      <w:r w:rsidR="003B2BAD" w:rsidRPr="0041608F">
        <w:rPr>
          <w:rFonts w:cs="Arial"/>
          <w:b w:val="0"/>
          <w:bCs/>
          <w:lang w:val="en-GB"/>
        </w:rPr>
        <w:t xml:space="preserve"> </w:t>
      </w:r>
      <w:r w:rsidR="008B484A" w:rsidRPr="0041608F">
        <w:rPr>
          <w:rFonts w:cs="Arial"/>
          <w:b w:val="0"/>
          <w:bCs/>
          <w:lang w:val="en-GB"/>
        </w:rPr>
        <w:t xml:space="preserve">Methodology </w:t>
      </w:r>
      <w:r w:rsidR="0022102D" w:rsidRPr="0041608F">
        <w:rPr>
          <w:rFonts w:cs="Arial"/>
          <w:b w:val="0"/>
          <w:bCs/>
          <w:lang w:val="en-GB"/>
        </w:rPr>
        <w:t>of Baltic CCR TSOs in accordance with Article</w:t>
      </w:r>
      <w:r w:rsidR="00B16423" w:rsidRPr="0041608F">
        <w:rPr>
          <w:rFonts w:cs="Arial"/>
          <w:b w:val="0"/>
          <w:bCs/>
          <w:lang w:val="en-GB"/>
        </w:rPr>
        <w:t xml:space="preserve"> 10</w:t>
      </w:r>
      <w:r w:rsidR="00700717" w:rsidRPr="0041608F">
        <w:rPr>
          <w:rFonts w:cs="Arial"/>
          <w:b w:val="0"/>
          <w:bCs/>
          <w:lang w:val="en-GB"/>
        </w:rPr>
        <w:t>(1)</w:t>
      </w:r>
      <w:r w:rsidR="00B16423" w:rsidRPr="0041608F">
        <w:rPr>
          <w:rFonts w:cs="Arial"/>
          <w:b w:val="0"/>
          <w:bCs/>
          <w:lang w:val="en-GB"/>
        </w:rPr>
        <w:t xml:space="preserve"> </w:t>
      </w:r>
      <w:r w:rsidR="00A4123E" w:rsidRPr="0041608F">
        <w:rPr>
          <w:rFonts w:cs="Arial"/>
          <w:b w:val="0"/>
          <w:bCs/>
          <w:lang w:val="en-GB"/>
        </w:rPr>
        <w:t xml:space="preserve">and Article 21 </w:t>
      </w:r>
      <w:r w:rsidR="00B16423" w:rsidRPr="0041608F">
        <w:rPr>
          <w:rFonts w:cs="Arial"/>
          <w:b w:val="0"/>
          <w:bCs/>
          <w:lang w:val="en-GB"/>
        </w:rPr>
        <w:t>of FCA Regulation.</w:t>
      </w:r>
    </w:p>
    <w:p w14:paraId="6D2AB7CC" w14:textId="328B9EAB" w:rsidR="000D0E0D" w:rsidRPr="0041608F" w:rsidRDefault="00A4123E" w:rsidP="008E4773">
      <w:pPr>
        <w:pStyle w:val="ListParagraph"/>
        <w:numPr>
          <w:ilvl w:val="1"/>
          <w:numId w:val="12"/>
        </w:numPr>
        <w:tabs>
          <w:tab w:val="left" w:pos="567"/>
        </w:tabs>
        <w:autoSpaceDE w:val="0"/>
        <w:autoSpaceDN w:val="0"/>
        <w:adjustRightInd w:val="0"/>
        <w:contextualSpacing w:val="0"/>
        <w:jc w:val="both"/>
        <w:rPr>
          <w:rFonts w:cs="Arial"/>
          <w:bCs/>
          <w:lang w:val="en-GB"/>
        </w:rPr>
      </w:pPr>
      <w:bookmarkStart w:id="12" w:name="_Hlk8984510"/>
      <w:r w:rsidRPr="0041608F">
        <w:rPr>
          <w:rFonts w:cs="Arial"/>
          <w:b w:val="0"/>
          <w:bCs/>
          <w:iCs/>
          <w:lang w:val="en-GB"/>
        </w:rPr>
        <w:t xml:space="preserve">Long-term CCM covers </w:t>
      </w:r>
      <w:r w:rsidR="003B0324" w:rsidRPr="0041608F">
        <w:rPr>
          <w:rFonts w:cs="Arial"/>
          <w:b w:val="0"/>
          <w:bCs/>
          <w:iCs/>
          <w:lang w:val="en-GB"/>
        </w:rPr>
        <w:t xml:space="preserve">long-term </w:t>
      </w:r>
      <w:r w:rsidRPr="0041608F">
        <w:rPr>
          <w:rFonts w:cs="Arial"/>
          <w:b w:val="0"/>
          <w:bCs/>
          <w:iCs/>
          <w:lang w:val="en-GB"/>
        </w:rPr>
        <w:t>capacity calculation timeframe</w:t>
      </w:r>
      <w:r w:rsidR="003B0324" w:rsidRPr="0041608F">
        <w:rPr>
          <w:rFonts w:cs="Arial"/>
          <w:b w:val="0"/>
          <w:bCs/>
          <w:iCs/>
          <w:lang w:val="en-GB"/>
        </w:rPr>
        <w:t>s</w:t>
      </w:r>
      <w:r w:rsidRPr="0041608F">
        <w:rPr>
          <w:rFonts w:cs="Arial"/>
          <w:b w:val="0"/>
          <w:bCs/>
          <w:iCs/>
          <w:lang w:val="en-GB"/>
        </w:rPr>
        <w:t xml:space="preserve">, </w:t>
      </w:r>
      <w:r w:rsidR="003B0324" w:rsidRPr="0041608F">
        <w:rPr>
          <w:rFonts w:cs="Arial"/>
          <w:b w:val="0"/>
          <w:bCs/>
          <w:iCs/>
          <w:lang w:val="en-GB"/>
        </w:rPr>
        <w:t xml:space="preserve">which are foreseen </w:t>
      </w:r>
      <w:r w:rsidR="00D0553A" w:rsidRPr="0041608F">
        <w:rPr>
          <w:rFonts w:cs="Arial"/>
          <w:b w:val="0"/>
          <w:bCs/>
          <w:iCs/>
          <w:lang w:val="en-GB"/>
        </w:rPr>
        <w:t xml:space="preserve">by Article 9 of FCA </w:t>
      </w:r>
      <w:r w:rsidR="00A06811" w:rsidRPr="0041608F">
        <w:rPr>
          <w:rFonts w:cs="Arial"/>
          <w:b w:val="0"/>
          <w:bCs/>
          <w:iCs/>
          <w:lang w:val="en-GB"/>
        </w:rPr>
        <w:t>Regulation,</w:t>
      </w:r>
      <w:r w:rsidR="00D0553A" w:rsidRPr="0041608F">
        <w:rPr>
          <w:rFonts w:cs="Arial"/>
          <w:b w:val="0"/>
          <w:bCs/>
          <w:iCs/>
          <w:lang w:val="en-GB"/>
        </w:rPr>
        <w:t xml:space="preserve"> and any timeframe included </w:t>
      </w:r>
      <w:r w:rsidR="003B0324" w:rsidRPr="0041608F">
        <w:rPr>
          <w:rFonts w:cs="Arial"/>
          <w:b w:val="0"/>
          <w:bCs/>
          <w:iCs/>
          <w:lang w:val="en-GB"/>
        </w:rPr>
        <w:t>in</w:t>
      </w:r>
      <w:r w:rsidRPr="0041608F">
        <w:rPr>
          <w:rFonts w:cs="Arial"/>
          <w:b w:val="0"/>
          <w:bCs/>
          <w:iCs/>
          <w:lang w:val="en-GB"/>
        </w:rPr>
        <w:t xml:space="preserve"> the regional design of long-term transmission rights pursuant to Article 31 of FCA </w:t>
      </w:r>
      <w:r w:rsidR="007832AC" w:rsidRPr="0041608F">
        <w:rPr>
          <w:rFonts w:cs="Arial"/>
          <w:b w:val="0"/>
          <w:bCs/>
          <w:iCs/>
          <w:lang w:val="en-GB"/>
        </w:rPr>
        <w:t>Regulation</w:t>
      </w:r>
      <w:r w:rsidR="00F669B5" w:rsidRPr="0041608F">
        <w:rPr>
          <w:rFonts w:cs="Arial"/>
          <w:b w:val="0"/>
          <w:bCs/>
          <w:iCs/>
          <w:lang w:val="en-GB"/>
        </w:rPr>
        <w:t>.</w:t>
      </w:r>
      <w:bookmarkEnd w:id="12"/>
    </w:p>
    <w:p w14:paraId="36D0CF54" w14:textId="087E742E" w:rsidR="000D0E0D" w:rsidRPr="0041608F" w:rsidRDefault="000D0E0D" w:rsidP="6FC37538">
      <w:pPr>
        <w:pStyle w:val="ListParagraph"/>
        <w:numPr>
          <w:ilvl w:val="1"/>
          <w:numId w:val="12"/>
        </w:numPr>
        <w:tabs>
          <w:tab w:val="left" w:pos="567"/>
        </w:tabs>
        <w:jc w:val="both"/>
        <w:rPr>
          <w:rFonts w:cs="Arial"/>
          <w:lang w:val="en-GB"/>
        </w:rPr>
      </w:pPr>
      <w:r w:rsidRPr="0041608F">
        <w:rPr>
          <w:rFonts w:cs="Arial"/>
          <w:b w:val="0"/>
          <w:lang w:val="en-GB"/>
        </w:rPr>
        <w:t>No physical capacity allocation (both implicit</w:t>
      </w:r>
      <w:r w:rsidR="00943086" w:rsidRPr="0041608F">
        <w:rPr>
          <w:rFonts w:cs="Arial"/>
          <w:b w:val="0"/>
          <w:lang w:val="en-GB"/>
        </w:rPr>
        <w:t>ly</w:t>
      </w:r>
      <w:r w:rsidRPr="0041608F">
        <w:rPr>
          <w:rFonts w:cs="Arial"/>
          <w:b w:val="0"/>
          <w:lang w:val="en-GB"/>
        </w:rPr>
        <w:t xml:space="preserve"> and explicit</w:t>
      </w:r>
      <w:r w:rsidR="00943086" w:rsidRPr="0041608F">
        <w:rPr>
          <w:rFonts w:cs="Arial"/>
          <w:b w:val="0"/>
          <w:lang w:val="en-GB"/>
        </w:rPr>
        <w:t>ly</w:t>
      </w:r>
      <w:r w:rsidRPr="0041608F">
        <w:rPr>
          <w:rFonts w:cs="Arial"/>
          <w:b w:val="0"/>
          <w:lang w:val="en-GB"/>
        </w:rPr>
        <w:t>)</w:t>
      </w:r>
      <w:r w:rsidR="006640EA" w:rsidRPr="0041608F">
        <w:rPr>
          <w:rFonts w:cs="Arial"/>
          <w:b w:val="0"/>
          <w:lang w:val="en-GB"/>
        </w:rPr>
        <w:t xml:space="preserve"> other than </w:t>
      </w:r>
      <w:r w:rsidR="00F7091F" w:rsidRPr="0041608F">
        <w:rPr>
          <w:rFonts w:cs="Arial"/>
          <w:b w:val="0"/>
          <w:lang w:val="en-GB"/>
        </w:rPr>
        <w:t>balancing capacity market</w:t>
      </w:r>
      <w:r w:rsidR="00CF540E" w:rsidRPr="0041608F">
        <w:rPr>
          <w:rFonts w:cs="Arial"/>
          <w:b w:val="0"/>
          <w:lang w:val="en-GB"/>
        </w:rPr>
        <w:t xml:space="preserve"> allocations are</w:t>
      </w:r>
      <w:r w:rsidRPr="0041608F">
        <w:rPr>
          <w:rFonts w:cs="Arial"/>
          <w:b w:val="0"/>
          <w:lang w:val="en-GB"/>
        </w:rPr>
        <w:t xml:space="preserve"> made before day-ahead implicit allocation and no physical capacity is reserved (both implicitly and explicitly) for long-term capacity on the Baltic CCR borders.</w:t>
      </w:r>
    </w:p>
    <w:p w14:paraId="03AEA7C8" w14:textId="0EA47845" w:rsidR="003D52DD" w:rsidRPr="0041608F" w:rsidRDefault="003D52DD" w:rsidP="004C36E6">
      <w:pPr>
        <w:pStyle w:val="Heading1"/>
        <w:ind w:left="0" w:firstLine="0"/>
        <w:jc w:val="both"/>
      </w:pPr>
      <w:bookmarkStart w:id="13" w:name="_Toc153355173"/>
      <w:bookmarkStart w:id="14" w:name="_Toc153355302"/>
      <w:bookmarkStart w:id="15" w:name="_Toc153355540"/>
      <w:bookmarkStart w:id="16" w:name="_Toc158275574"/>
      <w:bookmarkStart w:id="17" w:name="_Toc464485818"/>
      <w:bookmarkStart w:id="18" w:name="_Toc432586790"/>
      <w:bookmarkStart w:id="19" w:name="_Toc432586770"/>
      <w:r w:rsidRPr="0041608F">
        <w:t>Definitions</w:t>
      </w:r>
      <w:bookmarkEnd w:id="13"/>
      <w:bookmarkEnd w:id="14"/>
      <w:bookmarkEnd w:id="15"/>
      <w:bookmarkEnd w:id="16"/>
      <w:r w:rsidRPr="0041608F">
        <w:t xml:space="preserve"> </w:t>
      </w:r>
      <w:bookmarkEnd w:id="17"/>
      <w:bookmarkEnd w:id="18"/>
      <w:bookmarkEnd w:id="19"/>
    </w:p>
    <w:p w14:paraId="45C2D38D" w14:textId="77777777" w:rsidR="00C77D8F" w:rsidRPr="0041608F" w:rsidRDefault="00C77D8F" w:rsidP="008E4773">
      <w:pPr>
        <w:pStyle w:val="ListParagraph"/>
        <w:numPr>
          <w:ilvl w:val="0"/>
          <w:numId w:val="15"/>
        </w:numPr>
        <w:tabs>
          <w:tab w:val="left" w:pos="567"/>
        </w:tabs>
        <w:contextualSpacing w:val="0"/>
        <w:jc w:val="both"/>
        <w:rPr>
          <w:rFonts w:cs="Arial"/>
          <w:b w:val="0"/>
          <w:bCs/>
          <w:vanish/>
          <w:lang w:val="en-GB"/>
        </w:rPr>
      </w:pPr>
    </w:p>
    <w:p w14:paraId="084E89AC" w14:textId="77777777" w:rsidR="00C77D8F" w:rsidRPr="0041608F" w:rsidRDefault="00C77D8F" w:rsidP="008E4773">
      <w:pPr>
        <w:pStyle w:val="ListParagraph"/>
        <w:numPr>
          <w:ilvl w:val="0"/>
          <w:numId w:val="15"/>
        </w:numPr>
        <w:tabs>
          <w:tab w:val="left" w:pos="567"/>
        </w:tabs>
        <w:contextualSpacing w:val="0"/>
        <w:jc w:val="both"/>
        <w:rPr>
          <w:rFonts w:cs="Arial"/>
          <w:b w:val="0"/>
          <w:bCs/>
          <w:vanish/>
          <w:lang w:val="en-GB"/>
        </w:rPr>
      </w:pPr>
    </w:p>
    <w:p w14:paraId="3AAC65DF" w14:textId="7F08708C" w:rsidR="00591968" w:rsidRPr="0041608F" w:rsidRDefault="003D52DD" w:rsidP="008E4773">
      <w:pPr>
        <w:pStyle w:val="ListParagraph"/>
        <w:numPr>
          <w:ilvl w:val="1"/>
          <w:numId w:val="15"/>
        </w:numPr>
        <w:tabs>
          <w:tab w:val="left" w:pos="567"/>
        </w:tabs>
        <w:contextualSpacing w:val="0"/>
        <w:jc w:val="both"/>
        <w:rPr>
          <w:rFonts w:cs="Arial"/>
          <w:color w:val="FF0000"/>
          <w:lang w:val="en-GB"/>
        </w:rPr>
      </w:pPr>
      <w:r w:rsidRPr="0041608F">
        <w:rPr>
          <w:rFonts w:cs="Arial"/>
          <w:b w:val="0"/>
          <w:bCs/>
          <w:lang w:val="en-GB"/>
        </w:rPr>
        <w:t xml:space="preserve">For the purposes of the </w:t>
      </w:r>
      <w:r w:rsidR="00285B9D" w:rsidRPr="0041608F">
        <w:rPr>
          <w:rFonts w:cs="Arial"/>
          <w:b w:val="0"/>
          <w:bCs/>
          <w:lang w:val="en-GB"/>
        </w:rPr>
        <w:t xml:space="preserve">Long-term </w:t>
      </w:r>
      <w:r w:rsidR="00B5458F" w:rsidRPr="0041608F">
        <w:rPr>
          <w:rFonts w:cs="Arial"/>
          <w:b w:val="0"/>
          <w:bCs/>
          <w:lang w:val="en-GB"/>
        </w:rPr>
        <w:t>CCM</w:t>
      </w:r>
      <w:r w:rsidRPr="0041608F">
        <w:rPr>
          <w:rFonts w:cs="Arial"/>
          <w:b w:val="0"/>
          <w:bCs/>
          <w:lang w:val="en-GB"/>
        </w:rPr>
        <w:t>, terms used in this document shall have the meaning of the definitions included in</w:t>
      </w:r>
      <w:r w:rsidR="00384D25" w:rsidRPr="0041608F">
        <w:rPr>
          <w:rFonts w:cs="Arial"/>
          <w:b w:val="0"/>
          <w:bCs/>
          <w:lang w:val="en-GB"/>
        </w:rPr>
        <w:t xml:space="preserve"> </w:t>
      </w:r>
      <w:r w:rsidRPr="0041608F">
        <w:rPr>
          <w:rFonts w:cs="Arial"/>
          <w:b w:val="0"/>
          <w:bCs/>
          <w:lang w:val="en-GB"/>
        </w:rPr>
        <w:t xml:space="preserve">Article 2 of the </w:t>
      </w:r>
      <w:r w:rsidR="007832AC" w:rsidRPr="0041608F">
        <w:rPr>
          <w:rFonts w:cs="Arial"/>
          <w:b w:val="0"/>
          <w:bCs/>
          <w:lang w:val="en-GB"/>
        </w:rPr>
        <w:t>Commission Regulation (EU) 2015/1222 establishing a guideline on capacity allocation and congestion management (hereafter referred to as "CACM Regulation")</w:t>
      </w:r>
      <w:r w:rsidRPr="0041608F">
        <w:rPr>
          <w:rFonts w:cs="Arial"/>
          <w:b w:val="0"/>
          <w:bCs/>
          <w:lang w:val="en-GB"/>
        </w:rPr>
        <w:t>,</w:t>
      </w:r>
      <w:r w:rsidR="005C189B" w:rsidRPr="0041608F">
        <w:rPr>
          <w:rFonts w:cs="Arial"/>
          <w:b w:val="0"/>
          <w:bCs/>
          <w:lang w:val="en-GB"/>
        </w:rPr>
        <w:t xml:space="preserve"> Article 2 of the FCA Regulation,</w:t>
      </w:r>
      <w:r w:rsidR="00082700" w:rsidRPr="0041608F">
        <w:rPr>
          <w:rFonts w:cs="Arial"/>
          <w:b w:val="0"/>
          <w:bCs/>
          <w:lang w:val="en-GB"/>
        </w:rPr>
        <w:t xml:space="preserve"> Article 2</w:t>
      </w:r>
      <w:r w:rsidRPr="0041608F">
        <w:rPr>
          <w:rFonts w:cs="Arial"/>
          <w:b w:val="0"/>
          <w:bCs/>
          <w:lang w:val="en-GB"/>
        </w:rPr>
        <w:t xml:space="preserve"> of </w:t>
      </w:r>
      <w:r w:rsidR="00BD45C8" w:rsidRPr="0041608F">
        <w:rPr>
          <w:rFonts w:cs="Arial"/>
          <w:b w:val="0"/>
          <w:bCs/>
          <w:lang w:val="en-GB"/>
        </w:rPr>
        <w:t>Regulation (EC) No 714/2009 of the European Parliament and of the Council of 13 July 2009 on conditions for access to the network for cross-border exchanges in electricity and repealing Regulation (EC) No 1228/2003</w:t>
      </w:r>
      <w:r w:rsidR="00082700" w:rsidRPr="0041608F">
        <w:rPr>
          <w:rFonts w:cs="Arial"/>
          <w:b w:val="0"/>
          <w:bCs/>
          <w:lang w:val="en-GB"/>
        </w:rPr>
        <w:t xml:space="preserve"> </w:t>
      </w:r>
      <w:r w:rsidR="001B2BBE" w:rsidRPr="0041608F">
        <w:rPr>
          <w:rFonts w:cs="Arial"/>
          <w:b w:val="0"/>
          <w:bCs/>
          <w:lang w:val="en-GB"/>
        </w:rPr>
        <w:t>and</w:t>
      </w:r>
      <w:r w:rsidRPr="0041608F">
        <w:rPr>
          <w:rFonts w:cs="Arial"/>
          <w:b w:val="0"/>
          <w:bCs/>
          <w:lang w:val="en-GB"/>
        </w:rPr>
        <w:t xml:space="preserve"> </w:t>
      </w:r>
      <w:r w:rsidR="00212185" w:rsidRPr="0041608F">
        <w:rPr>
          <w:rFonts w:cs="Arial"/>
          <w:b w:val="0"/>
          <w:bCs/>
          <w:lang w:val="en-GB"/>
        </w:rPr>
        <w:t>Directive 2009/72/EC of the European Parliament and of the Council of 13 July 2009 concerning common rules for the internal market in electricity and repealing Directive 2003/54/EC</w:t>
      </w:r>
      <w:r w:rsidRPr="0041608F">
        <w:rPr>
          <w:rFonts w:cs="Arial"/>
          <w:b w:val="0"/>
          <w:bCs/>
          <w:lang w:val="en-GB"/>
        </w:rPr>
        <w:t>.</w:t>
      </w:r>
    </w:p>
    <w:p w14:paraId="340918B9" w14:textId="6C8C5727" w:rsidR="00292516" w:rsidRPr="0041608F" w:rsidRDefault="00292516" w:rsidP="00EB742A">
      <w:pPr>
        <w:pStyle w:val="Bodytext22"/>
        <w:shd w:val="clear" w:color="auto" w:fill="auto"/>
        <w:tabs>
          <w:tab w:val="left" w:pos="0"/>
        </w:tabs>
        <w:spacing w:before="0" w:line="240" w:lineRule="auto"/>
        <w:ind w:firstLine="0"/>
        <w:rPr>
          <w:lang w:val="en-GB"/>
        </w:rPr>
      </w:pPr>
      <w:r w:rsidRPr="0041608F">
        <w:rPr>
          <w:rStyle w:val="Bodytext2Bold"/>
        </w:rPr>
        <w:t>BSPS</w:t>
      </w:r>
      <w:r w:rsidR="00F21AA3" w:rsidRPr="0041608F">
        <w:rPr>
          <w:rStyle w:val="Bodytext2Bold"/>
          <w:b w:val="0"/>
          <w:bCs w:val="0"/>
        </w:rPr>
        <w:t xml:space="preserve"> </w:t>
      </w:r>
      <w:r w:rsidR="00F21AA3" w:rsidRPr="0041608F">
        <w:rPr>
          <w:lang w:val="en-GB"/>
        </w:rPr>
        <w:t>–</w:t>
      </w:r>
      <w:r w:rsidRPr="0041608F">
        <w:rPr>
          <w:rStyle w:val="Bodytext2Bold"/>
        </w:rPr>
        <w:t xml:space="preserve"> </w:t>
      </w:r>
      <w:r w:rsidRPr="0041608F">
        <w:rPr>
          <w:lang w:val="en-GB"/>
        </w:rPr>
        <w:t xml:space="preserve">Baltic State Power Systems (Republic of Estonia, the Republic of </w:t>
      </w:r>
      <w:proofErr w:type="gramStart"/>
      <w:r w:rsidRPr="0041608F">
        <w:rPr>
          <w:lang w:val="en-GB"/>
        </w:rPr>
        <w:t>Latvia</w:t>
      </w:r>
      <w:proofErr w:type="gramEnd"/>
      <w:r w:rsidRPr="0041608F">
        <w:rPr>
          <w:lang w:val="en-GB"/>
        </w:rPr>
        <w:t xml:space="preserve"> and the Republic of Lithuania)</w:t>
      </w:r>
    </w:p>
    <w:p w14:paraId="5C063085" w14:textId="5EF854F3" w:rsidR="00292516" w:rsidRPr="0041608F" w:rsidRDefault="00292516" w:rsidP="00EB742A">
      <w:pPr>
        <w:pStyle w:val="Bodytext22"/>
        <w:shd w:val="clear" w:color="auto" w:fill="auto"/>
        <w:tabs>
          <w:tab w:val="left" w:pos="0"/>
        </w:tabs>
        <w:spacing w:before="0" w:line="240" w:lineRule="auto"/>
        <w:ind w:firstLine="0"/>
        <w:rPr>
          <w:lang w:val="en-GB"/>
        </w:rPr>
      </w:pPr>
      <w:r w:rsidRPr="0041608F">
        <w:rPr>
          <w:rStyle w:val="Bodytext2Bold"/>
        </w:rPr>
        <w:t xml:space="preserve">Cross-Border Interconnection </w:t>
      </w:r>
      <w:r w:rsidR="00F21AA3" w:rsidRPr="0041608F">
        <w:rPr>
          <w:lang w:val="en-GB"/>
        </w:rPr>
        <w:t>–</w:t>
      </w:r>
      <w:r w:rsidRPr="0041608F">
        <w:rPr>
          <w:lang w:val="en-GB"/>
        </w:rPr>
        <w:t xml:space="preserve"> is a physical transmission link (e.g. tie-lines) which connects two power systems.</w:t>
      </w:r>
    </w:p>
    <w:p w14:paraId="78C2E7FF" w14:textId="77DFC9C3" w:rsidR="00292516" w:rsidRPr="0041608F" w:rsidRDefault="00292516" w:rsidP="00EB742A">
      <w:pPr>
        <w:pStyle w:val="Bodytext22"/>
        <w:shd w:val="clear" w:color="auto" w:fill="auto"/>
        <w:spacing w:before="0" w:line="240" w:lineRule="auto"/>
        <w:ind w:firstLine="0"/>
        <w:rPr>
          <w:lang w:val="en-GB"/>
        </w:rPr>
      </w:pPr>
      <w:r w:rsidRPr="0041608F">
        <w:rPr>
          <w:rStyle w:val="Bodytext2Bold"/>
        </w:rPr>
        <w:t xml:space="preserve">CGM (Common Grid Model) </w:t>
      </w:r>
      <w:r w:rsidR="00F21AA3" w:rsidRPr="0041608F">
        <w:rPr>
          <w:lang w:val="en-GB"/>
        </w:rPr>
        <w:t>–</w:t>
      </w:r>
      <w:r w:rsidRPr="0041608F">
        <w:rPr>
          <w:lang w:val="en-GB"/>
        </w:rPr>
        <w:t xml:space="preserve"> electrical system grid model agreed between TSOs describing the main characteristic of the power system (generation, loads and grid topology) and rules for changing these characteristics during the capacity calculation process in accordance with Article 17 of the CACM Regulation. </w:t>
      </w:r>
    </w:p>
    <w:p w14:paraId="684B2B21" w14:textId="77777777" w:rsidR="00292516" w:rsidRPr="0041608F" w:rsidRDefault="00292516" w:rsidP="00EB742A">
      <w:pPr>
        <w:pStyle w:val="Bodytext22"/>
        <w:shd w:val="clear" w:color="auto" w:fill="auto"/>
        <w:spacing w:before="0" w:line="240" w:lineRule="auto"/>
        <w:ind w:firstLine="0"/>
        <w:rPr>
          <w:lang w:val="en-GB"/>
        </w:rPr>
      </w:pPr>
      <w:r w:rsidRPr="0041608F">
        <w:rPr>
          <w:b/>
          <w:bCs/>
          <w:lang w:val="en-GB"/>
        </w:rPr>
        <w:t>CGMES</w:t>
      </w:r>
      <w:r w:rsidRPr="0041608F">
        <w:rPr>
          <w:lang w:val="en-GB"/>
        </w:rPr>
        <w:t xml:space="preserve"> – Common grid model exchange standard.</w:t>
      </w:r>
    </w:p>
    <w:p w14:paraId="07DD1230" w14:textId="5F4C35B9" w:rsidR="00292516" w:rsidRPr="0041608F" w:rsidRDefault="00292516" w:rsidP="00EB742A">
      <w:pPr>
        <w:pStyle w:val="Bodytext22"/>
        <w:shd w:val="clear" w:color="auto" w:fill="auto"/>
        <w:tabs>
          <w:tab w:val="left" w:pos="0"/>
        </w:tabs>
        <w:spacing w:before="0" w:line="240" w:lineRule="auto"/>
        <w:ind w:firstLine="0"/>
        <w:rPr>
          <w:lang w:val="en-GB"/>
        </w:rPr>
      </w:pPr>
      <w:proofErr w:type="spellStart"/>
      <w:r w:rsidRPr="0041608F">
        <w:rPr>
          <w:rStyle w:val="Bodytext2Bold"/>
        </w:rPr>
        <w:t>Elering</w:t>
      </w:r>
      <w:proofErr w:type="spellEnd"/>
      <w:r w:rsidRPr="0041608F">
        <w:rPr>
          <w:rStyle w:val="Bodytext2Bold"/>
        </w:rPr>
        <w:t xml:space="preserve"> </w:t>
      </w:r>
      <w:r w:rsidR="00F21AA3" w:rsidRPr="0041608F">
        <w:rPr>
          <w:lang w:val="en-GB"/>
        </w:rPr>
        <w:t>–</w:t>
      </w:r>
      <w:r w:rsidRPr="0041608F">
        <w:rPr>
          <w:lang w:val="en-GB"/>
        </w:rPr>
        <w:t xml:space="preserve"> </w:t>
      </w:r>
      <w:proofErr w:type="spellStart"/>
      <w:r w:rsidRPr="0041608F">
        <w:rPr>
          <w:lang w:val="en-GB"/>
        </w:rPr>
        <w:t>Elering</w:t>
      </w:r>
      <w:proofErr w:type="spellEnd"/>
      <w:r w:rsidRPr="0041608F">
        <w:rPr>
          <w:lang w:val="en-GB"/>
        </w:rPr>
        <w:t xml:space="preserve"> AS, Transmission System Operator of the Republic of Estonia.</w:t>
      </w:r>
    </w:p>
    <w:p w14:paraId="470F6CD1" w14:textId="09B5EC07" w:rsidR="00292516" w:rsidRPr="0041608F" w:rsidRDefault="00292516" w:rsidP="00EB742A">
      <w:pPr>
        <w:pStyle w:val="Bodytext22"/>
        <w:shd w:val="clear" w:color="auto" w:fill="auto"/>
        <w:tabs>
          <w:tab w:val="left" w:pos="0"/>
        </w:tabs>
        <w:spacing w:before="0" w:line="240" w:lineRule="auto"/>
        <w:ind w:firstLine="0"/>
        <w:rPr>
          <w:lang w:val="en-GB"/>
        </w:rPr>
      </w:pPr>
      <w:proofErr w:type="spellStart"/>
      <w:r w:rsidRPr="0041608F">
        <w:rPr>
          <w:rStyle w:val="Bodytext2Bold"/>
        </w:rPr>
        <w:t>Fingrid</w:t>
      </w:r>
      <w:proofErr w:type="spellEnd"/>
      <w:r w:rsidRPr="0041608F">
        <w:rPr>
          <w:rStyle w:val="Bodytext2Bold"/>
        </w:rPr>
        <w:t xml:space="preserve"> </w:t>
      </w:r>
      <w:r w:rsidR="00F21AA3" w:rsidRPr="0041608F">
        <w:rPr>
          <w:lang w:val="en-GB"/>
        </w:rPr>
        <w:t>–</w:t>
      </w:r>
      <w:r w:rsidRPr="0041608F">
        <w:rPr>
          <w:lang w:val="en-GB"/>
        </w:rPr>
        <w:t xml:space="preserve"> </w:t>
      </w:r>
      <w:proofErr w:type="spellStart"/>
      <w:r w:rsidRPr="0041608F">
        <w:rPr>
          <w:lang w:val="en-GB"/>
        </w:rPr>
        <w:t>Fingrid</w:t>
      </w:r>
      <w:proofErr w:type="spellEnd"/>
      <w:r w:rsidRPr="0041608F">
        <w:rPr>
          <w:lang w:val="en-GB"/>
        </w:rPr>
        <w:t xml:space="preserve"> </w:t>
      </w:r>
      <w:proofErr w:type="spellStart"/>
      <w:r w:rsidRPr="0041608F">
        <w:rPr>
          <w:lang w:val="en-GB"/>
        </w:rPr>
        <w:t>Oyj</w:t>
      </w:r>
      <w:proofErr w:type="spellEnd"/>
      <w:r w:rsidRPr="0041608F">
        <w:rPr>
          <w:lang w:val="en-GB"/>
        </w:rPr>
        <w:t xml:space="preserve">, electricity transmission system operator of the </w:t>
      </w:r>
      <w:r w:rsidRPr="0041608F">
        <w:rPr>
          <w:rStyle w:val="Bodytext20"/>
        </w:rPr>
        <w:t>Republic of Finland.</w:t>
      </w:r>
    </w:p>
    <w:p w14:paraId="35CE5C4D" w14:textId="232C78A6" w:rsidR="00292516" w:rsidRPr="0041608F" w:rsidRDefault="00292516" w:rsidP="00EB742A">
      <w:pPr>
        <w:pStyle w:val="Bodytext22"/>
        <w:shd w:val="clear" w:color="auto" w:fill="auto"/>
        <w:tabs>
          <w:tab w:val="left" w:pos="0"/>
        </w:tabs>
        <w:spacing w:before="0" w:line="240" w:lineRule="auto"/>
        <w:ind w:firstLine="0"/>
        <w:rPr>
          <w:lang w:val="en-GB"/>
        </w:rPr>
      </w:pPr>
      <w:r w:rsidRPr="0041608F">
        <w:rPr>
          <w:rStyle w:val="Bodytext2Bold"/>
        </w:rPr>
        <w:t xml:space="preserve">Litgrid </w:t>
      </w:r>
      <w:r w:rsidR="00F21AA3" w:rsidRPr="0041608F">
        <w:rPr>
          <w:lang w:val="en-GB"/>
        </w:rPr>
        <w:t>–</w:t>
      </w:r>
      <w:r w:rsidRPr="0041608F">
        <w:rPr>
          <w:lang w:val="en-GB"/>
        </w:rPr>
        <w:t xml:space="preserve"> LITGRID AB, electricity transmission system operator of the Republic of Lithuania.</w:t>
      </w:r>
    </w:p>
    <w:p w14:paraId="48B7CFA9" w14:textId="77777777" w:rsidR="00292516" w:rsidRPr="0041608F" w:rsidRDefault="00292516" w:rsidP="00EB742A">
      <w:pPr>
        <w:pStyle w:val="Bodytext22"/>
        <w:shd w:val="clear" w:color="auto" w:fill="auto"/>
        <w:tabs>
          <w:tab w:val="left" w:pos="0"/>
        </w:tabs>
        <w:spacing w:before="0" w:line="240" w:lineRule="auto"/>
        <w:ind w:firstLine="0"/>
        <w:rPr>
          <w:lang w:val="en-GB"/>
        </w:rPr>
      </w:pPr>
      <w:bookmarkStart w:id="20" w:name="bookmark5"/>
      <w:r w:rsidRPr="0041608F">
        <w:rPr>
          <w:rStyle w:val="Bodytext2Bold0"/>
        </w:rPr>
        <w:t>Market Coupling Operator (MCO)/Nominated electricity Market Operator (NEMO) -</w:t>
      </w:r>
      <w:bookmarkEnd w:id="20"/>
      <w:r w:rsidRPr="0041608F">
        <w:rPr>
          <w:lang w:val="en-GB"/>
        </w:rPr>
        <w:t xml:space="preserve"> the operator/-s of day-ahead and Intraday Markets in Baltic CCR.</w:t>
      </w:r>
    </w:p>
    <w:p w14:paraId="4EA6707E" w14:textId="7C1D434E" w:rsidR="00292516" w:rsidRPr="0041608F" w:rsidRDefault="00292516" w:rsidP="00EB742A">
      <w:pPr>
        <w:pStyle w:val="Bodytext22"/>
        <w:shd w:val="clear" w:color="auto" w:fill="auto"/>
        <w:tabs>
          <w:tab w:val="left" w:pos="721"/>
        </w:tabs>
        <w:spacing w:before="0" w:line="240" w:lineRule="auto"/>
        <w:ind w:firstLine="0"/>
        <w:rPr>
          <w:lang w:val="en-GB"/>
        </w:rPr>
      </w:pPr>
      <w:r w:rsidRPr="0041608F">
        <w:rPr>
          <w:rStyle w:val="Bodytext2Bold"/>
        </w:rPr>
        <w:t xml:space="preserve">NTC </w:t>
      </w:r>
      <w:r w:rsidR="00F21AA3" w:rsidRPr="0041608F">
        <w:rPr>
          <w:lang w:val="en-GB"/>
        </w:rPr>
        <w:t>–</w:t>
      </w:r>
      <w:r w:rsidRPr="0041608F">
        <w:rPr>
          <w:lang w:val="en-GB"/>
        </w:rPr>
        <w:t xml:space="preserve"> coordinated Net Transmission Capacity of the designated Cross-Border Interconnections is the maximum Trading Capacity, which is permitted in transmission Cross-Border Interconnections compatible with Operational Security standards and </w:t>
      </w:r>
      <w:proofErr w:type="gramStart"/>
      <w:r w:rsidRPr="0041608F">
        <w:rPr>
          <w:lang w:val="en-GB"/>
        </w:rPr>
        <w:t>taking into account</w:t>
      </w:r>
      <w:proofErr w:type="gramEnd"/>
      <w:r w:rsidRPr="0041608F">
        <w:rPr>
          <w:lang w:val="en-GB"/>
        </w:rPr>
        <w:t xml:space="preserve"> the technical uncertainties on planned network conditions for each TSO.</w:t>
      </w:r>
    </w:p>
    <w:p w14:paraId="62367367" w14:textId="062EC59D" w:rsidR="00292516" w:rsidRPr="0041608F" w:rsidRDefault="00292516" w:rsidP="00EB742A">
      <w:pPr>
        <w:pStyle w:val="Bodytext22"/>
        <w:shd w:val="clear" w:color="auto" w:fill="auto"/>
        <w:tabs>
          <w:tab w:val="left" w:pos="721"/>
        </w:tabs>
        <w:spacing w:before="0" w:line="240" w:lineRule="auto"/>
        <w:ind w:firstLine="0"/>
        <w:rPr>
          <w:lang w:val="en-GB"/>
        </w:rPr>
      </w:pPr>
      <w:r w:rsidRPr="0041608F">
        <w:rPr>
          <w:rStyle w:val="Bodytext2Bold"/>
        </w:rPr>
        <w:lastRenderedPageBreak/>
        <w:t xml:space="preserve">PSE </w:t>
      </w:r>
      <w:r w:rsidR="00F21AA3" w:rsidRPr="0041608F">
        <w:rPr>
          <w:lang w:val="en-GB"/>
        </w:rPr>
        <w:t>–</w:t>
      </w:r>
      <w:r w:rsidRPr="0041608F">
        <w:rPr>
          <w:lang w:val="en-GB"/>
        </w:rPr>
        <w:t xml:space="preserve"> PSE S.A., electricity transmission system operator of the Republic of Poland.</w:t>
      </w:r>
    </w:p>
    <w:p w14:paraId="5DF62A41" w14:textId="4B5FCA03" w:rsidR="00292516" w:rsidRPr="0041608F" w:rsidRDefault="00292516" w:rsidP="00EB742A">
      <w:pPr>
        <w:pStyle w:val="Bodytext22"/>
        <w:shd w:val="clear" w:color="auto" w:fill="auto"/>
        <w:tabs>
          <w:tab w:val="left" w:pos="721"/>
        </w:tabs>
        <w:spacing w:before="0" w:line="240" w:lineRule="auto"/>
        <w:ind w:firstLine="0"/>
        <w:rPr>
          <w:lang w:val="en-GB"/>
        </w:rPr>
      </w:pPr>
      <w:r w:rsidRPr="0041608F">
        <w:rPr>
          <w:rStyle w:val="Bodytext2Bold"/>
        </w:rPr>
        <w:t xml:space="preserve">Shift Key </w:t>
      </w:r>
      <w:r w:rsidR="00F21AA3" w:rsidRPr="0041608F">
        <w:rPr>
          <w:lang w:val="en-GB"/>
        </w:rPr>
        <w:t>–</w:t>
      </w:r>
      <w:r w:rsidRPr="0041608F">
        <w:rPr>
          <w:lang w:val="en-GB"/>
        </w:rPr>
        <w:t xml:space="preserve"> means a method of translating a net position change of a given power system into estimated specific injection increases or decreases in the Common Grid Model. Shift Key is settled as generation, renewable </w:t>
      </w:r>
      <w:proofErr w:type="gramStart"/>
      <w:r w:rsidRPr="0041608F">
        <w:rPr>
          <w:lang w:val="en-GB"/>
        </w:rPr>
        <w:t>generation</w:t>
      </w:r>
      <w:proofErr w:type="gramEnd"/>
      <w:r w:rsidRPr="0041608F">
        <w:rPr>
          <w:lang w:val="en-GB"/>
        </w:rPr>
        <w:t xml:space="preserve"> and load.</w:t>
      </w:r>
    </w:p>
    <w:p w14:paraId="47BFF8C6" w14:textId="34D5B4D9" w:rsidR="00292516" w:rsidRPr="0041608F" w:rsidRDefault="00292516" w:rsidP="00EB742A">
      <w:pPr>
        <w:pStyle w:val="Bodytext22"/>
        <w:shd w:val="clear" w:color="auto" w:fill="auto"/>
        <w:tabs>
          <w:tab w:val="left" w:pos="0"/>
        </w:tabs>
        <w:spacing w:before="0" w:line="240" w:lineRule="auto"/>
        <w:ind w:firstLine="0"/>
        <w:rPr>
          <w:lang w:val="en-GB"/>
        </w:rPr>
      </w:pPr>
      <w:proofErr w:type="spellStart"/>
      <w:r w:rsidRPr="0041608F">
        <w:rPr>
          <w:rStyle w:val="Bodytext2Bold"/>
        </w:rPr>
        <w:t>SvK</w:t>
      </w:r>
      <w:proofErr w:type="spellEnd"/>
      <w:r w:rsidRPr="0041608F">
        <w:rPr>
          <w:rStyle w:val="Bodytext2Bold"/>
        </w:rPr>
        <w:t xml:space="preserve"> </w:t>
      </w:r>
      <w:r w:rsidR="00F21AA3" w:rsidRPr="0041608F">
        <w:rPr>
          <w:lang w:val="en-GB"/>
        </w:rPr>
        <w:t>–</w:t>
      </w:r>
      <w:r w:rsidRPr="0041608F">
        <w:rPr>
          <w:rStyle w:val="Bodytext2Bold"/>
        </w:rPr>
        <w:t xml:space="preserve"> </w:t>
      </w:r>
      <w:r w:rsidRPr="0041608F">
        <w:rPr>
          <w:lang w:val="en-GB"/>
        </w:rPr>
        <w:t xml:space="preserve">Svenska </w:t>
      </w:r>
      <w:proofErr w:type="spellStart"/>
      <w:r w:rsidRPr="0041608F">
        <w:rPr>
          <w:lang w:val="en-GB"/>
        </w:rPr>
        <w:t>kraftnat</w:t>
      </w:r>
      <w:proofErr w:type="spellEnd"/>
      <w:r w:rsidRPr="0041608F">
        <w:rPr>
          <w:lang w:val="en-GB"/>
        </w:rPr>
        <w:t>, electricity transmission system operator in Sweden.</w:t>
      </w:r>
    </w:p>
    <w:p w14:paraId="2AB792C2" w14:textId="0587C7EC" w:rsidR="00292516" w:rsidRPr="0041608F" w:rsidRDefault="00292516" w:rsidP="00EB742A">
      <w:pPr>
        <w:pStyle w:val="Bodytext22"/>
        <w:shd w:val="clear" w:color="auto" w:fill="auto"/>
        <w:tabs>
          <w:tab w:val="left" w:pos="720"/>
        </w:tabs>
        <w:spacing w:before="0" w:line="240" w:lineRule="auto"/>
        <w:ind w:firstLine="0"/>
        <w:rPr>
          <w:lang w:val="en-GB"/>
        </w:rPr>
      </w:pPr>
      <w:proofErr w:type="gramStart"/>
      <w:r w:rsidRPr="0041608F">
        <w:rPr>
          <w:rStyle w:val="Bodytext2Bold"/>
        </w:rPr>
        <w:t>SO</w:t>
      </w:r>
      <w:proofErr w:type="gramEnd"/>
      <w:r w:rsidRPr="0041608F">
        <w:rPr>
          <w:rStyle w:val="Bodytext2Bold"/>
        </w:rPr>
        <w:t xml:space="preserve"> GL </w:t>
      </w:r>
      <w:r w:rsidR="00F21AA3" w:rsidRPr="0041608F">
        <w:rPr>
          <w:lang w:val="en-GB"/>
        </w:rPr>
        <w:t>–</w:t>
      </w:r>
      <w:r w:rsidRPr="0041608F">
        <w:rPr>
          <w:lang w:val="en-GB"/>
        </w:rPr>
        <w:t xml:space="preserve"> European Commission Regulation (EU) No 2017/1485 establishing a Guideline on electricity transmission system operation.</w:t>
      </w:r>
    </w:p>
    <w:p w14:paraId="5F85D33F" w14:textId="450D491A" w:rsidR="00292516" w:rsidRPr="0041608F" w:rsidRDefault="00292516" w:rsidP="00EB742A">
      <w:pPr>
        <w:pStyle w:val="Bodytext22"/>
        <w:shd w:val="clear" w:color="auto" w:fill="auto"/>
        <w:tabs>
          <w:tab w:val="left" w:pos="720"/>
        </w:tabs>
        <w:spacing w:before="0" w:line="240" w:lineRule="auto"/>
        <w:ind w:firstLine="0"/>
        <w:rPr>
          <w:lang w:val="en-GB"/>
        </w:rPr>
      </w:pPr>
      <w:r w:rsidRPr="0041608F">
        <w:rPr>
          <w:rStyle w:val="Bodytext2Bold"/>
        </w:rPr>
        <w:t xml:space="preserve">TRM </w:t>
      </w:r>
      <w:r w:rsidR="00F21AA3" w:rsidRPr="0041608F">
        <w:rPr>
          <w:lang w:val="en-GB"/>
        </w:rPr>
        <w:t>–</w:t>
      </w:r>
      <w:r w:rsidRPr="0041608F">
        <w:rPr>
          <w:lang w:val="en-GB"/>
        </w:rPr>
        <w:t xml:space="preserve"> Transmission Reliability Margin which shall have meaning of "reliability margin" definition of CACM.</w:t>
      </w:r>
    </w:p>
    <w:p w14:paraId="2C060FA0" w14:textId="77777777" w:rsidR="00292516" w:rsidRPr="0041608F" w:rsidRDefault="00292516" w:rsidP="00EB742A">
      <w:pPr>
        <w:pStyle w:val="Bodytext22"/>
        <w:shd w:val="clear" w:color="auto" w:fill="auto"/>
        <w:tabs>
          <w:tab w:val="left" w:pos="720"/>
        </w:tabs>
        <w:spacing w:before="0" w:line="240" w:lineRule="auto"/>
        <w:ind w:firstLine="0"/>
        <w:rPr>
          <w:lang w:val="en-GB"/>
        </w:rPr>
      </w:pPr>
      <w:r w:rsidRPr="0041608F">
        <w:rPr>
          <w:rStyle w:val="Bodytext2Bold"/>
        </w:rPr>
        <w:t xml:space="preserve">TTC </w:t>
      </w:r>
      <w:r w:rsidRPr="0041608F">
        <w:rPr>
          <w:lang w:val="en-GB"/>
        </w:rPr>
        <w:t>- Total Transfer Capacity of the designated Cross-Border Interconnections is the maximum transmission of active power, which is permitted in transmission Cross-Border Interconnections compatible with Operational Security standards applicable for each TSO.</w:t>
      </w:r>
    </w:p>
    <w:p w14:paraId="7F922AA3" w14:textId="29BA5645" w:rsidR="00292516" w:rsidRPr="0041608F" w:rsidRDefault="00292516" w:rsidP="00EB742A">
      <w:pPr>
        <w:pStyle w:val="Bodytext22"/>
        <w:shd w:val="clear" w:color="auto" w:fill="auto"/>
        <w:tabs>
          <w:tab w:val="left" w:pos="720"/>
        </w:tabs>
        <w:spacing w:before="0" w:line="240" w:lineRule="auto"/>
        <w:ind w:firstLine="0"/>
        <w:rPr>
          <w:lang w:val="en-GB"/>
        </w:rPr>
      </w:pPr>
      <w:r w:rsidRPr="0041608F">
        <w:rPr>
          <w:rStyle w:val="Bodytext2Bold"/>
        </w:rPr>
        <w:t xml:space="preserve">Trading Capacity </w:t>
      </w:r>
      <w:r w:rsidR="00F21AA3" w:rsidRPr="0041608F">
        <w:rPr>
          <w:lang w:val="en-GB"/>
        </w:rPr>
        <w:t>–</w:t>
      </w:r>
      <w:r w:rsidRPr="0041608F">
        <w:rPr>
          <w:lang w:val="en-GB"/>
        </w:rPr>
        <w:t xml:space="preserve"> the maximum available Cross-Zonal Capacity for trade in Day-Ahead Market and Intraday Market.</w:t>
      </w:r>
    </w:p>
    <w:p w14:paraId="257AB44A" w14:textId="77777777" w:rsidR="00292516" w:rsidRPr="0041608F" w:rsidRDefault="00292516" w:rsidP="00EB742A">
      <w:pPr>
        <w:pStyle w:val="Bodytext22"/>
        <w:shd w:val="clear" w:color="auto" w:fill="auto"/>
        <w:tabs>
          <w:tab w:val="left" w:pos="720"/>
        </w:tabs>
        <w:spacing w:before="0" w:line="240" w:lineRule="auto"/>
        <w:ind w:firstLine="0"/>
        <w:rPr>
          <w:lang w:val="en-GB"/>
        </w:rPr>
      </w:pPr>
      <w:r w:rsidRPr="0041608F">
        <w:rPr>
          <w:b/>
          <w:bCs/>
          <w:lang w:val="en-GB"/>
        </w:rPr>
        <w:t>CESA</w:t>
      </w:r>
      <w:r w:rsidRPr="0041608F">
        <w:rPr>
          <w:lang w:val="en-GB"/>
        </w:rPr>
        <w:t xml:space="preserve"> – Continental Europe synchronous area.</w:t>
      </w:r>
    </w:p>
    <w:p w14:paraId="6F634522" w14:textId="77777777" w:rsidR="00292516" w:rsidRPr="0041608F" w:rsidRDefault="00292516" w:rsidP="00EB742A">
      <w:pPr>
        <w:pStyle w:val="Bodytext22"/>
        <w:shd w:val="clear" w:color="auto" w:fill="auto"/>
        <w:tabs>
          <w:tab w:val="left" w:pos="720"/>
        </w:tabs>
        <w:spacing w:before="0" w:line="240" w:lineRule="auto"/>
        <w:ind w:firstLine="0"/>
        <w:rPr>
          <w:lang w:val="en-GB"/>
        </w:rPr>
      </w:pPr>
      <w:r w:rsidRPr="0041608F">
        <w:rPr>
          <w:b/>
          <w:bCs/>
          <w:lang w:val="en-GB"/>
        </w:rPr>
        <w:t>MTU</w:t>
      </w:r>
      <w:r w:rsidRPr="0041608F">
        <w:rPr>
          <w:lang w:val="en-GB"/>
        </w:rPr>
        <w:t xml:space="preserve"> – Market time unit.</w:t>
      </w:r>
    </w:p>
    <w:p w14:paraId="4E6029C7" w14:textId="77777777" w:rsidR="00292516" w:rsidRPr="0041608F" w:rsidRDefault="00292516" w:rsidP="00EB742A">
      <w:pPr>
        <w:pStyle w:val="Bodytext22"/>
        <w:shd w:val="clear" w:color="auto" w:fill="auto"/>
        <w:tabs>
          <w:tab w:val="left" w:pos="720"/>
        </w:tabs>
        <w:spacing w:before="0" w:line="240" w:lineRule="auto"/>
        <w:ind w:firstLine="0"/>
        <w:rPr>
          <w:lang w:val="en-GB"/>
        </w:rPr>
      </w:pPr>
      <w:r w:rsidRPr="0041608F">
        <w:rPr>
          <w:b/>
          <w:bCs/>
          <w:lang w:val="en-GB"/>
        </w:rPr>
        <w:t>Internal Baltic AC interconnectors</w:t>
      </w:r>
      <w:r w:rsidRPr="0041608F">
        <w:rPr>
          <w:lang w:val="en-GB"/>
        </w:rPr>
        <w:t xml:space="preserve"> – Interconnectors between Baltic TSOs in Baltic area, covering Lithuania – Latvia and Latvia – Estonia cross-borders.</w:t>
      </w:r>
    </w:p>
    <w:p w14:paraId="61D90732" w14:textId="5F29F880" w:rsidR="00292516" w:rsidRPr="0041608F" w:rsidRDefault="004429F5" w:rsidP="00EB742A">
      <w:pPr>
        <w:pStyle w:val="Bodytext22"/>
        <w:shd w:val="clear" w:color="auto" w:fill="auto"/>
        <w:tabs>
          <w:tab w:val="left" w:pos="720"/>
        </w:tabs>
        <w:spacing w:before="0" w:line="240" w:lineRule="auto"/>
        <w:ind w:firstLine="0"/>
        <w:rPr>
          <w:lang w:val="en-GB"/>
        </w:rPr>
      </w:pPr>
      <w:r w:rsidRPr="0041608F">
        <w:rPr>
          <w:b/>
          <w:bCs/>
          <w:lang w:val="en-GB"/>
        </w:rPr>
        <w:t>Baltic AC interconnectors</w:t>
      </w:r>
      <w:r w:rsidRPr="0041608F">
        <w:rPr>
          <w:lang w:val="en-GB"/>
        </w:rPr>
        <w:t xml:space="preserve"> – Interconnectors in Baltic area, covering Lithuania – Latvia, Lithuania – Poland, Latvia – Estonia cross-borders.</w:t>
      </w:r>
    </w:p>
    <w:p w14:paraId="02CD0058" w14:textId="5BE00F4C" w:rsidR="0088770F" w:rsidRPr="0041608F" w:rsidRDefault="001F0370" w:rsidP="005D6338">
      <w:pPr>
        <w:pStyle w:val="Heading1"/>
        <w:ind w:left="0" w:firstLine="0"/>
        <w:jc w:val="both"/>
      </w:pPr>
      <w:bookmarkStart w:id="21" w:name="_Ref153270907"/>
      <w:bookmarkStart w:id="22" w:name="_Ref153271016"/>
      <w:bookmarkStart w:id="23" w:name="_Toc153355174"/>
      <w:bookmarkStart w:id="24" w:name="_Toc153355303"/>
      <w:bookmarkStart w:id="25" w:name="_Toc153355541"/>
      <w:bookmarkStart w:id="26" w:name="_Toc158275575"/>
      <w:r w:rsidRPr="0041608F">
        <w:t>Transmission reliability margin calculation methodology</w:t>
      </w:r>
      <w:bookmarkEnd w:id="21"/>
      <w:bookmarkEnd w:id="22"/>
      <w:bookmarkEnd w:id="23"/>
      <w:bookmarkEnd w:id="24"/>
      <w:bookmarkEnd w:id="25"/>
      <w:bookmarkEnd w:id="26"/>
    </w:p>
    <w:p w14:paraId="33CA0A37" w14:textId="77777777" w:rsidR="00C77D8F" w:rsidRPr="0041608F" w:rsidRDefault="00C77D8F" w:rsidP="008E4773">
      <w:pPr>
        <w:pStyle w:val="ListParagraph"/>
        <w:numPr>
          <w:ilvl w:val="0"/>
          <w:numId w:val="15"/>
        </w:numPr>
        <w:tabs>
          <w:tab w:val="left" w:pos="567"/>
        </w:tabs>
        <w:contextualSpacing w:val="0"/>
        <w:jc w:val="both"/>
        <w:rPr>
          <w:rFonts w:cs="Arial"/>
          <w:b w:val="0"/>
          <w:bCs/>
          <w:vanish/>
          <w:lang w:val="en-GB"/>
        </w:rPr>
      </w:pPr>
    </w:p>
    <w:p w14:paraId="727A38F9" w14:textId="03ECF044" w:rsidR="00186AF2" w:rsidRPr="0041608F" w:rsidRDefault="00186AF2" w:rsidP="008E4773">
      <w:pPr>
        <w:pStyle w:val="ListParagraph"/>
        <w:numPr>
          <w:ilvl w:val="1"/>
          <w:numId w:val="15"/>
        </w:numPr>
        <w:tabs>
          <w:tab w:val="left" w:pos="567"/>
        </w:tabs>
        <w:contextualSpacing w:val="0"/>
        <w:jc w:val="both"/>
        <w:rPr>
          <w:b w:val="0"/>
          <w:bCs/>
          <w:lang w:val="en-GB"/>
        </w:rPr>
      </w:pPr>
      <w:r w:rsidRPr="0041608F">
        <w:rPr>
          <w:rFonts w:cs="Arial"/>
          <w:b w:val="0"/>
          <w:bCs/>
          <w:lang w:val="en-GB"/>
        </w:rPr>
        <w:t xml:space="preserve">The Transmission Reliability Margin (hereinafter referred to as "TRM") is a capacity margin needed for secure operation of interconnected power systems considering the planning errors, including the errors due to imperfect information at the time the transfer capacities have </w:t>
      </w:r>
      <w:r w:rsidRPr="0041608F">
        <w:rPr>
          <w:b w:val="0"/>
          <w:bCs/>
          <w:lang w:val="en-GB"/>
        </w:rPr>
        <w:t>been computed.</w:t>
      </w:r>
    </w:p>
    <w:p w14:paraId="55E8AB81" w14:textId="616B55EA" w:rsidR="00186AF2" w:rsidRPr="0041608F" w:rsidRDefault="00186AF2" w:rsidP="6FC37538">
      <w:pPr>
        <w:pStyle w:val="ListParagraph"/>
        <w:numPr>
          <w:ilvl w:val="1"/>
          <w:numId w:val="15"/>
        </w:numPr>
        <w:tabs>
          <w:tab w:val="left" w:pos="567"/>
        </w:tabs>
        <w:contextualSpacing w:val="0"/>
        <w:jc w:val="both"/>
        <w:rPr>
          <w:b w:val="0"/>
          <w:bCs/>
          <w:lang w:val="en-GB"/>
        </w:rPr>
      </w:pPr>
      <w:r w:rsidRPr="0041608F">
        <w:rPr>
          <w:b w:val="0"/>
          <w:bCs/>
          <w:lang w:val="en-GB"/>
        </w:rPr>
        <w:t xml:space="preserve">TRM calculation methodology is covering </w:t>
      </w:r>
      <w:r w:rsidR="004429F5" w:rsidRPr="0041608F">
        <w:rPr>
          <w:b w:val="0"/>
          <w:bCs/>
          <w:lang w:val="en-GB"/>
        </w:rPr>
        <w:t xml:space="preserve">AC interconnectors </w:t>
      </w:r>
      <w:r w:rsidR="00B06C8B" w:rsidRPr="0041608F">
        <w:rPr>
          <w:b w:val="0"/>
          <w:bCs/>
          <w:lang w:val="en-GB"/>
        </w:rPr>
        <w:t>of BSPS</w:t>
      </w:r>
      <w:r w:rsidRPr="0041608F">
        <w:rPr>
          <w:b w:val="0"/>
          <w:bCs/>
          <w:lang w:val="en-GB"/>
        </w:rPr>
        <w:t>.</w:t>
      </w:r>
    </w:p>
    <w:p w14:paraId="0FF670EA" w14:textId="49A14801" w:rsidR="008F6D5F" w:rsidRPr="002F0874" w:rsidRDefault="00186AF2" w:rsidP="002F0874">
      <w:pPr>
        <w:pStyle w:val="ListParagraph"/>
        <w:numPr>
          <w:ilvl w:val="1"/>
          <w:numId w:val="15"/>
        </w:numPr>
        <w:tabs>
          <w:tab w:val="left" w:pos="567"/>
        </w:tabs>
        <w:contextualSpacing w:val="0"/>
        <w:jc w:val="both"/>
        <w:rPr>
          <w:lang w:val="en-GB"/>
        </w:rPr>
      </w:pPr>
      <w:bookmarkStart w:id="27" w:name="_Ref153287636"/>
      <w:r w:rsidRPr="002F0874">
        <w:rPr>
          <w:b w:val="0"/>
          <w:bCs/>
          <w:lang w:val="en-GB"/>
        </w:rPr>
        <w:t>For</w:t>
      </w:r>
      <w:r w:rsidRPr="0041608F">
        <w:rPr>
          <w:rFonts w:cs="Arial"/>
          <w:b w:val="0"/>
          <w:bCs/>
          <w:lang w:val="en-GB"/>
        </w:rPr>
        <w:t xml:space="preserve"> determining of the TRM values for each Cross-Border Interconnection, the statistical data of historically planned and actual power flows (historical physical flows) shall be used for each MTU. TRM shall be determined as the arithmetic average of the deviations between the expected power flows at the time of the capacity calculation and realised power flows in real time value plus standard deviation based on historical data. TRM shall be rounded to the nearest integer.  TRM shall be calculated for each cross-border direction according to formula</w:t>
      </w:r>
      <w:r w:rsidR="00D71607">
        <w:rPr>
          <w:rFonts w:cs="Arial"/>
          <w:b w:val="0"/>
          <w:bCs/>
          <w:lang w:val="en-GB"/>
        </w:rPr>
        <w:t xml:space="preserve"> </w:t>
      </w:r>
      <w:r w:rsidR="00175819" w:rsidRPr="00175819">
        <w:rPr>
          <w:rFonts w:cs="Arial"/>
          <w:b w:val="0"/>
          <w:lang w:val="en-GB"/>
        </w:rPr>
        <w:fldChar w:fldCharType="begin"/>
      </w:r>
      <w:r w:rsidR="00175819" w:rsidRPr="00175819">
        <w:rPr>
          <w:rFonts w:cs="Arial"/>
          <w:b w:val="0"/>
          <w:lang w:val="en-GB"/>
        </w:rPr>
        <w:instrText xml:space="preserve"> REF _Ref157763108 \h </w:instrText>
      </w:r>
      <w:r w:rsidR="00175819">
        <w:rPr>
          <w:rFonts w:cs="Arial"/>
          <w:b w:val="0"/>
          <w:lang w:val="en-GB"/>
        </w:rPr>
        <w:instrText xml:space="preserve"> \* MERGEFORMAT </w:instrText>
      </w:r>
      <w:r w:rsidR="00175819" w:rsidRPr="00175819">
        <w:rPr>
          <w:rFonts w:cs="Arial"/>
          <w:b w:val="0"/>
          <w:lang w:val="en-GB"/>
        </w:rPr>
      </w:r>
      <w:r w:rsidR="00175819" w:rsidRPr="00175819">
        <w:rPr>
          <w:rFonts w:cs="Arial"/>
          <w:b w:val="0"/>
          <w:lang w:val="en-GB"/>
        </w:rPr>
        <w:fldChar w:fldCharType="separate"/>
      </w:r>
      <w:r w:rsidR="00D71607" w:rsidRPr="00D71607">
        <w:rPr>
          <w:b w:val="0"/>
          <w:lang w:val="en-GB"/>
        </w:rPr>
        <w:t>(</w:t>
      </w:r>
      <w:r w:rsidR="00D71607" w:rsidRPr="00D71607">
        <w:rPr>
          <w:b w:val="0"/>
          <w:noProof/>
          <w:lang w:val="en-GB"/>
        </w:rPr>
        <w:t>1</w:t>
      </w:r>
      <w:r w:rsidR="00D71607" w:rsidRPr="00D71607">
        <w:rPr>
          <w:b w:val="0"/>
          <w:lang w:val="en-GB"/>
        </w:rPr>
        <w:t>)</w:t>
      </w:r>
      <w:r w:rsidR="00175819" w:rsidRPr="00175819">
        <w:rPr>
          <w:rFonts w:cs="Arial"/>
          <w:b w:val="0"/>
          <w:lang w:val="en-GB"/>
        </w:rPr>
        <w:fldChar w:fldCharType="end"/>
      </w:r>
      <w:r w:rsidRPr="00175819">
        <w:rPr>
          <w:rFonts w:cs="Arial"/>
          <w:b w:val="0"/>
          <w:lang w:val="en-GB"/>
        </w:rPr>
        <w:t>:</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7"/>
        <w:gridCol w:w="783"/>
      </w:tblGrid>
      <w:tr w:rsidR="00186AF2" w:rsidRPr="0041608F" w14:paraId="71DC9986" w14:textId="77777777" w:rsidTr="008A0F25">
        <w:tc>
          <w:tcPr>
            <w:tcW w:w="8287" w:type="dxa"/>
          </w:tcPr>
          <w:p w14:paraId="1FEE47E6" w14:textId="77777777" w:rsidR="00186AF2" w:rsidRPr="0041608F" w:rsidRDefault="00186AF2" w:rsidP="008A0F25">
            <w:pPr>
              <w:jc w:val="center"/>
              <w:rPr>
                <w:lang w:val="en-GB"/>
              </w:rPr>
            </w:pPr>
            <w:r w:rsidRPr="002F0874">
              <w:rPr>
                <w:noProof/>
                <w:lang w:val="en-GB" w:eastAsia="sv-SE"/>
              </w:rPr>
              <w:drawing>
                <wp:anchor distT="0" distB="0" distL="114300" distR="114300" simplePos="0" relativeHeight="251658240" behindDoc="0" locked="0" layoutInCell="1" allowOverlap="1" wp14:anchorId="1459E005" wp14:editId="56F3CF78">
                  <wp:simplePos x="0" y="0"/>
                  <wp:positionH relativeFrom="column">
                    <wp:posOffset>1958769</wp:posOffset>
                  </wp:positionH>
                  <wp:positionV relativeFrom="paragraph">
                    <wp:posOffset>412</wp:posOffset>
                  </wp:positionV>
                  <wp:extent cx="2345690" cy="755015"/>
                  <wp:effectExtent l="0" t="0" r="0" b="6985"/>
                  <wp:wrapSquare wrapText="bothSides"/>
                  <wp:docPr id="2" name="Picture 2" descr="A picture containing text, clock,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antenna&#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45690" cy="755015"/>
                          </a:xfrm>
                          <a:prstGeom prst="rect">
                            <a:avLst/>
                          </a:prstGeom>
                        </pic:spPr>
                      </pic:pic>
                    </a:graphicData>
                  </a:graphic>
                </wp:anchor>
              </w:drawing>
            </w:r>
          </w:p>
        </w:tc>
        <w:tc>
          <w:tcPr>
            <w:tcW w:w="783" w:type="dxa"/>
            <w:vAlign w:val="center"/>
          </w:tcPr>
          <w:p w14:paraId="1695B660" w14:textId="610C6280" w:rsidR="00186AF2" w:rsidRPr="0041608F" w:rsidRDefault="008F6D5F" w:rsidP="008A0F25">
            <w:pPr>
              <w:pStyle w:val="Bodytext22"/>
              <w:shd w:val="clear" w:color="auto" w:fill="auto"/>
              <w:tabs>
                <w:tab w:val="left" w:pos="567"/>
              </w:tabs>
              <w:spacing w:line="240" w:lineRule="auto"/>
              <w:ind w:firstLine="0"/>
              <w:jc w:val="center"/>
              <w:rPr>
                <w:lang w:val="en-GB"/>
              </w:rPr>
            </w:pPr>
            <w:r w:rsidRPr="006A78BF">
              <w:rPr>
                <w:lang w:val="en-GB"/>
              </w:rPr>
              <w:t xml:space="preserve"> </w:t>
            </w:r>
            <w:bookmarkStart w:id="28" w:name="_Ref157763108"/>
            <w:r w:rsidRPr="006A78BF">
              <w:rPr>
                <w:lang w:val="en-GB"/>
              </w:rPr>
              <w:t>(</w:t>
            </w:r>
            <w:r w:rsidRPr="006A78BF">
              <w:rPr>
                <w:lang w:val="en-GB"/>
              </w:rPr>
              <w:fldChar w:fldCharType="begin"/>
            </w:r>
            <w:r w:rsidRPr="006A78BF">
              <w:rPr>
                <w:lang w:val="en-GB"/>
              </w:rPr>
              <w:instrText xml:space="preserve"> SEQ Equation \* ARABIC </w:instrText>
            </w:r>
            <w:r w:rsidRPr="006A78BF">
              <w:rPr>
                <w:lang w:val="en-GB"/>
              </w:rPr>
              <w:fldChar w:fldCharType="separate"/>
            </w:r>
            <w:r w:rsidR="00D71607">
              <w:rPr>
                <w:noProof/>
                <w:lang w:val="en-GB"/>
              </w:rPr>
              <w:t>1</w:t>
            </w:r>
            <w:r w:rsidRPr="006A78BF">
              <w:rPr>
                <w:lang w:val="en-GB"/>
              </w:rPr>
              <w:fldChar w:fldCharType="end"/>
            </w:r>
            <w:r w:rsidRPr="006A78BF">
              <w:rPr>
                <w:lang w:val="en-GB"/>
              </w:rPr>
              <w:t>)</w:t>
            </w:r>
            <w:bookmarkEnd w:id="28"/>
          </w:p>
          <w:p w14:paraId="1348FB47" w14:textId="0E89E169" w:rsidR="008F6D5F" w:rsidRPr="0041608F" w:rsidRDefault="008F6D5F" w:rsidP="008A0F25">
            <w:pPr>
              <w:pStyle w:val="Bodytext22"/>
              <w:shd w:val="clear" w:color="auto" w:fill="auto"/>
              <w:tabs>
                <w:tab w:val="left" w:pos="567"/>
              </w:tabs>
              <w:spacing w:line="240" w:lineRule="auto"/>
              <w:ind w:firstLine="0"/>
              <w:jc w:val="center"/>
              <w:rPr>
                <w:lang w:val="en-GB"/>
              </w:rPr>
            </w:pPr>
          </w:p>
        </w:tc>
      </w:tr>
    </w:tbl>
    <w:p w14:paraId="36FA9581" w14:textId="73B20931" w:rsidR="00186AF2" w:rsidRPr="0041608F" w:rsidRDefault="00186AF2" w:rsidP="00AB36CA">
      <w:pPr>
        <w:pStyle w:val="Bodytext22"/>
        <w:keepNext/>
        <w:shd w:val="clear" w:color="auto" w:fill="auto"/>
        <w:spacing w:after="0" w:line="293" w:lineRule="exact"/>
        <w:ind w:firstLine="0"/>
        <w:rPr>
          <w:lang w:val="en-GB"/>
        </w:rPr>
      </w:pPr>
    </w:p>
    <w:p w14:paraId="46463806" w14:textId="77777777" w:rsidR="00186AF2" w:rsidRPr="0041608F" w:rsidRDefault="00186AF2" w:rsidP="00AB36CA">
      <w:pPr>
        <w:pStyle w:val="Bodytext22"/>
        <w:shd w:val="clear" w:color="auto" w:fill="auto"/>
        <w:spacing w:after="126" w:line="246" w:lineRule="exact"/>
        <w:ind w:firstLine="0"/>
        <w:rPr>
          <w:lang w:val="en-GB"/>
        </w:rPr>
      </w:pPr>
      <w:r w:rsidRPr="0041608F">
        <w:rPr>
          <w:lang w:val="en-GB"/>
        </w:rPr>
        <w:t>where:</w:t>
      </w:r>
    </w:p>
    <w:p w14:paraId="0EE026EF" w14:textId="77777777" w:rsidR="00186AF2" w:rsidRPr="0041608F" w:rsidRDefault="00186AF2" w:rsidP="00AB36CA">
      <w:pPr>
        <w:pStyle w:val="Bodytext22"/>
        <w:shd w:val="clear" w:color="auto" w:fill="auto"/>
        <w:spacing w:after="293"/>
        <w:ind w:firstLine="0"/>
        <w:rPr>
          <w:lang w:val="en-GB"/>
        </w:rPr>
      </w:pPr>
      <w:r w:rsidRPr="0041608F">
        <w:rPr>
          <w:b/>
          <w:bCs/>
          <w:lang w:val="en-GB"/>
        </w:rPr>
        <w:t>X</w:t>
      </w:r>
      <w:r w:rsidRPr="0041608F">
        <w:rPr>
          <w:b/>
          <w:bCs/>
          <w:vertAlign w:val="subscript"/>
          <w:lang w:val="en-GB"/>
        </w:rPr>
        <w:t>i</w:t>
      </w:r>
      <w:r w:rsidRPr="0041608F">
        <w:rPr>
          <w:lang w:val="en-GB"/>
        </w:rPr>
        <w:t xml:space="preserve"> - data sets of the </w:t>
      </w:r>
      <w:proofErr w:type="spellStart"/>
      <w:r w:rsidRPr="0041608F">
        <w:rPr>
          <w:lang w:val="en-GB"/>
        </w:rPr>
        <w:t>i-th</w:t>
      </w:r>
      <w:proofErr w:type="spellEnd"/>
      <w:r w:rsidRPr="0041608F">
        <w:rPr>
          <w:lang w:val="en-GB"/>
        </w:rPr>
        <w:t xml:space="preserve"> element, defined as deviation of planned power flow from actual power flow (actual flow subtracted from planned flow) over Cross-Border </w:t>
      </w:r>
      <w:proofErr w:type="gramStart"/>
      <w:r w:rsidRPr="0041608F">
        <w:rPr>
          <w:lang w:val="en-GB"/>
        </w:rPr>
        <w:t>Interconnection;</w:t>
      </w:r>
      <w:proofErr w:type="gramEnd"/>
    </w:p>
    <w:p w14:paraId="48424FC1" w14:textId="77777777" w:rsidR="00186AF2" w:rsidRPr="0041608F" w:rsidRDefault="00000000" w:rsidP="00AB36CA">
      <w:pPr>
        <w:pStyle w:val="Bodytext22"/>
        <w:shd w:val="clear" w:color="auto" w:fill="auto"/>
        <w:tabs>
          <w:tab w:val="left" w:leader="hyphen" w:pos="4840"/>
        </w:tabs>
        <w:spacing w:before="240" w:after="240" w:line="240" w:lineRule="auto"/>
        <w:ind w:firstLine="0"/>
        <w:rPr>
          <w:lang w:val="en-GB"/>
        </w:rPr>
      </w:pPr>
      <m:oMath>
        <m:acc>
          <m:accPr>
            <m:chr m:val="̅"/>
            <m:ctrlPr>
              <w:rPr>
                <w:rFonts w:ascii="Cambria Math" w:hAnsi="Cambria Math"/>
                <w:i/>
                <w:sz w:val="24"/>
                <w:lang w:val="en-GB"/>
              </w:rPr>
            </m:ctrlPr>
          </m:accPr>
          <m:e>
            <m:r>
              <m:rPr>
                <m:sty m:val="bi"/>
              </m:rPr>
              <w:rPr>
                <w:rFonts w:ascii="Cambria Math" w:hAnsi="Cambria Math"/>
                <w:sz w:val="24"/>
                <w:lang w:val="en-GB"/>
              </w:rPr>
              <m:t>X</m:t>
            </m:r>
            <m:ctrlPr>
              <w:rPr>
                <w:rFonts w:ascii="Cambria Math" w:hAnsi="Cambria Math"/>
                <w:b/>
                <w:i/>
                <w:sz w:val="24"/>
                <w:lang w:val="en-GB"/>
              </w:rPr>
            </m:ctrlPr>
          </m:e>
        </m:acc>
      </m:oMath>
      <w:r w:rsidR="00186AF2" w:rsidRPr="0041608F">
        <w:rPr>
          <w:lang w:val="en-GB"/>
        </w:rPr>
        <w:t xml:space="preserve"> arithmetic average value of X</w:t>
      </w:r>
      <w:r w:rsidR="00186AF2" w:rsidRPr="0041608F">
        <w:rPr>
          <w:vertAlign w:val="subscript"/>
          <w:lang w:val="en-GB"/>
        </w:rPr>
        <w:t xml:space="preserve">i </w:t>
      </w:r>
      <w:proofErr w:type="gramStart"/>
      <w:r w:rsidR="00186AF2" w:rsidRPr="0041608F">
        <w:rPr>
          <w:lang w:val="en-GB"/>
        </w:rPr>
        <w:t>equal</w:t>
      </w:r>
      <w:proofErr w:type="gramEnd"/>
      <w:r w:rsidR="00186AF2" w:rsidRPr="0041608F">
        <w:rPr>
          <w:lang w:val="en-GB"/>
        </w:rPr>
        <w:t xml:space="preserve"> to</w:t>
      </w:r>
      <w:r w:rsidR="00186AF2" w:rsidRPr="0041608F">
        <w:rPr>
          <w:vertAlign w:val="subscript"/>
          <w:lang w:val="en-GB"/>
        </w:rPr>
        <w:t xml:space="preserve">  </w:t>
      </w:r>
      <w:r w:rsidR="00186AF2" w:rsidRPr="0041608F">
        <w:rPr>
          <w:lang w:val="en-GB"/>
        </w:rPr>
        <w:t xml:space="preserve"> </w:t>
      </w:r>
      <w:r w:rsidR="00186AF2" w:rsidRPr="00F45992">
        <w:rPr>
          <w:noProof/>
          <w:lang w:val="en-GB" w:eastAsia="sv-SE"/>
        </w:rPr>
        <w:drawing>
          <wp:inline distT="0" distB="0" distL="0" distR="0" wp14:anchorId="626B1C83" wp14:editId="4231B956">
            <wp:extent cx="514350" cy="602615"/>
            <wp:effectExtent l="0" t="0" r="0" b="6985"/>
            <wp:docPr id="46" name="Picture 4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cloc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14350" cy="602615"/>
                    </a:xfrm>
                    <a:prstGeom prst="rect">
                      <a:avLst/>
                    </a:prstGeom>
                  </pic:spPr>
                </pic:pic>
              </a:graphicData>
            </a:graphic>
          </wp:inline>
        </w:drawing>
      </w:r>
    </w:p>
    <w:p w14:paraId="32FA6A0B" w14:textId="77777777" w:rsidR="00186AF2" w:rsidRPr="0041608F" w:rsidRDefault="00186AF2" w:rsidP="00AB36CA">
      <w:pPr>
        <w:pStyle w:val="Bodytext22"/>
        <w:shd w:val="clear" w:color="auto" w:fill="auto"/>
        <w:spacing w:after="0" w:line="418" w:lineRule="exact"/>
        <w:ind w:firstLine="0"/>
        <w:rPr>
          <w:lang w:val="en-GB"/>
        </w:rPr>
      </w:pPr>
      <w:r w:rsidRPr="0041608F">
        <w:rPr>
          <w:rStyle w:val="Bodytext2Italic"/>
          <w:b/>
          <w:bCs/>
        </w:rPr>
        <w:t>n</w:t>
      </w:r>
      <w:r w:rsidRPr="0041608F">
        <w:rPr>
          <w:lang w:val="en-GB"/>
        </w:rPr>
        <w:t xml:space="preserve"> - number of elements in the data set.</w:t>
      </w:r>
    </w:p>
    <w:p w14:paraId="58A7F66D" w14:textId="5A50C19D" w:rsidR="00186AF2" w:rsidRPr="0041608F" w:rsidRDefault="00186AF2" w:rsidP="008E4773">
      <w:pPr>
        <w:pStyle w:val="ListParagraph"/>
        <w:numPr>
          <w:ilvl w:val="1"/>
          <w:numId w:val="15"/>
        </w:numPr>
        <w:tabs>
          <w:tab w:val="left" w:pos="567"/>
        </w:tabs>
        <w:jc w:val="both"/>
        <w:rPr>
          <w:rFonts w:cs="Arial"/>
          <w:lang w:val="en-GB"/>
        </w:rPr>
      </w:pPr>
      <w:bookmarkStart w:id="29" w:name="_Ref129015269"/>
      <w:r w:rsidRPr="0041608F">
        <w:rPr>
          <w:rFonts w:cs="Arial"/>
          <w:b w:val="0"/>
          <w:lang w:val="en-GB"/>
        </w:rPr>
        <w:t xml:space="preserve">TRM shall be recalculated </w:t>
      </w:r>
      <w:r w:rsidR="00455DA7" w:rsidRPr="0041608F">
        <w:rPr>
          <w:rFonts w:cs="Arial"/>
          <w:b w:val="0"/>
          <w:lang w:val="en-GB"/>
        </w:rPr>
        <w:t xml:space="preserve">every month or more frequently upon TSOs agreement </w:t>
      </w:r>
      <w:r w:rsidRPr="0041608F">
        <w:rPr>
          <w:rFonts w:cs="Arial"/>
          <w:b w:val="0"/>
          <w:lang w:val="en-GB"/>
        </w:rPr>
        <w:t>using last 1 year or latest available historical period data. Historical data for TRM evaluation shall be acquired since Baltic TSOs synchronisation with CESA.</w:t>
      </w:r>
      <w:bookmarkEnd w:id="29"/>
    </w:p>
    <w:p w14:paraId="582EB28C" w14:textId="3BA024B3" w:rsidR="00082335" w:rsidRPr="0041608F" w:rsidRDefault="00082335" w:rsidP="00082335">
      <w:pPr>
        <w:pStyle w:val="Bodytext22"/>
        <w:numPr>
          <w:ilvl w:val="1"/>
          <w:numId w:val="15"/>
        </w:numPr>
        <w:shd w:val="clear" w:color="auto" w:fill="auto"/>
        <w:tabs>
          <w:tab w:val="left" w:pos="712"/>
        </w:tabs>
        <w:spacing w:before="0" w:line="280" w:lineRule="exact"/>
        <w:rPr>
          <w:lang w:val="en-GB"/>
        </w:rPr>
      </w:pPr>
      <w:bookmarkStart w:id="30" w:name="_Ref133926393"/>
      <w:r w:rsidRPr="0041608F">
        <w:rPr>
          <w:lang w:val="en-GB"/>
        </w:rPr>
        <w:t>For initial operation period after Baltic TSOs synchronisation with CESA, fixed TRM values shall be applied to</w:t>
      </w:r>
      <w:r w:rsidR="00815CA3" w:rsidRPr="0041608F">
        <w:rPr>
          <w:lang w:val="en-GB"/>
        </w:rPr>
        <w:t xml:space="preserve"> AC interconnect</w:t>
      </w:r>
      <w:r w:rsidR="000E3F56" w:rsidRPr="0041608F">
        <w:rPr>
          <w:lang w:val="en-GB"/>
        </w:rPr>
        <w:t>ions of BSPS</w:t>
      </w:r>
      <w:r w:rsidRPr="0041608F">
        <w:rPr>
          <w:lang w:val="en-GB"/>
        </w:rPr>
        <w:t xml:space="preserve">.  These values shall be applied for 1 month period. After this period, TRM shall be calculated according to principles set out in </w:t>
      </w:r>
      <w:r w:rsidR="00DD15FF" w:rsidRPr="0041608F">
        <w:rPr>
          <w:lang w:val="en-GB"/>
        </w:rPr>
        <w:fldChar w:fldCharType="begin"/>
      </w:r>
      <w:r w:rsidR="00DD15FF" w:rsidRPr="0041608F">
        <w:rPr>
          <w:lang w:val="en-GB"/>
        </w:rPr>
        <w:instrText xml:space="preserve"> REF _Ref153287636 \r \h </w:instrText>
      </w:r>
      <w:r w:rsidR="00DD15FF" w:rsidRPr="0041608F">
        <w:rPr>
          <w:lang w:val="en-GB"/>
        </w:rPr>
      </w:r>
      <w:r w:rsidR="00DD15FF" w:rsidRPr="0041608F">
        <w:rPr>
          <w:lang w:val="en-GB"/>
        </w:rPr>
        <w:fldChar w:fldCharType="separate"/>
      </w:r>
      <w:r w:rsidR="00D71607">
        <w:rPr>
          <w:lang w:val="en-GB"/>
        </w:rPr>
        <w:t>3.3</w:t>
      </w:r>
      <w:r w:rsidR="00DD15FF" w:rsidRPr="0041608F">
        <w:rPr>
          <w:lang w:val="en-GB"/>
        </w:rPr>
        <w:fldChar w:fldCharType="end"/>
      </w:r>
      <w:r w:rsidR="00DD15FF" w:rsidRPr="0041608F">
        <w:rPr>
          <w:lang w:val="en-GB"/>
        </w:rPr>
        <w:t xml:space="preserve"> </w:t>
      </w:r>
      <w:r w:rsidRPr="0041608F">
        <w:rPr>
          <w:lang w:val="en-GB"/>
        </w:rPr>
        <w:t xml:space="preserve">and </w:t>
      </w:r>
      <w:r w:rsidR="0004209E" w:rsidRPr="0041608F">
        <w:rPr>
          <w:lang w:val="en-GB"/>
        </w:rPr>
        <w:fldChar w:fldCharType="begin"/>
      </w:r>
      <w:r w:rsidR="0004209E" w:rsidRPr="0041608F">
        <w:rPr>
          <w:lang w:val="en-GB"/>
        </w:rPr>
        <w:instrText xml:space="preserve"> REF _Ref129015269 \r \h  \* MERGEFORMAT </w:instrText>
      </w:r>
      <w:r w:rsidR="0004209E" w:rsidRPr="0041608F">
        <w:rPr>
          <w:lang w:val="en-GB"/>
        </w:rPr>
      </w:r>
      <w:r w:rsidR="0004209E" w:rsidRPr="0041608F">
        <w:rPr>
          <w:lang w:val="en-GB"/>
        </w:rPr>
        <w:fldChar w:fldCharType="separate"/>
      </w:r>
      <w:r w:rsidR="00D71607">
        <w:rPr>
          <w:lang w:val="en-GB"/>
        </w:rPr>
        <w:t>3.4</w:t>
      </w:r>
      <w:r w:rsidR="0004209E" w:rsidRPr="0041608F">
        <w:rPr>
          <w:lang w:val="en-GB"/>
        </w:rPr>
        <w:fldChar w:fldCharType="end"/>
      </w:r>
      <w:r w:rsidRPr="0041608F">
        <w:rPr>
          <w:lang w:val="en-GB"/>
        </w:rPr>
        <w:t>. Fixed values provided in</w:t>
      </w:r>
      <w:r w:rsidR="00445911" w:rsidRPr="0041608F">
        <w:rPr>
          <w:lang w:val="en-GB"/>
        </w:rPr>
        <w:t xml:space="preserve"> </w:t>
      </w:r>
      <w:r w:rsidR="00445911" w:rsidRPr="0041608F">
        <w:rPr>
          <w:lang w:val="en-GB"/>
        </w:rPr>
        <w:fldChar w:fldCharType="begin"/>
      </w:r>
      <w:r w:rsidR="00445911" w:rsidRPr="0041608F">
        <w:rPr>
          <w:lang w:val="en-GB"/>
        </w:rPr>
        <w:instrText xml:space="preserve"> REF _Ref153287561 \h </w:instrText>
      </w:r>
      <w:r w:rsidR="00445911" w:rsidRPr="0041608F">
        <w:rPr>
          <w:lang w:val="en-GB"/>
        </w:rPr>
      </w:r>
      <w:r w:rsidR="00445911" w:rsidRPr="0041608F">
        <w:rPr>
          <w:lang w:val="en-GB"/>
        </w:rPr>
        <w:fldChar w:fldCharType="separate"/>
      </w:r>
      <w:r w:rsidR="00D71607" w:rsidRPr="00F45992">
        <w:rPr>
          <w:lang w:val="en-GB"/>
        </w:rPr>
        <w:t xml:space="preserve">Table </w:t>
      </w:r>
      <w:r w:rsidR="00D71607">
        <w:rPr>
          <w:noProof/>
          <w:lang w:val="en-GB"/>
        </w:rPr>
        <w:t>1</w:t>
      </w:r>
      <w:r w:rsidR="00445911" w:rsidRPr="0041608F">
        <w:rPr>
          <w:lang w:val="en-GB"/>
        </w:rPr>
        <w:fldChar w:fldCharType="end"/>
      </w:r>
      <w:r w:rsidRPr="0041608F">
        <w:rPr>
          <w:lang w:val="en-GB"/>
        </w:rPr>
        <w:t>.</w:t>
      </w:r>
      <w:bookmarkEnd w:id="30"/>
    </w:p>
    <w:p w14:paraId="1284915C" w14:textId="12BEE475" w:rsidR="00082335" w:rsidRPr="0041608F" w:rsidRDefault="00445911" w:rsidP="00445911">
      <w:pPr>
        <w:pStyle w:val="Caption"/>
        <w:rPr>
          <w:i/>
          <w:iCs w:val="0"/>
          <w:sz w:val="18"/>
          <w:lang w:val="en-GB"/>
        </w:rPr>
      </w:pPr>
      <w:bookmarkStart w:id="31" w:name="_Ref153287561"/>
      <w:bookmarkStart w:id="32" w:name="_Ref129015069"/>
      <w:r w:rsidRPr="00F45992">
        <w:rPr>
          <w:lang w:val="en-GB"/>
        </w:rPr>
        <w:t xml:space="preserve">Table </w:t>
      </w:r>
      <w:r w:rsidR="00C2640F" w:rsidRPr="00F45992">
        <w:rPr>
          <w:lang w:val="en-GB"/>
        </w:rPr>
        <w:fldChar w:fldCharType="begin"/>
      </w:r>
      <w:r w:rsidR="00C2640F" w:rsidRPr="00F45992">
        <w:rPr>
          <w:lang w:val="en-GB"/>
        </w:rPr>
        <w:instrText xml:space="preserve"> SEQ Table \* ARABIC </w:instrText>
      </w:r>
      <w:r w:rsidR="00C2640F" w:rsidRPr="00F45992">
        <w:rPr>
          <w:lang w:val="en-GB"/>
        </w:rPr>
        <w:fldChar w:fldCharType="separate"/>
      </w:r>
      <w:r w:rsidR="00D71607">
        <w:rPr>
          <w:noProof/>
          <w:lang w:val="en-GB"/>
        </w:rPr>
        <w:t>1</w:t>
      </w:r>
      <w:r w:rsidR="00C2640F" w:rsidRPr="00F45992">
        <w:rPr>
          <w:noProof/>
          <w:lang w:val="en-GB"/>
        </w:rPr>
        <w:fldChar w:fldCharType="end"/>
      </w:r>
      <w:bookmarkEnd w:id="31"/>
      <w:r w:rsidR="00082335" w:rsidRPr="0041608F">
        <w:rPr>
          <w:sz w:val="18"/>
          <w:lang w:val="en-GB"/>
        </w:rPr>
        <w:t>. Fixed TRM values for initial operation period</w:t>
      </w:r>
      <w:bookmarkEnd w:id="32"/>
    </w:p>
    <w:tbl>
      <w:tblPr>
        <w:tblStyle w:val="TableGrid"/>
        <w:tblW w:w="0" w:type="auto"/>
        <w:tblLayout w:type="fixed"/>
        <w:tblLook w:val="04A0" w:firstRow="1" w:lastRow="0" w:firstColumn="1" w:lastColumn="0" w:noHBand="0" w:noVBand="1"/>
      </w:tblPr>
      <w:tblGrid>
        <w:gridCol w:w="1280"/>
        <w:gridCol w:w="913"/>
        <w:gridCol w:w="913"/>
        <w:gridCol w:w="913"/>
        <w:gridCol w:w="913"/>
        <w:gridCol w:w="1159"/>
        <w:gridCol w:w="1134"/>
      </w:tblGrid>
      <w:tr w:rsidR="00D15055" w:rsidRPr="0041608F" w14:paraId="194B18B9" w14:textId="77777777" w:rsidTr="00D15055">
        <w:tc>
          <w:tcPr>
            <w:tcW w:w="1280" w:type="dxa"/>
          </w:tcPr>
          <w:p w14:paraId="02C92A80" w14:textId="77777777" w:rsidR="0004209E" w:rsidRPr="0041608F" w:rsidRDefault="0004209E">
            <w:pPr>
              <w:rPr>
                <w:lang w:val="en-GB"/>
              </w:rPr>
            </w:pPr>
            <w:r w:rsidRPr="0041608F">
              <w:rPr>
                <w:lang w:val="en-GB"/>
              </w:rPr>
              <w:t>Border</w:t>
            </w:r>
          </w:p>
        </w:tc>
        <w:tc>
          <w:tcPr>
            <w:tcW w:w="913" w:type="dxa"/>
            <w:vAlign w:val="center"/>
          </w:tcPr>
          <w:p w14:paraId="7A702D30" w14:textId="77777777" w:rsidR="0004209E" w:rsidRPr="0041608F" w:rsidRDefault="0004209E" w:rsidP="00D15055">
            <w:pPr>
              <w:jc w:val="left"/>
              <w:rPr>
                <w:lang w:val="en-GB"/>
              </w:rPr>
            </w:pPr>
            <w:r w:rsidRPr="0041608F">
              <w:rPr>
                <w:lang w:val="en-GB"/>
              </w:rPr>
              <w:t>EE-LV</w:t>
            </w:r>
          </w:p>
        </w:tc>
        <w:tc>
          <w:tcPr>
            <w:tcW w:w="913" w:type="dxa"/>
            <w:vAlign w:val="center"/>
          </w:tcPr>
          <w:p w14:paraId="3C828F97" w14:textId="77777777" w:rsidR="0004209E" w:rsidRPr="0041608F" w:rsidRDefault="0004209E" w:rsidP="00D15055">
            <w:pPr>
              <w:jc w:val="left"/>
              <w:rPr>
                <w:lang w:val="en-GB"/>
              </w:rPr>
            </w:pPr>
            <w:r w:rsidRPr="0041608F">
              <w:rPr>
                <w:lang w:val="en-GB"/>
              </w:rPr>
              <w:t>LV-EE</w:t>
            </w:r>
          </w:p>
        </w:tc>
        <w:tc>
          <w:tcPr>
            <w:tcW w:w="913" w:type="dxa"/>
            <w:vAlign w:val="center"/>
          </w:tcPr>
          <w:p w14:paraId="77CB55B7" w14:textId="77777777" w:rsidR="0004209E" w:rsidRPr="0041608F" w:rsidRDefault="0004209E" w:rsidP="00D15055">
            <w:pPr>
              <w:jc w:val="left"/>
              <w:rPr>
                <w:lang w:val="en-GB"/>
              </w:rPr>
            </w:pPr>
            <w:r w:rsidRPr="0041608F">
              <w:rPr>
                <w:lang w:val="en-GB"/>
              </w:rPr>
              <w:t>LT-LV</w:t>
            </w:r>
          </w:p>
        </w:tc>
        <w:tc>
          <w:tcPr>
            <w:tcW w:w="913" w:type="dxa"/>
            <w:vAlign w:val="center"/>
          </w:tcPr>
          <w:p w14:paraId="4EA440B8" w14:textId="4FD2962F" w:rsidR="0004209E" w:rsidRPr="0041608F" w:rsidRDefault="0004209E" w:rsidP="00D15055">
            <w:pPr>
              <w:jc w:val="left"/>
              <w:rPr>
                <w:lang w:val="en-GB"/>
              </w:rPr>
            </w:pPr>
            <w:r w:rsidRPr="0041608F">
              <w:rPr>
                <w:lang w:val="en-GB"/>
              </w:rPr>
              <w:t>LV-LT</w:t>
            </w:r>
          </w:p>
        </w:tc>
        <w:tc>
          <w:tcPr>
            <w:tcW w:w="1159" w:type="dxa"/>
            <w:vAlign w:val="center"/>
          </w:tcPr>
          <w:p w14:paraId="0E53BAC6" w14:textId="77777777" w:rsidR="0004209E" w:rsidRPr="0041608F" w:rsidRDefault="0004209E" w:rsidP="00D15055">
            <w:pPr>
              <w:jc w:val="left"/>
              <w:rPr>
                <w:lang w:val="en-GB"/>
              </w:rPr>
            </w:pPr>
            <w:r w:rsidRPr="0041608F">
              <w:rPr>
                <w:lang w:val="en-GB"/>
              </w:rPr>
              <w:t>LT-PL</w:t>
            </w:r>
          </w:p>
        </w:tc>
        <w:tc>
          <w:tcPr>
            <w:tcW w:w="1134" w:type="dxa"/>
            <w:vAlign w:val="center"/>
          </w:tcPr>
          <w:p w14:paraId="3D30EEEF" w14:textId="77777777" w:rsidR="0004209E" w:rsidRPr="0041608F" w:rsidRDefault="0004209E" w:rsidP="00D15055">
            <w:pPr>
              <w:jc w:val="left"/>
              <w:rPr>
                <w:lang w:val="en-GB"/>
              </w:rPr>
            </w:pPr>
            <w:r w:rsidRPr="0041608F">
              <w:rPr>
                <w:lang w:val="en-GB"/>
              </w:rPr>
              <w:t>PL-LT</w:t>
            </w:r>
          </w:p>
        </w:tc>
      </w:tr>
      <w:tr w:rsidR="00D15055" w:rsidRPr="0041608F" w14:paraId="5CE2DBAC" w14:textId="77777777" w:rsidTr="00FD5957">
        <w:tc>
          <w:tcPr>
            <w:tcW w:w="1280" w:type="dxa"/>
            <w:vAlign w:val="center"/>
          </w:tcPr>
          <w:p w14:paraId="71003923" w14:textId="77777777" w:rsidR="0004209E" w:rsidRPr="0041608F" w:rsidRDefault="0004209E" w:rsidP="00AF771E">
            <w:pPr>
              <w:jc w:val="center"/>
              <w:rPr>
                <w:lang w:val="en-GB"/>
              </w:rPr>
            </w:pPr>
            <w:r w:rsidRPr="0041608F">
              <w:rPr>
                <w:lang w:val="en-GB"/>
              </w:rPr>
              <w:t>TRM value</w:t>
            </w:r>
          </w:p>
        </w:tc>
        <w:tc>
          <w:tcPr>
            <w:tcW w:w="913" w:type="dxa"/>
            <w:vAlign w:val="center"/>
          </w:tcPr>
          <w:p w14:paraId="309CDBF1" w14:textId="77777777" w:rsidR="0004209E" w:rsidRPr="0041608F" w:rsidRDefault="0004209E" w:rsidP="002150AA">
            <w:pPr>
              <w:jc w:val="right"/>
              <w:rPr>
                <w:lang w:val="en-GB"/>
              </w:rPr>
            </w:pPr>
            <w:r w:rsidRPr="0041608F">
              <w:rPr>
                <w:lang w:val="en-GB"/>
              </w:rPr>
              <w:t>50 MW</w:t>
            </w:r>
          </w:p>
        </w:tc>
        <w:tc>
          <w:tcPr>
            <w:tcW w:w="913" w:type="dxa"/>
            <w:vAlign w:val="center"/>
          </w:tcPr>
          <w:p w14:paraId="0CAE7981" w14:textId="77777777" w:rsidR="0004209E" w:rsidRPr="0041608F" w:rsidRDefault="0004209E" w:rsidP="00D15055">
            <w:pPr>
              <w:jc w:val="left"/>
              <w:rPr>
                <w:lang w:val="en-GB"/>
              </w:rPr>
            </w:pPr>
            <w:r w:rsidRPr="0041608F">
              <w:rPr>
                <w:lang w:val="en-GB"/>
              </w:rPr>
              <w:t>50 MW</w:t>
            </w:r>
          </w:p>
        </w:tc>
        <w:tc>
          <w:tcPr>
            <w:tcW w:w="913" w:type="dxa"/>
            <w:vAlign w:val="center"/>
          </w:tcPr>
          <w:p w14:paraId="1C78123F" w14:textId="77777777" w:rsidR="0004209E" w:rsidRPr="0041608F" w:rsidRDefault="0004209E" w:rsidP="00D15055">
            <w:pPr>
              <w:jc w:val="left"/>
              <w:rPr>
                <w:lang w:val="en-GB"/>
              </w:rPr>
            </w:pPr>
            <w:r w:rsidRPr="0041608F">
              <w:rPr>
                <w:lang w:val="en-GB"/>
              </w:rPr>
              <w:t>50 MW</w:t>
            </w:r>
          </w:p>
        </w:tc>
        <w:tc>
          <w:tcPr>
            <w:tcW w:w="913" w:type="dxa"/>
            <w:vAlign w:val="center"/>
          </w:tcPr>
          <w:p w14:paraId="4560C032" w14:textId="3300F991" w:rsidR="0004209E" w:rsidRPr="0041608F" w:rsidRDefault="0004209E" w:rsidP="00D15055">
            <w:pPr>
              <w:jc w:val="left"/>
              <w:rPr>
                <w:lang w:val="en-GB"/>
              </w:rPr>
            </w:pPr>
            <w:r w:rsidRPr="0041608F">
              <w:rPr>
                <w:lang w:val="en-GB"/>
              </w:rPr>
              <w:t>50 MW</w:t>
            </w:r>
          </w:p>
        </w:tc>
        <w:tc>
          <w:tcPr>
            <w:tcW w:w="1159" w:type="dxa"/>
            <w:vAlign w:val="center"/>
          </w:tcPr>
          <w:p w14:paraId="2BBA18AE" w14:textId="4CFB22AC" w:rsidR="0004209E" w:rsidRPr="0041608F" w:rsidRDefault="00F45992" w:rsidP="00D15055">
            <w:pPr>
              <w:jc w:val="left"/>
              <w:rPr>
                <w:lang w:val="en-GB"/>
              </w:rPr>
            </w:pPr>
            <w:r>
              <w:rPr>
                <w:lang w:val="en-GB"/>
              </w:rPr>
              <w:t>100</w:t>
            </w:r>
            <w:r w:rsidRPr="0041608F">
              <w:rPr>
                <w:lang w:val="en-GB"/>
              </w:rPr>
              <w:t xml:space="preserve"> </w:t>
            </w:r>
            <w:r w:rsidR="0004209E" w:rsidRPr="0041608F">
              <w:rPr>
                <w:lang w:val="en-GB"/>
              </w:rPr>
              <w:t>MW</w:t>
            </w:r>
          </w:p>
        </w:tc>
        <w:tc>
          <w:tcPr>
            <w:tcW w:w="1134" w:type="dxa"/>
            <w:vAlign w:val="center"/>
          </w:tcPr>
          <w:p w14:paraId="1D518EE0" w14:textId="69884693" w:rsidR="0004209E" w:rsidRPr="0041608F" w:rsidRDefault="00F45992" w:rsidP="00D15055">
            <w:pPr>
              <w:jc w:val="left"/>
              <w:rPr>
                <w:lang w:val="en-GB"/>
              </w:rPr>
            </w:pPr>
            <w:r>
              <w:rPr>
                <w:lang w:val="en-GB"/>
              </w:rPr>
              <w:t>100</w:t>
            </w:r>
            <w:r w:rsidR="00D15055">
              <w:rPr>
                <w:lang w:val="en-GB"/>
              </w:rPr>
              <w:t xml:space="preserve"> </w:t>
            </w:r>
            <w:r w:rsidRPr="0041608F">
              <w:rPr>
                <w:lang w:val="en-GB"/>
              </w:rPr>
              <w:t>MW</w:t>
            </w:r>
          </w:p>
        </w:tc>
      </w:tr>
    </w:tbl>
    <w:p w14:paraId="2CAA4C40" w14:textId="754ED8D5" w:rsidR="00ED1EE3" w:rsidRPr="0041608F" w:rsidRDefault="00384D25" w:rsidP="00D625C2">
      <w:pPr>
        <w:pStyle w:val="Heading1"/>
        <w:ind w:left="0" w:firstLine="0"/>
        <w:jc w:val="both"/>
      </w:pPr>
      <w:bookmarkStart w:id="33" w:name="_Toc512241361"/>
      <w:bookmarkStart w:id="34" w:name="_Ref146870301"/>
      <w:bookmarkStart w:id="35" w:name="_Ref153270889"/>
      <w:bookmarkStart w:id="36" w:name="_Ref153288219"/>
      <w:bookmarkStart w:id="37" w:name="_Toc153355175"/>
      <w:bookmarkStart w:id="38" w:name="_Toc153355304"/>
      <w:bookmarkStart w:id="39" w:name="_Toc153355542"/>
      <w:bookmarkStart w:id="40" w:name="_Toc158275576"/>
      <w:r w:rsidRPr="0041608F">
        <w:t>Operational security limits</w:t>
      </w:r>
      <w:r w:rsidR="00F8107D" w:rsidRPr="0041608F">
        <w:t>,</w:t>
      </w:r>
      <w:r w:rsidR="00A94298" w:rsidRPr="0041608F">
        <w:t xml:space="preserve"> critical network elements</w:t>
      </w:r>
      <w:r w:rsidR="000575A3" w:rsidRPr="0041608F">
        <w:t>,</w:t>
      </w:r>
      <w:r w:rsidRPr="0041608F">
        <w:t xml:space="preserve"> contingencies and allocation constraints</w:t>
      </w:r>
      <w:bookmarkEnd w:id="33"/>
      <w:bookmarkEnd w:id="34"/>
      <w:bookmarkEnd w:id="35"/>
      <w:bookmarkEnd w:id="36"/>
      <w:bookmarkEnd w:id="37"/>
      <w:bookmarkEnd w:id="38"/>
      <w:bookmarkEnd w:id="39"/>
      <w:bookmarkEnd w:id="40"/>
    </w:p>
    <w:p w14:paraId="77930FF1" w14:textId="77777777" w:rsidR="00C77D8F" w:rsidRPr="0041608F" w:rsidRDefault="00C77D8F" w:rsidP="008E4773">
      <w:pPr>
        <w:pStyle w:val="ListParagraph"/>
        <w:numPr>
          <w:ilvl w:val="0"/>
          <w:numId w:val="11"/>
        </w:numPr>
        <w:tabs>
          <w:tab w:val="left" w:pos="567"/>
        </w:tabs>
        <w:contextualSpacing w:val="0"/>
        <w:jc w:val="both"/>
        <w:rPr>
          <w:rFonts w:cs="Arial"/>
          <w:b w:val="0"/>
          <w:bCs/>
          <w:vanish/>
          <w:lang w:val="en-GB"/>
        </w:rPr>
      </w:pPr>
    </w:p>
    <w:p w14:paraId="6A57DF30" w14:textId="77777777" w:rsidR="00C77D8F" w:rsidRPr="0041608F" w:rsidRDefault="00C77D8F" w:rsidP="008E4773">
      <w:pPr>
        <w:pStyle w:val="ListParagraph"/>
        <w:numPr>
          <w:ilvl w:val="0"/>
          <w:numId w:val="11"/>
        </w:numPr>
        <w:tabs>
          <w:tab w:val="left" w:pos="567"/>
        </w:tabs>
        <w:contextualSpacing w:val="0"/>
        <w:jc w:val="both"/>
        <w:rPr>
          <w:rFonts w:cs="Arial"/>
          <w:b w:val="0"/>
          <w:bCs/>
          <w:vanish/>
          <w:lang w:val="en-GB"/>
        </w:rPr>
      </w:pPr>
    </w:p>
    <w:p w14:paraId="2DE14617" w14:textId="77777777" w:rsidR="00C77D8F" w:rsidRPr="0041608F" w:rsidRDefault="00C77D8F" w:rsidP="008E4773">
      <w:pPr>
        <w:pStyle w:val="ListParagraph"/>
        <w:numPr>
          <w:ilvl w:val="0"/>
          <w:numId w:val="11"/>
        </w:numPr>
        <w:tabs>
          <w:tab w:val="left" w:pos="567"/>
        </w:tabs>
        <w:contextualSpacing w:val="0"/>
        <w:jc w:val="both"/>
        <w:rPr>
          <w:rFonts w:cs="Arial"/>
          <w:b w:val="0"/>
          <w:bCs/>
          <w:vanish/>
          <w:lang w:val="en-GB"/>
        </w:rPr>
      </w:pPr>
    </w:p>
    <w:p w14:paraId="39AB97FA" w14:textId="3BF29C7F" w:rsidR="00E276BC" w:rsidRPr="0041608F" w:rsidRDefault="00510032" w:rsidP="00803493">
      <w:pPr>
        <w:pStyle w:val="ListParagraph"/>
        <w:numPr>
          <w:ilvl w:val="1"/>
          <w:numId w:val="11"/>
        </w:numPr>
        <w:tabs>
          <w:tab w:val="left" w:pos="567"/>
        </w:tabs>
        <w:contextualSpacing w:val="0"/>
        <w:jc w:val="both"/>
        <w:rPr>
          <w:rFonts w:cs="Arial"/>
          <w:b w:val="0"/>
          <w:bCs/>
          <w:lang w:val="en-GB"/>
        </w:rPr>
      </w:pPr>
      <w:r w:rsidRPr="0041608F">
        <w:rPr>
          <w:rFonts w:cs="Arial"/>
          <w:b w:val="0"/>
          <w:bCs/>
          <w:lang w:val="en-GB"/>
        </w:rPr>
        <w:t xml:space="preserve">Each Baltic CCR TSO shall define list of critical network elements (CNEs) of </w:t>
      </w:r>
      <w:r w:rsidR="001C4E31" w:rsidRPr="0041608F">
        <w:rPr>
          <w:rFonts w:cs="Arial"/>
          <w:b w:val="0"/>
          <w:bCs/>
          <w:lang w:val="en-GB"/>
        </w:rPr>
        <w:t>its</w:t>
      </w:r>
      <w:r w:rsidRPr="0041608F">
        <w:rPr>
          <w:rFonts w:cs="Arial"/>
          <w:b w:val="0"/>
          <w:bCs/>
          <w:lang w:val="en-GB"/>
        </w:rPr>
        <w:t xml:space="preserve"> control area for capacity calculation process. Elements could be all cross-border interconnectors, lines</w:t>
      </w:r>
      <w:r w:rsidR="00803493" w:rsidRPr="0041608F">
        <w:rPr>
          <w:rFonts w:cs="Arial"/>
          <w:b w:val="0"/>
          <w:bCs/>
          <w:lang w:val="en-GB"/>
        </w:rPr>
        <w:t>, transformers, HVDC elements.</w:t>
      </w:r>
      <w:r w:rsidR="00205AC0" w:rsidRPr="0041608F">
        <w:rPr>
          <w:rFonts w:cs="Arial"/>
          <w:b w:val="0"/>
          <w:bCs/>
          <w:lang w:val="en-GB"/>
        </w:rPr>
        <w:tab/>
      </w:r>
    </w:p>
    <w:p w14:paraId="2C43BCEC" w14:textId="3FAC117A" w:rsidR="003062EA" w:rsidRPr="0041608F" w:rsidRDefault="003062EA" w:rsidP="00691F18">
      <w:pPr>
        <w:pStyle w:val="ListParagraph"/>
        <w:numPr>
          <w:ilvl w:val="1"/>
          <w:numId w:val="11"/>
        </w:numPr>
        <w:tabs>
          <w:tab w:val="left" w:pos="567"/>
        </w:tabs>
        <w:contextualSpacing w:val="0"/>
        <w:jc w:val="both"/>
        <w:rPr>
          <w:rFonts w:cs="Arial"/>
          <w:b w:val="0"/>
          <w:bCs/>
          <w:lang w:val="en-GB"/>
        </w:rPr>
      </w:pPr>
      <w:r w:rsidRPr="0041608F">
        <w:rPr>
          <w:rFonts w:cs="Arial"/>
          <w:b w:val="0"/>
          <w:bCs/>
          <w:lang w:val="en-GB"/>
        </w:rPr>
        <w:t xml:space="preserve">CNEs for capacity calculation shall be defined considering impact computation principles defined in methodology according to art. 75 of SOGL annex 1 and factor determining impact for CNE shall be cross zonal power flow exchange. Internal CNEs which power flow filtering influence factor according to art. 75 of SOGL annex 1 is less than percentage, defined by TSOs based on operational and planning expertise, shall be excluded from capacity calculation process. TSO shall update CNE list in case of significant change in grid </w:t>
      </w:r>
      <w:r w:rsidR="006134A5" w:rsidRPr="0041608F">
        <w:rPr>
          <w:rFonts w:cs="Arial"/>
          <w:b w:val="0"/>
          <w:bCs/>
          <w:lang w:val="en-GB"/>
        </w:rPr>
        <w:t>topology when</w:t>
      </w:r>
      <w:r w:rsidRPr="0041608F">
        <w:rPr>
          <w:rFonts w:cs="Arial"/>
          <w:b w:val="0"/>
          <w:bCs/>
          <w:lang w:val="en-GB"/>
        </w:rPr>
        <w:t xml:space="preserve"> influence value for CNE element significantly changed from average value and CNE became relevant/irrelevant for capacity calculation process.</w:t>
      </w:r>
    </w:p>
    <w:p w14:paraId="7FC1E2C2" w14:textId="0C4BBAFB" w:rsidR="00510032" w:rsidRPr="0041608F" w:rsidRDefault="00510032" w:rsidP="008E4773">
      <w:pPr>
        <w:pStyle w:val="ListParagraph"/>
        <w:numPr>
          <w:ilvl w:val="1"/>
          <w:numId w:val="11"/>
        </w:numPr>
        <w:tabs>
          <w:tab w:val="left" w:pos="567"/>
        </w:tabs>
        <w:contextualSpacing w:val="0"/>
        <w:jc w:val="both"/>
        <w:rPr>
          <w:rFonts w:cs="Arial"/>
          <w:b w:val="0"/>
          <w:bCs/>
          <w:lang w:val="en-GB"/>
        </w:rPr>
      </w:pPr>
      <w:r w:rsidRPr="0041608F">
        <w:rPr>
          <w:rFonts w:cs="Arial"/>
          <w:b w:val="0"/>
          <w:bCs/>
          <w:lang w:val="en-GB"/>
        </w:rPr>
        <w:t xml:space="preserve">Contingency Analysis is performed at least for those contingencies which are agreed among Baltic TSOs in the Contingency Lists. Contingency Lists shall be agreed and provided among Baltic TSOs and provided to </w:t>
      </w:r>
      <w:r w:rsidR="00831122" w:rsidRPr="0041608F">
        <w:rPr>
          <w:rFonts w:cs="Arial"/>
          <w:b w:val="0"/>
          <w:bCs/>
          <w:lang w:val="en-GB"/>
        </w:rPr>
        <w:t xml:space="preserve">Coordinated Capacity Calculator (hereafter referred to as “CCC”) </w:t>
      </w:r>
      <w:r w:rsidRPr="0041608F">
        <w:rPr>
          <w:rFonts w:cs="Arial"/>
          <w:b w:val="0"/>
          <w:bCs/>
          <w:lang w:val="en-GB"/>
        </w:rPr>
        <w:t>for Capacity Calculation.</w:t>
      </w:r>
    </w:p>
    <w:p w14:paraId="62D2C82B" w14:textId="5CA4AF16" w:rsidR="00E276BC" w:rsidRPr="0041608F" w:rsidRDefault="00510032" w:rsidP="008E4773">
      <w:pPr>
        <w:pStyle w:val="ListParagraph"/>
        <w:numPr>
          <w:ilvl w:val="1"/>
          <w:numId w:val="11"/>
        </w:numPr>
        <w:tabs>
          <w:tab w:val="left" w:pos="567"/>
        </w:tabs>
        <w:contextualSpacing w:val="0"/>
        <w:jc w:val="both"/>
        <w:rPr>
          <w:rFonts w:cs="Arial"/>
          <w:b w:val="0"/>
          <w:bCs/>
          <w:lang w:val="en-GB"/>
        </w:rPr>
      </w:pPr>
      <w:r w:rsidRPr="0041608F">
        <w:rPr>
          <w:rFonts w:cs="Arial"/>
          <w:b w:val="0"/>
          <w:bCs/>
          <w:lang w:val="en-GB"/>
        </w:rPr>
        <w:t>Each Baltic CCR TSO shall provide Contingency List to be used in capacity calculation process in accordance with art. 33 of SOGL. Contingency list shall include contingencies of TSO observability area. Contingency can be:</w:t>
      </w:r>
    </w:p>
    <w:p w14:paraId="4B4688E7" w14:textId="77777777" w:rsidR="00510032" w:rsidRPr="0041608F" w:rsidRDefault="00510032" w:rsidP="00F37C18">
      <w:pPr>
        <w:spacing w:before="0" w:after="0"/>
        <w:ind w:left="851" w:hanging="284"/>
        <w:rPr>
          <w:rFonts w:cs="Arial"/>
          <w:lang w:val="en-GB"/>
        </w:rPr>
      </w:pPr>
      <w:r w:rsidRPr="0041608F">
        <w:rPr>
          <w:lang w:val="en-GB"/>
        </w:rPr>
        <w:t>•</w:t>
      </w:r>
      <w:r w:rsidRPr="0041608F">
        <w:rPr>
          <w:lang w:val="en-GB"/>
        </w:rPr>
        <w:tab/>
      </w:r>
      <w:r w:rsidRPr="0041608F">
        <w:rPr>
          <w:rFonts w:cs="Arial"/>
          <w:lang w:val="en-GB"/>
        </w:rPr>
        <w:t xml:space="preserve">Line, </w:t>
      </w:r>
      <w:proofErr w:type="gramStart"/>
      <w:r w:rsidRPr="0041608F">
        <w:rPr>
          <w:rFonts w:cs="Arial"/>
          <w:lang w:val="en-GB"/>
        </w:rPr>
        <w:t>cable;</w:t>
      </w:r>
      <w:proofErr w:type="gramEnd"/>
    </w:p>
    <w:p w14:paraId="6BFEE706" w14:textId="77777777" w:rsidR="00510032" w:rsidRPr="0041608F" w:rsidRDefault="00510032" w:rsidP="00F37C18">
      <w:pPr>
        <w:spacing w:before="0" w:after="0"/>
        <w:ind w:left="851" w:hanging="284"/>
        <w:rPr>
          <w:rFonts w:cs="Arial"/>
          <w:lang w:val="en-GB"/>
        </w:rPr>
      </w:pPr>
      <w:r w:rsidRPr="0041608F">
        <w:rPr>
          <w:rFonts w:cs="Arial"/>
          <w:lang w:val="en-GB"/>
        </w:rPr>
        <w:t>•</w:t>
      </w:r>
      <w:r w:rsidRPr="0041608F">
        <w:rPr>
          <w:rFonts w:cs="Arial"/>
          <w:lang w:val="en-GB"/>
        </w:rPr>
        <w:tab/>
      </w:r>
      <w:proofErr w:type="gramStart"/>
      <w:r w:rsidRPr="0041608F">
        <w:rPr>
          <w:rFonts w:cs="Arial"/>
          <w:lang w:val="en-GB"/>
        </w:rPr>
        <w:t>Transformer;</w:t>
      </w:r>
      <w:proofErr w:type="gramEnd"/>
    </w:p>
    <w:p w14:paraId="2CF1BA9B" w14:textId="77777777" w:rsidR="00510032" w:rsidRPr="0041608F" w:rsidRDefault="00510032" w:rsidP="00F37C18">
      <w:pPr>
        <w:spacing w:before="0" w:after="0"/>
        <w:ind w:left="851" w:hanging="284"/>
        <w:rPr>
          <w:rFonts w:cs="Arial"/>
          <w:lang w:val="en-GB"/>
        </w:rPr>
      </w:pPr>
      <w:r w:rsidRPr="0041608F">
        <w:rPr>
          <w:rFonts w:cs="Arial"/>
          <w:lang w:val="en-GB"/>
        </w:rPr>
        <w:t>•</w:t>
      </w:r>
      <w:r w:rsidRPr="0041608F">
        <w:rPr>
          <w:rFonts w:cs="Arial"/>
          <w:lang w:val="en-GB"/>
        </w:rPr>
        <w:tab/>
      </w:r>
      <w:proofErr w:type="gramStart"/>
      <w:r w:rsidRPr="0041608F">
        <w:rPr>
          <w:rFonts w:cs="Arial"/>
          <w:lang w:val="en-GB"/>
        </w:rPr>
        <w:t>Generator;</w:t>
      </w:r>
      <w:proofErr w:type="gramEnd"/>
    </w:p>
    <w:p w14:paraId="509095AA" w14:textId="77777777" w:rsidR="00510032" w:rsidRPr="0041608F" w:rsidRDefault="00510032" w:rsidP="00F37C18">
      <w:pPr>
        <w:spacing w:before="0" w:after="0"/>
        <w:ind w:left="851" w:hanging="284"/>
        <w:rPr>
          <w:rFonts w:cs="Arial"/>
          <w:lang w:val="en-GB"/>
        </w:rPr>
      </w:pPr>
      <w:r w:rsidRPr="0041608F">
        <w:rPr>
          <w:rFonts w:cs="Arial"/>
          <w:lang w:val="en-GB"/>
        </w:rPr>
        <w:t>•</w:t>
      </w:r>
      <w:r w:rsidRPr="0041608F">
        <w:rPr>
          <w:rFonts w:cs="Arial"/>
          <w:lang w:val="en-GB"/>
        </w:rPr>
        <w:tab/>
      </w:r>
      <w:proofErr w:type="gramStart"/>
      <w:r w:rsidRPr="0041608F">
        <w:rPr>
          <w:rFonts w:cs="Arial"/>
          <w:lang w:val="en-GB"/>
        </w:rPr>
        <w:t>Load;</w:t>
      </w:r>
      <w:proofErr w:type="gramEnd"/>
    </w:p>
    <w:p w14:paraId="55CA6DED" w14:textId="77777777" w:rsidR="00510032" w:rsidRPr="0041608F" w:rsidRDefault="00510032" w:rsidP="00F37C18">
      <w:pPr>
        <w:spacing w:before="0" w:after="0"/>
        <w:ind w:left="851" w:hanging="284"/>
        <w:rPr>
          <w:rFonts w:cs="Arial"/>
          <w:lang w:val="en-GB"/>
        </w:rPr>
      </w:pPr>
      <w:r w:rsidRPr="0041608F">
        <w:rPr>
          <w:rFonts w:cs="Arial"/>
          <w:lang w:val="en-GB"/>
        </w:rPr>
        <w:t>•</w:t>
      </w:r>
      <w:r w:rsidRPr="0041608F">
        <w:rPr>
          <w:rFonts w:cs="Arial"/>
          <w:lang w:val="en-GB"/>
        </w:rPr>
        <w:tab/>
      </w:r>
      <w:proofErr w:type="gramStart"/>
      <w:r w:rsidRPr="0041608F">
        <w:rPr>
          <w:rFonts w:cs="Arial"/>
          <w:lang w:val="en-GB"/>
        </w:rPr>
        <w:t>Busbar;</w:t>
      </w:r>
      <w:proofErr w:type="gramEnd"/>
    </w:p>
    <w:p w14:paraId="51E80EC3" w14:textId="77777777" w:rsidR="00510032" w:rsidRPr="0041608F" w:rsidRDefault="00510032" w:rsidP="00F37C18">
      <w:pPr>
        <w:spacing w:before="0" w:after="0"/>
        <w:ind w:left="851" w:hanging="284"/>
        <w:rPr>
          <w:rFonts w:cs="Arial"/>
          <w:lang w:val="en-GB"/>
        </w:rPr>
      </w:pPr>
      <w:r w:rsidRPr="0041608F">
        <w:rPr>
          <w:rFonts w:cs="Arial"/>
          <w:lang w:val="en-GB"/>
        </w:rPr>
        <w:t>•</w:t>
      </w:r>
      <w:r w:rsidRPr="0041608F">
        <w:rPr>
          <w:rFonts w:cs="Arial"/>
          <w:lang w:val="en-GB"/>
        </w:rPr>
        <w:tab/>
        <w:t xml:space="preserve">Multiple elements </w:t>
      </w:r>
      <w:proofErr w:type="gramStart"/>
      <w:r w:rsidRPr="0041608F">
        <w:rPr>
          <w:rFonts w:cs="Arial"/>
          <w:lang w:val="en-GB"/>
        </w:rPr>
        <w:t>combined;</w:t>
      </w:r>
      <w:proofErr w:type="gramEnd"/>
    </w:p>
    <w:p w14:paraId="4E8B3DBC" w14:textId="77777777" w:rsidR="00510032" w:rsidRPr="0041608F" w:rsidRDefault="00510032" w:rsidP="00F37C18">
      <w:pPr>
        <w:spacing w:before="0"/>
        <w:ind w:left="851" w:hanging="284"/>
        <w:rPr>
          <w:rFonts w:cs="Arial"/>
          <w:lang w:val="en-GB"/>
        </w:rPr>
      </w:pPr>
      <w:r w:rsidRPr="0041608F">
        <w:rPr>
          <w:rFonts w:cs="Arial"/>
          <w:lang w:val="en-GB"/>
        </w:rPr>
        <w:t>•</w:t>
      </w:r>
      <w:r w:rsidRPr="0041608F">
        <w:rPr>
          <w:rFonts w:cs="Arial"/>
          <w:lang w:val="en-GB"/>
        </w:rPr>
        <w:tab/>
      </w:r>
      <w:proofErr w:type="gramStart"/>
      <w:r w:rsidRPr="0041608F">
        <w:rPr>
          <w:rFonts w:cs="Arial"/>
          <w:lang w:val="en-GB"/>
        </w:rPr>
        <w:t>HVDC;</w:t>
      </w:r>
      <w:proofErr w:type="gramEnd"/>
    </w:p>
    <w:p w14:paraId="0AD3E58B" w14:textId="55C5AF5B" w:rsidR="00FF14E1" w:rsidRPr="0041608F" w:rsidRDefault="00FF14E1" w:rsidP="008E4773">
      <w:pPr>
        <w:pStyle w:val="Bodytext22"/>
        <w:numPr>
          <w:ilvl w:val="1"/>
          <w:numId w:val="11"/>
        </w:numPr>
        <w:shd w:val="clear" w:color="auto" w:fill="auto"/>
        <w:tabs>
          <w:tab w:val="left" w:pos="567"/>
        </w:tabs>
        <w:spacing w:before="0" w:after="200"/>
        <w:rPr>
          <w:lang w:val="en-GB"/>
        </w:rPr>
      </w:pPr>
      <w:r w:rsidRPr="0041608F">
        <w:rPr>
          <w:lang w:val="en-GB"/>
        </w:rPr>
        <w:t xml:space="preserve">Allocation constraints shall be </w:t>
      </w:r>
      <w:r w:rsidR="00697EAF" w:rsidRPr="0041608F">
        <w:rPr>
          <w:lang w:val="en-GB"/>
        </w:rPr>
        <w:t>considered</w:t>
      </w:r>
      <w:r w:rsidRPr="0041608F">
        <w:rPr>
          <w:lang w:val="en-GB"/>
        </w:rPr>
        <w:t xml:space="preserve"> as a constraint on the cross-border and/or on the </w:t>
      </w:r>
      <w:r w:rsidRPr="0041608F">
        <w:rPr>
          <w:lang w:val="en-GB"/>
        </w:rPr>
        <w:lastRenderedPageBreak/>
        <w:t>global net position (the sum of all </w:t>
      </w:r>
      <w:r w:rsidR="00F809EC" w:rsidRPr="0041608F">
        <w:rPr>
          <w:lang w:val="en-GB"/>
        </w:rPr>
        <w:t>cross-border</w:t>
      </w:r>
      <w:r w:rsidRPr="0041608F">
        <w:rPr>
          <w:lang w:val="en-GB"/>
        </w:rPr>
        <w:t xml:space="preserve"> exchanges for a certain bidding zone), thus limiting the net position of the respective bidding zone with regards to all CCRs which are part </w:t>
      </w:r>
      <w:r w:rsidR="00F809EC" w:rsidRPr="0041608F">
        <w:rPr>
          <w:lang w:val="en-GB"/>
        </w:rPr>
        <w:t xml:space="preserve">of </w:t>
      </w:r>
      <w:proofErr w:type="gramStart"/>
      <w:r w:rsidR="00F809EC" w:rsidRPr="0041608F">
        <w:rPr>
          <w:lang w:val="en-GB"/>
        </w:rPr>
        <w:t>long</w:t>
      </w:r>
      <w:r w:rsidR="00DA44FD" w:rsidRPr="0041608F">
        <w:rPr>
          <w:lang w:val="en-GB"/>
        </w:rPr>
        <w:t xml:space="preserve"> term</w:t>
      </w:r>
      <w:proofErr w:type="gramEnd"/>
      <w:r w:rsidR="00DA44FD" w:rsidRPr="0041608F">
        <w:rPr>
          <w:lang w:val="en-GB"/>
        </w:rPr>
        <w:t xml:space="preserve"> calc</w:t>
      </w:r>
      <w:r w:rsidR="001A0E66" w:rsidRPr="0041608F">
        <w:rPr>
          <w:lang w:val="en-GB"/>
        </w:rPr>
        <w:t>u</w:t>
      </w:r>
      <w:r w:rsidR="00DA44FD" w:rsidRPr="0041608F">
        <w:rPr>
          <w:lang w:val="en-GB"/>
        </w:rPr>
        <w:t xml:space="preserve">lation process. </w:t>
      </w:r>
    </w:p>
    <w:p w14:paraId="727E0BA5" w14:textId="4B0AC768" w:rsidR="00510032" w:rsidRPr="0041608F" w:rsidRDefault="00510032" w:rsidP="008E4773">
      <w:pPr>
        <w:pStyle w:val="ListParagraph"/>
        <w:numPr>
          <w:ilvl w:val="1"/>
          <w:numId w:val="11"/>
        </w:numPr>
        <w:tabs>
          <w:tab w:val="left" w:pos="567"/>
        </w:tabs>
        <w:contextualSpacing w:val="0"/>
        <w:jc w:val="both"/>
        <w:rPr>
          <w:rFonts w:cs="Arial"/>
          <w:b w:val="0"/>
          <w:bCs/>
          <w:lang w:val="en-GB"/>
        </w:rPr>
      </w:pPr>
      <w:r w:rsidRPr="0041608F">
        <w:rPr>
          <w:rFonts w:cs="Arial"/>
          <w:b w:val="0"/>
          <w:bCs/>
          <w:lang w:val="en-GB"/>
        </w:rPr>
        <w:t xml:space="preserve">Each Baltic CCR TSO and </w:t>
      </w:r>
      <w:r w:rsidR="00831122" w:rsidRPr="0041608F">
        <w:rPr>
          <w:rFonts w:cs="Arial"/>
          <w:b w:val="0"/>
          <w:bCs/>
          <w:lang w:val="en-GB"/>
        </w:rPr>
        <w:t xml:space="preserve">CCC </w:t>
      </w:r>
      <w:r w:rsidRPr="0041608F">
        <w:rPr>
          <w:rFonts w:cs="Arial"/>
          <w:b w:val="0"/>
          <w:bCs/>
          <w:lang w:val="en-GB"/>
        </w:rPr>
        <w:t>shall perform regular review of CNEs, Contingencies</w:t>
      </w:r>
      <w:r w:rsidR="006D6026" w:rsidRPr="0041608F">
        <w:rPr>
          <w:rFonts w:cs="Arial"/>
          <w:b w:val="0"/>
          <w:bCs/>
          <w:lang w:val="en-GB"/>
        </w:rPr>
        <w:t>, Allocation constraints</w:t>
      </w:r>
      <w:r w:rsidRPr="0041608F">
        <w:rPr>
          <w:rFonts w:cs="Arial"/>
          <w:b w:val="0"/>
          <w:bCs/>
          <w:lang w:val="en-GB"/>
        </w:rPr>
        <w:t xml:space="preserve"> and other input data and evaluate their relevance</w:t>
      </w:r>
      <w:r w:rsidR="008A7720" w:rsidRPr="0041608F">
        <w:rPr>
          <w:rFonts w:cs="Arial"/>
          <w:b w:val="0"/>
          <w:bCs/>
          <w:lang w:val="en-GB"/>
        </w:rPr>
        <w:t xml:space="preserve"> </w:t>
      </w:r>
      <w:r w:rsidR="0017112C" w:rsidRPr="0041608F">
        <w:rPr>
          <w:rFonts w:cs="Arial"/>
          <w:b w:val="0"/>
          <w:bCs/>
          <w:lang w:val="en-GB"/>
        </w:rPr>
        <w:t>and application</w:t>
      </w:r>
      <w:r w:rsidRPr="0041608F">
        <w:rPr>
          <w:rFonts w:cs="Arial"/>
          <w:b w:val="0"/>
          <w:bCs/>
          <w:lang w:val="en-GB"/>
        </w:rPr>
        <w:t xml:space="preserve"> in capacity calculation process. Such evaluation shall be performed at least </w:t>
      </w:r>
      <w:r w:rsidR="007476C6" w:rsidRPr="0041608F">
        <w:rPr>
          <w:rFonts w:cs="Arial"/>
          <w:b w:val="0"/>
          <w:bCs/>
          <w:lang w:val="en-GB"/>
        </w:rPr>
        <w:t>every two years</w:t>
      </w:r>
      <w:r w:rsidRPr="0041608F">
        <w:rPr>
          <w:rFonts w:cs="Arial"/>
          <w:b w:val="0"/>
          <w:bCs/>
          <w:lang w:val="en-GB"/>
        </w:rPr>
        <w:t>.</w:t>
      </w:r>
    </w:p>
    <w:p w14:paraId="2FB76E69" w14:textId="4CE3EB1C" w:rsidR="00ED1EE3" w:rsidRPr="0041608F" w:rsidRDefault="00384D25" w:rsidP="00032CE5">
      <w:pPr>
        <w:pStyle w:val="Heading1"/>
        <w:ind w:left="0" w:firstLine="0"/>
        <w:jc w:val="both"/>
      </w:pPr>
      <w:bookmarkStart w:id="41" w:name="_Toc512241362"/>
      <w:bookmarkStart w:id="42" w:name="_Toc153355176"/>
      <w:bookmarkStart w:id="43" w:name="_Toc153355305"/>
      <w:bookmarkStart w:id="44" w:name="_Toc153355543"/>
      <w:bookmarkStart w:id="45" w:name="_Toc158275577"/>
      <w:bookmarkStart w:id="46" w:name="_Toc432586792"/>
      <w:bookmarkStart w:id="47" w:name="_Toc432586772"/>
      <w:bookmarkStart w:id="48" w:name="_Toc464485819"/>
      <w:r w:rsidRPr="0041608F">
        <w:t>Generation and load shift keys</w:t>
      </w:r>
      <w:bookmarkEnd w:id="41"/>
      <w:r w:rsidR="008B484A" w:rsidRPr="0041608F">
        <w:t xml:space="preserve"> </w:t>
      </w:r>
      <w:r w:rsidR="00ED1EE3" w:rsidRPr="0041608F">
        <w:t>(G</w:t>
      </w:r>
      <w:r w:rsidR="00032CE5" w:rsidRPr="0041608F">
        <w:t>L</w:t>
      </w:r>
      <w:r w:rsidR="00ED1EE3" w:rsidRPr="0041608F">
        <w:t>SK)</w:t>
      </w:r>
      <w:bookmarkEnd w:id="42"/>
      <w:bookmarkEnd w:id="43"/>
      <w:bookmarkEnd w:id="44"/>
      <w:bookmarkEnd w:id="45"/>
    </w:p>
    <w:p w14:paraId="5E6C7CA8" w14:textId="77777777" w:rsidR="00C77D8F" w:rsidRPr="0041608F" w:rsidRDefault="00C77D8F" w:rsidP="008E4773">
      <w:pPr>
        <w:pStyle w:val="ListParagraph"/>
        <w:numPr>
          <w:ilvl w:val="0"/>
          <w:numId w:val="11"/>
        </w:numPr>
        <w:tabs>
          <w:tab w:val="left" w:pos="567"/>
        </w:tabs>
        <w:contextualSpacing w:val="0"/>
        <w:jc w:val="both"/>
        <w:rPr>
          <w:rFonts w:cs="Arial"/>
          <w:b w:val="0"/>
          <w:bCs/>
          <w:vanish/>
          <w:lang w:val="en-GB"/>
        </w:rPr>
      </w:pPr>
    </w:p>
    <w:p w14:paraId="7C592EB5" w14:textId="77777777" w:rsidR="009D14D9" w:rsidRPr="0041608F" w:rsidRDefault="009D14D9" w:rsidP="009D14D9">
      <w:pPr>
        <w:pStyle w:val="ListParagraph"/>
        <w:widowControl w:val="0"/>
        <w:numPr>
          <w:ilvl w:val="0"/>
          <w:numId w:val="25"/>
        </w:numPr>
        <w:tabs>
          <w:tab w:val="left" w:pos="567"/>
        </w:tabs>
        <w:spacing w:before="0" w:after="200" w:line="288" w:lineRule="exact"/>
        <w:contextualSpacing w:val="0"/>
        <w:jc w:val="both"/>
        <w:rPr>
          <w:rFonts w:eastAsia="Arial" w:cs="Arial"/>
          <w:b w:val="0"/>
          <w:vanish/>
          <w:lang w:val="en-GB"/>
        </w:rPr>
      </w:pPr>
    </w:p>
    <w:p w14:paraId="3743165F" w14:textId="77777777" w:rsidR="009D14D9" w:rsidRPr="0041608F" w:rsidRDefault="009D14D9" w:rsidP="009D14D9">
      <w:pPr>
        <w:pStyle w:val="ListParagraph"/>
        <w:widowControl w:val="0"/>
        <w:numPr>
          <w:ilvl w:val="0"/>
          <w:numId w:val="25"/>
        </w:numPr>
        <w:tabs>
          <w:tab w:val="left" w:pos="567"/>
        </w:tabs>
        <w:spacing w:before="0" w:after="200" w:line="288" w:lineRule="exact"/>
        <w:contextualSpacing w:val="0"/>
        <w:jc w:val="both"/>
        <w:rPr>
          <w:rFonts w:eastAsia="Arial" w:cs="Arial"/>
          <w:b w:val="0"/>
          <w:vanish/>
          <w:lang w:val="en-GB"/>
        </w:rPr>
      </w:pPr>
    </w:p>
    <w:p w14:paraId="4CCF417F" w14:textId="77777777" w:rsidR="009D14D9" w:rsidRPr="0041608F" w:rsidRDefault="009D14D9" w:rsidP="009D14D9">
      <w:pPr>
        <w:pStyle w:val="ListParagraph"/>
        <w:widowControl w:val="0"/>
        <w:numPr>
          <w:ilvl w:val="0"/>
          <w:numId w:val="25"/>
        </w:numPr>
        <w:tabs>
          <w:tab w:val="left" w:pos="567"/>
        </w:tabs>
        <w:spacing w:before="0" w:after="200" w:line="288" w:lineRule="exact"/>
        <w:contextualSpacing w:val="0"/>
        <w:jc w:val="both"/>
        <w:rPr>
          <w:rFonts w:eastAsia="Arial" w:cs="Arial"/>
          <w:b w:val="0"/>
          <w:vanish/>
          <w:lang w:val="en-GB"/>
        </w:rPr>
      </w:pPr>
    </w:p>
    <w:p w14:paraId="051749A3" w14:textId="77777777" w:rsidR="009D14D9" w:rsidRPr="0041608F" w:rsidRDefault="009D14D9" w:rsidP="009D14D9">
      <w:pPr>
        <w:pStyle w:val="ListParagraph"/>
        <w:widowControl w:val="0"/>
        <w:numPr>
          <w:ilvl w:val="0"/>
          <w:numId w:val="25"/>
        </w:numPr>
        <w:tabs>
          <w:tab w:val="left" w:pos="567"/>
        </w:tabs>
        <w:spacing w:before="0" w:after="200" w:line="288" w:lineRule="exact"/>
        <w:contextualSpacing w:val="0"/>
        <w:jc w:val="both"/>
        <w:rPr>
          <w:rFonts w:eastAsia="Arial" w:cs="Arial"/>
          <w:b w:val="0"/>
          <w:vanish/>
          <w:lang w:val="en-GB"/>
        </w:rPr>
      </w:pPr>
    </w:p>
    <w:p w14:paraId="39AE1D16" w14:textId="374F4972" w:rsidR="00D5740A" w:rsidRPr="0041608F" w:rsidRDefault="00D5740A" w:rsidP="009D14D9">
      <w:pPr>
        <w:pStyle w:val="Bodytext22"/>
        <w:numPr>
          <w:ilvl w:val="1"/>
          <w:numId w:val="25"/>
        </w:numPr>
        <w:shd w:val="clear" w:color="auto" w:fill="auto"/>
        <w:tabs>
          <w:tab w:val="left" w:pos="567"/>
        </w:tabs>
        <w:spacing w:before="0" w:after="200"/>
        <w:rPr>
          <w:lang w:val="en-GB"/>
        </w:rPr>
      </w:pPr>
      <w:r w:rsidRPr="0041608F">
        <w:rPr>
          <w:lang w:val="en-GB"/>
        </w:rPr>
        <w:t>The TSOs of Baltic region shall define the generation shift keys in accordance with Article 24 of the CACM Regulation</w:t>
      </w:r>
      <w:r w:rsidR="00E63B72" w:rsidRPr="0041608F">
        <w:rPr>
          <w:lang w:val="en-GB"/>
        </w:rPr>
        <w:t>.</w:t>
      </w:r>
    </w:p>
    <w:p w14:paraId="679E9D85" w14:textId="6E94146C" w:rsidR="00D5740A" w:rsidRPr="0041608F" w:rsidRDefault="00D5740A" w:rsidP="00D5740A">
      <w:pPr>
        <w:pStyle w:val="Bodytext22"/>
        <w:numPr>
          <w:ilvl w:val="1"/>
          <w:numId w:val="25"/>
        </w:numPr>
        <w:shd w:val="clear" w:color="auto" w:fill="auto"/>
        <w:tabs>
          <w:tab w:val="left" w:pos="567"/>
        </w:tabs>
        <w:spacing w:before="0" w:after="200"/>
        <w:rPr>
          <w:lang w:val="en-GB"/>
        </w:rPr>
      </w:pPr>
      <w:r w:rsidRPr="0041608F">
        <w:rPr>
          <w:lang w:val="en-GB"/>
        </w:rPr>
        <w:t xml:space="preserve">The generation and load shift keys (hereinafter referred to as "GLSK") shall represent the best forecast of the relation of a change in the net position of a bidding zone to a specific change of generation or load in the CGM. That forecast shall notably </w:t>
      </w:r>
      <w:proofErr w:type="gramStart"/>
      <w:r w:rsidRPr="0041608F">
        <w:rPr>
          <w:lang w:val="en-GB"/>
        </w:rPr>
        <w:t>take into account</w:t>
      </w:r>
      <w:proofErr w:type="gramEnd"/>
      <w:r w:rsidRPr="0041608F">
        <w:rPr>
          <w:lang w:val="en-GB"/>
        </w:rPr>
        <w:t xml:space="preserve"> the information from the generation and load data provision methodology according to Article 16 of CACM. Shift key strategy per power system area shall be the responsibility of each involved TSO, which </w:t>
      </w:r>
      <w:proofErr w:type="gramStart"/>
      <w:r w:rsidRPr="0041608F">
        <w:rPr>
          <w:lang w:val="en-GB"/>
        </w:rPr>
        <w:t>has to</w:t>
      </w:r>
      <w:proofErr w:type="gramEnd"/>
      <w:r w:rsidRPr="0041608F">
        <w:rPr>
          <w:lang w:val="en-GB"/>
        </w:rPr>
        <w:t xml:space="preserve"> be communicated with other TSOs and </w:t>
      </w:r>
      <w:r w:rsidR="00B52DC2" w:rsidRPr="0041608F">
        <w:rPr>
          <w:lang w:val="en-GB"/>
        </w:rPr>
        <w:t>CCC</w:t>
      </w:r>
      <w:r w:rsidRPr="0041608F">
        <w:rPr>
          <w:lang w:val="en-GB"/>
        </w:rPr>
        <w:t xml:space="preserve"> before commencing TTC calculation process in case of deviation from default GLSK strategy set out in paragraph </w:t>
      </w:r>
      <w:r w:rsidRPr="0041608F">
        <w:rPr>
          <w:lang w:val="en-GB"/>
        </w:rPr>
        <w:fldChar w:fldCharType="begin"/>
      </w:r>
      <w:r w:rsidRPr="0041608F">
        <w:rPr>
          <w:lang w:val="en-GB"/>
        </w:rPr>
        <w:instrText xml:space="preserve"> REF _Ref140154727 \r \h </w:instrText>
      </w:r>
      <w:r w:rsidRPr="0041608F">
        <w:rPr>
          <w:lang w:val="en-GB"/>
        </w:rPr>
      </w:r>
      <w:r w:rsidRPr="0041608F">
        <w:rPr>
          <w:lang w:val="en-GB"/>
        </w:rPr>
        <w:fldChar w:fldCharType="separate"/>
      </w:r>
      <w:r w:rsidR="00D71607">
        <w:rPr>
          <w:lang w:val="en-GB"/>
        </w:rPr>
        <w:t>5.3</w:t>
      </w:r>
      <w:r w:rsidRPr="0041608F">
        <w:rPr>
          <w:lang w:val="en-GB"/>
        </w:rPr>
        <w:fldChar w:fldCharType="end"/>
      </w:r>
      <w:r w:rsidRPr="0041608F">
        <w:rPr>
          <w:lang w:val="en-GB"/>
        </w:rPr>
        <w:t>.</w:t>
      </w:r>
    </w:p>
    <w:p w14:paraId="4B0DF0ED" w14:textId="614D2AA8" w:rsidR="00D5740A" w:rsidRPr="0041608F" w:rsidRDefault="00D5740A" w:rsidP="00D5740A">
      <w:pPr>
        <w:pStyle w:val="Bodytext22"/>
        <w:numPr>
          <w:ilvl w:val="1"/>
          <w:numId w:val="25"/>
        </w:numPr>
        <w:shd w:val="clear" w:color="auto" w:fill="auto"/>
        <w:tabs>
          <w:tab w:val="left" w:pos="567"/>
        </w:tabs>
        <w:spacing w:before="0" w:after="200"/>
        <w:rPr>
          <w:lang w:val="en-GB"/>
        </w:rPr>
      </w:pPr>
      <w:bookmarkStart w:id="49" w:name="_Ref140154727"/>
      <w:r w:rsidRPr="0041608F">
        <w:rPr>
          <w:lang w:val="en-GB"/>
        </w:rPr>
        <w:t xml:space="preserve">GLSK strategy consists of GLSK definition principle/-s and ranking sequence/-s. GLSK strategy consists of default GLSK ranking sequence and default GLSK definition and it shall be used as default unless specified otherwise by respective TSO. Each TSO may choose GLSK definition principle/-s and ranking sequence/-s and shall notify other TSOs and </w:t>
      </w:r>
      <w:r w:rsidR="00B52DC2" w:rsidRPr="0041608F">
        <w:rPr>
          <w:lang w:val="en-GB"/>
        </w:rPr>
        <w:t>CCC</w:t>
      </w:r>
      <w:r w:rsidRPr="0041608F">
        <w:rPr>
          <w:lang w:val="en-GB"/>
        </w:rPr>
        <w:t xml:space="preserve"> about chosen GLSK definition principle/-s and ranking sequence/-s.</w:t>
      </w:r>
      <w:bookmarkEnd w:id="49"/>
    </w:p>
    <w:p w14:paraId="70E0865E" w14:textId="77777777" w:rsidR="00D5740A" w:rsidRPr="0041608F" w:rsidRDefault="00D5740A" w:rsidP="00D5740A">
      <w:pPr>
        <w:pStyle w:val="Bodytext22"/>
        <w:numPr>
          <w:ilvl w:val="1"/>
          <w:numId w:val="25"/>
        </w:numPr>
        <w:shd w:val="clear" w:color="auto" w:fill="auto"/>
        <w:tabs>
          <w:tab w:val="left" w:pos="567"/>
        </w:tabs>
        <w:spacing w:before="0" w:after="200"/>
        <w:rPr>
          <w:lang w:val="en-GB"/>
        </w:rPr>
      </w:pPr>
      <w:r w:rsidRPr="0041608F">
        <w:rPr>
          <w:lang w:val="en-GB"/>
        </w:rPr>
        <w:t>Following generation and/or load ranking sequence (generation or load shift shall be proportional to the base case generation/load) shall be used as default:</w:t>
      </w:r>
    </w:p>
    <w:p w14:paraId="708FAEEB" w14:textId="77777777" w:rsidR="00D5740A" w:rsidRPr="0041608F" w:rsidRDefault="00D5740A" w:rsidP="00D5740A">
      <w:pPr>
        <w:pStyle w:val="ListParagraph"/>
        <w:numPr>
          <w:ilvl w:val="1"/>
          <w:numId w:val="26"/>
        </w:numPr>
        <w:spacing w:before="0" w:after="160" w:line="259" w:lineRule="auto"/>
        <w:ind w:left="851" w:hanging="284"/>
        <w:jc w:val="both"/>
        <w:rPr>
          <w:b w:val="0"/>
          <w:bCs/>
          <w:lang w:val="en-GB"/>
        </w:rPr>
      </w:pPr>
      <w:r w:rsidRPr="0041608F">
        <w:rPr>
          <w:b w:val="0"/>
          <w:bCs/>
          <w:lang w:val="en-GB"/>
        </w:rPr>
        <w:t>Internal specific area generation shift.</w:t>
      </w:r>
    </w:p>
    <w:p w14:paraId="5336676E" w14:textId="77777777" w:rsidR="00D5740A" w:rsidRPr="0041608F" w:rsidRDefault="00D5740A" w:rsidP="00D5740A">
      <w:pPr>
        <w:pStyle w:val="ListParagraph"/>
        <w:numPr>
          <w:ilvl w:val="1"/>
          <w:numId w:val="26"/>
        </w:numPr>
        <w:spacing w:before="0" w:after="160" w:line="259" w:lineRule="auto"/>
        <w:ind w:left="851" w:hanging="284"/>
        <w:jc w:val="both"/>
        <w:rPr>
          <w:b w:val="0"/>
          <w:bCs/>
          <w:lang w:val="en-GB"/>
        </w:rPr>
      </w:pPr>
      <w:r w:rsidRPr="0041608F">
        <w:rPr>
          <w:b w:val="0"/>
          <w:bCs/>
          <w:lang w:val="en-GB"/>
        </w:rPr>
        <w:t>HVDCs setpoint change.</w:t>
      </w:r>
    </w:p>
    <w:p w14:paraId="692ABCC0" w14:textId="77777777" w:rsidR="00D5740A" w:rsidRPr="0041608F" w:rsidRDefault="00D5740A" w:rsidP="00D5740A">
      <w:pPr>
        <w:pStyle w:val="ListParagraph"/>
        <w:numPr>
          <w:ilvl w:val="1"/>
          <w:numId w:val="26"/>
        </w:numPr>
        <w:spacing w:before="0" w:after="160" w:line="259" w:lineRule="auto"/>
        <w:ind w:left="851" w:hanging="284"/>
        <w:jc w:val="both"/>
        <w:rPr>
          <w:b w:val="0"/>
          <w:bCs/>
          <w:lang w:val="en-GB"/>
        </w:rPr>
      </w:pPr>
      <w:r w:rsidRPr="0041608F">
        <w:rPr>
          <w:b w:val="0"/>
          <w:bCs/>
          <w:lang w:val="en-GB"/>
        </w:rPr>
        <w:t>Neighbouring system generation shift (including HVDCs setpoint change, if HVDC’s flow goes into synchronous area).</w:t>
      </w:r>
    </w:p>
    <w:p w14:paraId="27981121" w14:textId="77777777" w:rsidR="00D5740A" w:rsidRPr="0041608F" w:rsidRDefault="00D5740A" w:rsidP="00D5740A">
      <w:pPr>
        <w:pStyle w:val="ListParagraph"/>
        <w:numPr>
          <w:ilvl w:val="1"/>
          <w:numId w:val="26"/>
        </w:numPr>
        <w:spacing w:before="0" w:after="160" w:line="259" w:lineRule="auto"/>
        <w:ind w:left="851" w:hanging="284"/>
        <w:jc w:val="both"/>
        <w:rPr>
          <w:b w:val="0"/>
          <w:bCs/>
          <w:lang w:val="en-GB"/>
        </w:rPr>
      </w:pPr>
      <w:r w:rsidRPr="0041608F">
        <w:rPr>
          <w:b w:val="0"/>
          <w:bCs/>
          <w:lang w:val="en-GB"/>
        </w:rPr>
        <w:t>Load shifting in specific area.</w:t>
      </w:r>
    </w:p>
    <w:p w14:paraId="0FD5F0BD" w14:textId="77777777" w:rsidR="00D5740A" w:rsidRDefault="00D5740A" w:rsidP="00D5740A">
      <w:pPr>
        <w:pStyle w:val="Bodytext22"/>
        <w:numPr>
          <w:ilvl w:val="1"/>
          <w:numId w:val="25"/>
        </w:numPr>
        <w:shd w:val="clear" w:color="auto" w:fill="auto"/>
        <w:tabs>
          <w:tab w:val="left" w:pos="567"/>
        </w:tabs>
        <w:spacing w:before="0" w:after="200"/>
        <w:rPr>
          <w:lang w:val="en-GB"/>
        </w:rPr>
      </w:pPr>
      <w:r w:rsidRPr="0041608F">
        <w:rPr>
          <w:lang w:val="en-GB"/>
        </w:rPr>
        <w:t xml:space="preserve"> If TSO does not specify GLSK definition principle/-s, as a default proportional to the base case GLSK definition principle shall be applied for TSO. GLSK definition principle representing proportional to the base case generation/load shift key strategy shall be performed according to following rules:</w:t>
      </w:r>
    </w:p>
    <w:p w14:paraId="2247E398" w14:textId="546EDCF0" w:rsidR="00A66AD8" w:rsidRPr="00A66AD8" w:rsidRDefault="00A66AD8" w:rsidP="00A66AD8">
      <w:pPr>
        <w:pStyle w:val="Bodytext22"/>
        <w:numPr>
          <w:ilvl w:val="2"/>
          <w:numId w:val="25"/>
        </w:numPr>
        <w:shd w:val="clear" w:color="auto" w:fill="auto"/>
        <w:tabs>
          <w:tab w:val="left" w:pos="851"/>
        </w:tabs>
        <w:spacing w:before="0" w:after="200"/>
        <w:rPr>
          <w:bCs/>
          <w:lang w:val="en-GB"/>
        </w:rPr>
      </w:pPr>
      <w:r w:rsidRPr="00A66AD8">
        <w:rPr>
          <w:lang w:val="en-GB"/>
        </w:rPr>
        <w:t>The participation of node n in the shift, among generation nodes (GSK) is given by</w:t>
      </w:r>
      <w:r>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gridCol w:w="685"/>
      </w:tblGrid>
      <w:tr w:rsidR="00D5740A" w:rsidRPr="0041608F" w14:paraId="5EB9FC90" w14:textId="77777777" w:rsidTr="00A66AD8">
        <w:trPr>
          <w:trHeight w:val="650"/>
        </w:trPr>
        <w:tc>
          <w:tcPr>
            <w:tcW w:w="9061" w:type="dxa"/>
          </w:tcPr>
          <w:p w14:paraId="724AE1D7" w14:textId="7695E394" w:rsidR="00D5740A" w:rsidRPr="0041608F" w:rsidRDefault="00000000" w:rsidP="000F73F9">
            <w:pPr>
              <w:pStyle w:val="Caption"/>
              <w:rPr>
                <w:rFonts w:cs="Arial"/>
                <w:b w:val="0"/>
                <w:bCs/>
                <w:i/>
                <w:iCs w:val="0"/>
                <w:szCs w:val="22"/>
                <w:lang w:val="en-GB"/>
              </w:rPr>
            </w:pPr>
            <m:oMathPara>
              <m:oMath>
                <m:sSub>
                  <m:sSubPr>
                    <m:ctrlPr>
                      <w:rPr>
                        <w:rFonts w:ascii="Cambria Math" w:hAnsi="Cambria Math" w:cs="Arial"/>
                        <w:b w:val="0"/>
                        <w:bCs/>
                        <w:iCs w:val="0"/>
                        <w:szCs w:val="22"/>
                        <w:lang w:val="en-GB"/>
                      </w:rPr>
                    </m:ctrlPr>
                  </m:sSubPr>
                  <m:e>
                    <m:r>
                      <m:rPr>
                        <m:nor/>
                      </m:rPr>
                      <w:rPr>
                        <w:rFonts w:cs="Arial"/>
                        <w:b w:val="0"/>
                        <w:bCs/>
                        <w:szCs w:val="22"/>
                        <w:lang w:val="en-GB"/>
                      </w:rPr>
                      <m:t>K</m:t>
                    </m:r>
                  </m:e>
                  <m:sub>
                    <m:r>
                      <m:rPr>
                        <m:nor/>
                      </m:rPr>
                      <w:rPr>
                        <w:rFonts w:cs="Arial"/>
                        <w:b w:val="0"/>
                        <w:bCs/>
                        <w:szCs w:val="22"/>
                        <w:lang w:val="en-GB"/>
                      </w:rPr>
                      <m:t xml:space="preserve">g </m:t>
                    </m:r>
                  </m:sub>
                </m:sSub>
                <m:d>
                  <m:dPr>
                    <m:ctrlPr>
                      <w:rPr>
                        <w:rFonts w:ascii="Cambria Math" w:hAnsi="Cambria Math" w:cs="Arial"/>
                        <w:b w:val="0"/>
                        <w:bCs/>
                        <w:iCs w:val="0"/>
                        <w:szCs w:val="22"/>
                        <w:lang w:val="en-GB"/>
                      </w:rPr>
                    </m:ctrlPr>
                  </m:dPr>
                  <m:e>
                    <m:r>
                      <m:rPr>
                        <m:nor/>
                      </m:rPr>
                      <w:rPr>
                        <w:rFonts w:cs="Arial"/>
                        <w:b w:val="0"/>
                        <w:bCs/>
                        <w:szCs w:val="22"/>
                        <w:lang w:val="en-GB"/>
                      </w:rPr>
                      <m:t>n,a</m:t>
                    </m:r>
                  </m:e>
                </m:d>
                <m:r>
                  <m:rPr>
                    <m:nor/>
                  </m:rPr>
                  <w:rPr>
                    <w:rFonts w:ascii="Cambria Math" w:cs="Arial"/>
                    <w:b w:val="0"/>
                    <w:bCs/>
                    <w:szCs w:val="22"/>
                    <w:lang w:val="en-GB"/>
                  </w:rPr>
                  <m:t xml:space="preserve"> </m:t>
                </m:r>
                <m:r>
                  <m:rPr>
                    <m:nor/>
                  </m:rPr>
                  <w:rPr>
                    <w:rFonts w:cs="Arial"/>
                    <w:b w:val="0"/>
                    <w:bCs/>
                    <w:szCs w:val="22"/>
                    <w:lang w:val="en-GB"/>
                  </w:rPr>
                  <m:t>=</m:t>
                </m:r>
                <m:r>
                  <m:rPr>
                    <m:nor/>
                  </m:rPr>
                  <w:rPr>
                    <w:rFonts w:ascii="Cambria Math" w:cs="Arial"/>
                    <w:b w:val="0"/>
                    <w:bCs/>
                    <w:szCs w:val="22"/>
                    <w:lang w:val="en-GB"/>
                  </w:rPr>
                  <m:t xml:space="preserve"> </m:t>
                </m:r>
                <m:r>
                  <m:rPr>
                    <m:nor/>
                  </m:rPr>
                  <w:rPr>
                    <w:rFonts w:cs="Arial"/>
                    <w:b w:val="0"/>
                    <w:bCs/>
                    <w:szCs w:val="22"/>
                    <w:lang w:val="en-GB"/>
                  </w:rPr>
                  <m:t>G</m:t>
                </m:r>
                <m:d>
                  <m:dPr>
                    <m:ctrlPr>
                      <w:rPr>
                        <w:rFonts w:ascii="Cambria Math" w:hAnsi="Cambria Math" w:cs="Arial"/>
                        <w:b w:val="0"/>
                        <w:bCs/>
                        <w:iCs w:val="0"/>
                        <w:szCs w:val="22"/>
                        <w:lang w:val="en-GB"/>
                      </w:rPr>
                    </m:ctrlPr>
                  </m:dPr>
                  <m:e>
                    <m:r>
                      <m:rPr>
                        <m:nor/>
                      </m:rPr>
                      <w:rPr>
                        <w:rFonts w:cs="Arial"/>
                        <w:b w:val="0"/>
                        <w:bCs/>
                        <w:szCs w:val="22"/>
                        <w:lang w:val="en-GB"/>
                      </w:rPr>
                      <m:t>a</m:t>
                    </m:r>
                  </m:e>
                </m:d>
                <m:f>
                  <m:fPr>
                    <m:ctrlPr>
                      <w:rPr>
                        <w:rFonts w:ascii="Cambria Math" w:hAnsi="Cambria Math" w:cs="Arial"/>
                        <w:b w:val="0"/>
                        <w:bCs/>
                        <w:iCs w:val="0"/>
                        <w:szCs w:val="22"/>
                        <w:lang w:val="en-GB"/>
                      </w:rPr>
                    </m:ctrlPr>
                  </m:fPr>
                  <m:num>
                    <m:sSub>
                      <m:sSubPr>
                        <m:ctrlPr>
                          <w:rPr>
                            <w:rFonts w:ascii="Cambria Math" w:hAnsi="Cambria Math" w:cs="Arial"/>
                            <w:b w:val="0"/>
                            <w:bCs/>
                            <w:iCs w:val="0"/>
                            <w:szCs w:val="22"/>
                            <w:lang w:val="en-GB"/>
                          </w:rPr>
                        </m:ctrlPr>
                      </m:sSubPr>
                      <m:e>
                        <m:r>
                          <m:rPr>
                            <m:nor/>
                          </m:rPr>
                          <w:rPr>
                            <w:rFonts w:cs="Arial"/>
                            <w:b w:val="0"/>
                            <w:bCs/>
                            <w:szCs w:val="22"/>
                            <w:lang w:val="en-GB"/>
                          </w:rPr>
                          <m:t>P</m:t>
                        </m:r>
                      </m:e>
                      <m:sub>
                        <m:r>
                          <m:rPr>
                            <m:nor/>
                          </m:rPr>
                          <w:rPr>
                            <w:rFonts w:cs="Arial"/>
                            <w:b w:val="0"/>
                            <w:bCs/>
                            <w:szCs w:val="22"/>
                            <w:lang w:val="en-GB"/>
                          </w:rPr>
                          <m:t>g</m:t>
                        </m:r>
                      </m:sub>
                    </m:sSub>
                    <m:d>
                      <m:dPr>
                        <m:ctrlPr>
                          <w:rPr>
                            <w:rFonts w:ascii="Cambria Math" w:hAnsi="Cambria Math" w:cs="Arial"/>
                            <w:b w:val="0"/>
                            <w:bCs/>
                            <w:iCs w:val="0"/>
                            <w:szCs w:val="22"/>
                            <w:lang w:val="en-GB"/>
                          </w:rPr>
                        </m:ctrlPr>
                      </m:dPr>
                      <m:e>
                        <m:r>
                          <m:rPr>
                            <m:nor/>
                          </m:rPr>
                          <w:rPr>
                            <w:rFonts w:cs="Arial"/>
                            <w:b w:val="0"/>
                            <w:bCs/>
                            <w:szCs w:val="22"/>
                            <w:lang w:val="en-GB"/>
                          </w:rPr>
                          <m:t>n,a</m:t>
                        </m:r>
                      </m:e>
                    </m:d>
                  </m:num>
                  <m:den>
                    <m:nary>
                      <m:naryPr>
                        <m:chr m:val="∑"/>
                        <m:limLoc m:val="undOvr"/>
                        <m:supHide m:val="1"/>
                        <m:ctrlPr>
                          <w:rPr>
                            <w:rFonts w:ascii="Cambria Math" w:hAnsi="Cambria Math" w:cs="Arial"/>
                            <w:b w:val="0"/>
                            <w:bCs/>
                            <w:iCs w:val="0"/>
                            <w:szCs w:val="22"/>
                            <w:lang w:val="en-GB"/>
                          </w:rPr>
                        </m:ctrlPr>
                      </m:naryPr>
                      <m:sub>
                        <m:r>
                          <m:rPr>
                            <m:nor/>
                          </m:rPr>
                          <w:rPr>
                            <w:rFonts w:cs="Arial"/>
                            <w:b w:val="0"/>
                            <w:bCs/>
                            <w:szCs w:val="22"/>
                            <w:lang w:val="en-GB"/>
                          </w:rPr>
                          <m:t>i</m:t>
                        </m:r>
                      </m:sub>
                      <m:sup/>
                      <m:e>
                        <m:sSub>
                          <m:sSubPr>
                            <m:ctrlPr>
                              <w:rPr>
                                <w:rFonts w:ascii="Cambria Math" w:hAnsi="Cambria Math" w:cs="Arial"/>
                                <w:b w:val="0"/>
                                <w:bCs/>
                                <w:iCs w:val="0"/>
                                <w:szCs w:val="22"/>
                                <w:lang w:val="en-GB"/>
                              </w:rPr>
                            </m:ctrlPr>
                          </m:sSubPr>
                          <m:e>
                            <m:r>
                              <m:rPr>
                                <m:nor/>
                              </m:rPr>
                              <w:rPr>
                                <w:rFonts w:cs="Arial"/>
                                <w:b w:val="0"/>
                                <w:bCs/>
                                <w:szCs w:val="22"/>
                                <w:lang w:val="en-GB"/>
                              </w:rPr>
                              <m:t>P</m:t>
                            </m:r>
                            <m:ctrlPr>
                              <w:rPr>
                                <w:rFonts w:ascii="Cambria Math" w:eastAsia="Cambria Math" w:hAnsi="Cambria Math" w:cs="Arial"/>
                                <w:b w:val="0"/>
                                <w:bCs/>
                                <w:iCs w:val="0"/>
                                <w:szCs w:val="22"/>
                                <w:lang w:val="en-GB"/>
                              </w:rPr>
                            </m:ctrlPr>
                          </m:e>
                          <m:sub>
                            <m:r>
                              <m:rPr>
                                <m:nor/>
                              </m:rPr>
                              <w:rPr>
                                <w:rFonts w:cs="Arial"/>
                                <w:b w:val="0"/>
                                <w:bCs/>
                                <w:szCs w:val="22"/>
                                <w:lang w:val="en-GB"/>
                              </w:rPr>
                              <m:t>i</m:t>
                            </m:r>
                          </m:sub>
                        </m:sSub>
                        <m:d>
                          <m:dPr>
                            <m:ctrlPr>
                              <w:rPr>
                                <w:rFonts w:ascii="Cambria Math" w:hAnsi="Cambria Math" w:cs="Arial"/>
                                <w:b w:val="0"/>
                                <w:bCs/>
                                <w:iCs w:val="0"/>
                                <w:szCs w:val="22"/>
                                <w:lang w:val="en-GB"/>
                              </w:rPr>
                            </m:ctrlPr>
                          </m:dPr>
                          <m:e>
                            <m:r>
                              <m:rPr>
                                <m:nor/>
                              </m:rPr>
                              <w:rPr>
                                <w:rFonts w:cs="Arial"/>
                                <w:b w:val="0"/>
                                <w:bCs/>
                                <w:szCs w:val="22"/>
                                <w:lang w:val="en-GB"/>
                              </w:rPr>
                              <m:t>i,a</m:t>
                            </m:r>
                          </m:e>
                        </m:d>
                      </m:e>
                    </m:nary>
                  </m:den>
                </m:f>
              </m:oMath>
            </m:oMathPara>
          </w:p>
        </w:tc>
        <w:tc>
          <w:tcPr>
            <w:tcW w:w="685" w:type="dxa"/>
          </w:tcPr>
          <w:p w14:paraId="1222DE61" w14:textId="1E437013" w:rsidR="00D5740A" w:rsidRPr="0041608F" w:rsidRDefault="00050DBE" w:rsidP="0041064D">
            <w:pPr>
              <w:pStyle w:val="Caption"/>
              <w:jc w:val="center"/>
              <w:rPr>
                <w:b w:val="0"/>
                <w:bCs/>
                <w:i/>
                <w:iCs w:val="0"/>
                <w:szCs w:val="22"/>
                <w:lang w:val="en-GB"/>
              </w:rPr>
            </w:pPr>
            <w:r w:rsidRPr="0041608F">
              <w:rPr>
                <w:b w:val="0"/>
                <w:bCs/>
                <w:iCs w:val="0"/>
                <w:szCs w:val="22"/>
                <w:lang w:val="en-GB"/>
              </w:rPr>
              <w:t>(</w:t>
            </w:r>
            <w:r w:rsidRPr="00A66AD8">
              <w:rPr>
                <w:b w:val="0"/>
                <w:bCs/>
                <w:lang w:val="en-GB"/>
              </w:rPr>
              <w:fldChar w:fldCharType="begin"/>
            </w:r>
            <w:r w:rsidRPr="00A66AD8">
              <w:rPr>
                <w:b w:val="0"/>
                <w:bCs/>
                <w:lang w:val="en-GB"/>
              </w:rPr>
              <w:instrText xml:space="preserve"> SEQ Equation \* ARABIC </w:instrText>
            </w:r>
            <w:r w:rsidRPr="00A66AD8">
              <w:rPr>
                <w:b w:val="0"/>
                <w:bCs/>
                <w:lang w:val="en-GB"/>
              </w:rPr>
              <w:fldChar w:fldCharType="separate"/>
            </w:r>
            <w:r w:rsidR="00D71607">
              <w:rPr>
                <w:b w:val="0"/>
                <w:bCs/>
                <w:noProof/>
                <w:lang w:val="en-GB"/>
              </w:rPr>
              <w:t>2</w:t>
            </w:r>
            <w:r w:rsidRPr="00A66AD8">
              <w:rPr>
                <w:b w:val="0"/>
                <w:bCs/>
                <w:lang w:val="en-GB"/>
              </w:rPr>
              <w:fldChar w:fldCharType="end"/>
            </w:r>
            <w:r w:rsidRPr="00A66AD8">
              <w:rPr>
                <w:b w:val="0"/>
                <w:bCs/>
                <w:lang w:val="en-GB"/>
              </w:rPr>
              <w:t>)</w:t>
            </w:r>
          </w:p>
        </w:tc>
      </w:tr>
    </w:tbl>
    <w:p w14:paraId="201B0B8A" w14:textId="77777777" w:rsidR="00D5740A" w:rsidRPr="0041608F" w:rsidRDefault="00D5740A" w:rsidP="00D5740A">
      <w:pPr>
        <w:pStyle w:val="Bodytext22"/>
        <w:shd w:val="clear" w:color="auto" w:fill="auto"/>
        <w:tabs>
          <w:tab w:val="left" w:pos="567"/>
        </w:tabs>
        <w:spacing w:after="200"/>
        <w:ind w:firstLine="0"/>
        <w:rPr>
          <w:lang w:val="en-GB"/>
        </w:rPr>
      </w:pPr>
      <w:r w:rsidRPr="0041608F">
        <w:rPr>
          <w:lang w:val="en-GB"/>
        </w:rPr>
        <w:t>Where:</w:t>
      </w:r>
    </w:p>
    <w:p w14:paraId="48965DD6" w14:textId="77777777" w:rsidR="00D5740A" w:rsidRPr="0041608F" w:rsidRDefault="00D5740A" w:rsidP="00D5740A">
      <w:pPr>
        <w:rPr>
          <w:lang w:val="en-GB"/>
        </w:rPr>
      </w:pPr>
      <w:proofErr w:type="gramStart"/>
      <w:r w:rsidRPr="0041608F">
        <w:rPr>
          <w:b/>
          <w:bCs/>
          <w:lang w:val="en-GB"/>
        </w:rPr>
        <w:t>K</w:t>
      </w:r>
      <w:r w:rsidRPr="0041608F">
        <w:rPr>
          <w:b/>
          <w:bCs/>
          <w:vertAlign w:val="subscript"/>
          <w:lang w:val="en-GB"/>
        </w:rPr>
        <w:t>G</w:t>
      </w:r>
      <w:r w:rsidRPr="0041608F">
        <w:rPr>
          <w:b/>
          <w:bCs/>
          <w:lang w:val="en-GB"/>
        </w:rPr>
        <w:t>(</w:t>
      </w:r>
      <w:proofErr w:type="gramEnd"/>
      <w:r w:rsidRPr="0041608F">
        <w:rPr>
          <w:b/>
          <w:bCs/>
          <w:lang w:val="en-GB"/>
        </w:rPr>
        <w:t>n, a)</w:t>
      </w:r>
      <w:r w:rsidRPr="0041608F">
        <w:rPr>
          <w:lang w:val="en-GB"/>
        </w:rPr>
        <w:t xml:space="preserve"> – calculated GSK value of evaluated specific generation in node n, belonging to area a.</w:t>
      </w:r>
    </w:p>
    <w:p w14:paraId="4B9AB721" w14:textId="77777777" w:rsidR="00D5740A" w:rsidRPr="0041608F" w:rsidRDefault="00D5740A" w:rsidP="00D5740A">
      <w:pPr>
        <w:pStyle w:val="Bodytext22"/>
        <w:shd w:val="clear" w:color="auto" w:fill="auto"/>
        <w:spacing w:after="200" w:line="246" w:lineRule="exact"/>
        <w:ind w:firstLine="0"/>
        <w:jc w:val="left"/>
        <w:rPr>
          <w:lang w:val="en-GB"/>
        </w:rPr>
      </w:pPr>
      <w:proofErr w:type="gramStart"/>
      <w:r w:rsidRPr="0041608F">
        <w:rPr>
          <w:b/>
          <w:bCs/>
          <w:lang w:val="en-GB"/>
        </w:rPr>
        <w:t>P</w:t>
      </w:r>
      <w:r w:rsidRPr="0041608F">
        <w:rPr>
          <w:b/>
          <w:bCs/>
          <w:vertAlign w:val="subscript"/>
          <w:lang w:val="en-GB"/>
        </w:rPr>
        <w:t>g</w:t>
      </w:r>
      <w:r w:rsidRPr="0041608F">
        <w:rPr>
          <w:b/>
          <w:bCs/>
          <w:lang w:val="en-GB"/>
        </w:rPr>
        <w:t>(</w:t>
      </w:r>
      <w:proofErr w:type="gramEnd"/>
      <w:r w:rsidRPr="0041608F">
        <w:rPr>
          <w:b/>
          <w:bCs/>
          <w:lang w:val="en-GB"/>
        </w:rPr>
        <w:t>n, a)</w:t>
      </w:r>
      <w:r w:rsidRPr="0041608F">
        <w:rPr>
          <w:lang w:val="en-GB"/>
        </w:rPr>
        <w:t xml:space="preserve"> – generation in node n, belonging to area a.</w:t>
      </w:r>
    </w:p>
    <w:p w14:paraId="09704568" w14:textId="77777777" w:rsidR="00D5740A" w:rsidRPr="0041608F" w:rsidRDefault="00D5740A" w:rsidP="00D5740A">
      <w:pPr>
        <w:pStyle w:val="Bodytext22"/>
        <w:shd w:val="clear" w:color="auto" w:fill="auto"/>
        <w:spacing w:after="200" w:line="246" w:lineRule="exact"/>
        <w:ind w:firstLine="0"/>
        <w:jc w:val="left"/>
        <w:rPr>
          <w:lang w:val="en-GB"/>
        </w:rPr>
      </w:pPr>
      <w:r w:rsidRPr="0041608F">
        <w:rPr>
          <w:b/>
          <w:bCs/>
          <w:lang w:val="en-GB"/>
        </w:rPr>
        <w:lastRenderedPageBreak/>
        <w:t>∑</w:t>
      </w:r>
      <w:proofErr w:type="gramStart"/>
      <w:r w:rsidRPr="0041608F">
        <w:rPr>
          <w:b/>
          <w:bCs/>
          <w:lang w:val="en-GB"/>
        </w:rPr>
        <w:t>P</w:t>
      </w:r>
      <w:r w:rsidRPr="0041608F">
        <w:rPr>
          <w:b/>
          <w:bCs/>
          <w:vertAlign w:val="subscript"/>
          <w:lang w:val="en-GB"/>
        </w:rPr>
        <w:t>i</w:t>
      </w:r>
      <w:r w:rsidRPr="0041608F">
        <w:rPr>
          <w:b/>
          <w:bCs/>
          <w:lang w:val="en-GB"/>
        </w:rPr>
        <w:t>(</w:t>
      </w:r>
      <w:proofErr w:type="spellStart"/>
      <w:proofErr w:type="gramEnd"/>
      <w:r w:rsidRPr="0041608F">
        <w:rPr>
          <w:b/>
          <w:bCs/>
          <w:lang w:val="en-GB"/>
        </w:rPr>
        <w:t>i</w:t>
      </w:r>
      <w:proofErr w:type="spellEnd"/>
      <w:r w:rsidRPr="0041608F">
        <w:rPr>
          <w:b/>
          <w:bCs/>
          <w:lang w:val="en-GB"/>
        </w:rPr>
        <w:t>, a)</w:t>
      </w:r>
      <w:r w:rsidRPr="0041608F">
        <w:rPr>
          <w:lang w:val="en-GB"/>
        </w:rPr>
        <w:t xml:space="preserve"> – total sum of evaluated generators belonging to area a.</w:t>
      </w:r>
    </w:p>
    <w:p w14:paraId="33236725" w14:textId="77777777" w:rsidR="00D5740A" w:rsidRPr="0041608F" w:rsidRDefault="00D5740A" w:rsidP="00D5740A">
      <w:pPr>
        <w:pStyle w:val="Bodytext22"/>
        <w:shd w:val="clear" w:color="auto" w:fill="auto"/>
        <w:tabs>
          <w:tab w:val="left" w:pos="567"/>
        </w:tabs>
        <w:spacing w:after="200"/>
        <w:ind w:firstLine="0"/>
        <w:rPr>
          <w:lang w:val="en-GB"/>
        </w:rPr>
      </w:pPr>
      <w:r w:rsidRPr="0041608F">
        <w:rPr>
          <w:b/>
          <w:bCs/>
          <w:lang w:val="en-GB"/>
        </w:rPr>
        <w:t>G(a)</w:t>
      </w:r>
      <w:r w:rsidRPr="0041608F">
        <w:rPr>
          <w:lang w:val="en-GB"/>
        </w:rPr>
        <w:t xml:space="preserve"> – Participation factor for generation nodes in area “a”</w:t>
      </w:r>
    </w:p>
    <w:p w14:paraId="7038D167" w14:textId="77777777" w:rsidR="00D5740A" w:rsidRPr="0041608F" w:rsidRDefault="00D5740A" w:rsidP="00D5740A">
      <w:pPr>
        <w:pStyle w:val="Bodytext22"/>
        <w:numPr>
          <w:ilvl w:val="2"/>
          <w:numId w:val="25"/>
        </w:numPr>
        <w:shd w:val="clear" w:color="auto" w:fill="auto"/>
        <w:tabs>
          <w:tab w:val="left" w:pos="851"/>
        </w:tabs>
        <w:spacing w:before="0" w:after="200"/>
        <w:rPr>
          <w:lang w:val="en-GB"/>
        </w:rPr>
      </w:pPr>
      <w:r w:rsidRPr="0041608F">
        <w:rPr>
          <w:lang w:val="en-GB"/>
        </w:rPr>
        <w:t>The participation of node n in the shift, among load nodes (LSK) is given by:</w:t>
      </w:r>
    </w:p>
    <w:p w14:paraId="4EC649E3" w14:textId="77777777" w:rsidR="00D5740A" w:rsidRPr="0041608F" w:rsidRDefault="00D5740A" w:rsidP="00D5740A">
      <w:pPr>
        <w:pStyle w:val="Caption"/>
        <w:keepNext/>
        <w:rPr>
          <w:i/>
          <w:iCs w:val="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gridCol w:w="685"/>
      </w:tblGrid>
      <w:tr w:rsidR="00D5740A" w:rsidRPr="0041608F" w14:paraId="1523E377" w14:textId="77777777" w:rsidTr="00050DBE">
        <w:trPr>
          <w:trHeight w:val="737"/>
        </w:trPr>
        <w:tc>
          <w:tcPr>
            <w:tcW w:w="9061" w:type="dxa"/>
            <w:vAlign w:val="center"/>
          </w:tcPr>
          <w:p w14:paraId="280D71D7" w14:textId="77777777" w:rsidR="00D5740A" w:rsidRPr="0041608F" w:rsidRDefault="00000000" w:rsidP="000F73F9">
            <w:pPr>
              <w:rPr>
                <w:rFonts w:cs="Arial"/>
                <w:lang w:val="en-GB"/>
              </w:rPr>
            </w:pPr>
            <m:oMathPara>
              <m:oMath>
                <m:sSub>
                  <m:sSubPr>
                    <m:ctrlPr>
                      <w:rPr>
                        <w:rFonts w:ascii="Cambria Math" w:hAnsi="Cambria Math" w:cs="Arial"/>
                        <w:lang w:val="en-GB"/>
                      </w:rPr>
                    </m:ctrlPr>
                  </m:sSubPr>
                  <m:e>
                    <m:r>
                      <m:rPr>
                        <m:nor/>
                      </m:rPr>
                      <w:rPr>
                        <w:rFonts w:cs="Arial"/>
                        <w:lang w:val="en-GB"/>
                      </w:rPr>
                      <m:t>K</m:t>
                    </m:r>
                    <m:ctrlPr>
                      <w:rPr>
                        <w:rFonts w:ascii="Cambria Math" w:hAnsi="Cambria Math" w:cs="Arial"/>
                        <w:i/>
                        <w:lang w:val="en-GB"/>
                      </w:rPr>
                    </m:ctrlPr>
                  </m:e>
                  <m:sub>
                    <m:r>
                      <m:rPr>
                        <m:nor/>
                      </m:rPr>
                      <w:rPr>
                        <w:rFonts w:cs="Arial"/>
                        <w:lang w:val="en-GB"/>
                      </w:rPr>
                      <m:t xml:space="preserve">l </m:t>
                    </m:r>
                  </m:sub>
                </m:sSub>
                <m:d>
                  <m:dPr>
                    <m:ctrlPr>
                      <w:rPr>
                        <w:rFonts w:ascii="Cambria Math" w:hAnsi="Cambria Math" w:cs="Arial"/>
                        <w:lang w:val="en-GB"/>
                      </w:rPr>
                    </m:ctrlPr>
                  </m:dPr>
                  <m:e>
                    <m:r>
                      <m:rPr>
                        <m:nor/>
                      </m:rPr>
                      <w:rPr>
                        <w:rFonts w:cs="Arial"/>
                        <w:lang w:val="en-GB"/>
                      </w:rPr>
                      <m:t>n,a</m:t>
                    </m:r>
                  </m:e>
                </m:d>
                <m:r>
                  <m:rPr>
                    <m:nor/>
                  </m:rPr>
                  <w:rPr>
                    <w:rFonts w:ascii="Cambria Math" w:cs="Arial"/>
                    <w:lang w:val="en-GB"/>
                  </w:rPr>
                  <m:t xml:space="preserve"> </m:t>
                </m:r>
                <m:r>
                  <m:rPr>
                    <m:nor/>
                  </m:rPr>
                  <w:rPr>
                    <w:rFonts w:cs="Arial"/>
                    <w:lang w:val="en-GB"/>
                  </w:rPr>
                  <m:t>=</m:t>
                </m:r>
                <m:r>
                  <m:rPr>
                    <m:nor/>
                  </m:rPr>
                  <w:rPr>
                    <w:rFonts w:ascii="Cambria Math" w:cs="Arial"/>
                    <w:lang w:val="en-GB"/>
                  </w:rPr>
                  <m:t xml:space="preserve"> </m:t>
                </m:r>
                <m:r>
                  <m:rPr>
                    <m:nor/>
                  </m:rPr>
                  <w:rPr>
                    <w:rFonts w:cs="Arial"/>
                    <w:lang w:val="en-GB"/>
                  </w:rPr>
                  <m:t>L</m:t>
                </m:r>
                <m:d>
                  <m:dPr>
                    <m:ctrlPr>
                      <w:rPr>
                        <w:rFonts w:ascii="Cambria Math" w:hAnsi="Cambria Math" w:cs="Arial"/>
                        <w:lang w:val="en-GB"/>
                      </w:rPr>
                    </m:ctrlPr>
                  </m:dPr>
                  <m:e>
                    <m:r>
                      <m:rPr>
                        <m:nor/>
                      </m:rPr>
                      <w:rPr>
                        <w:rFonts w:cs="Arial"/>
                        <w:lang w:val="en-GB"/>
                      </w:rPr>
                      <m:t>a</m:t>
                    </m:r>
                  </m:e>
                </m:d>
                <m:f>
                  <m:fPr>
                    <m:ctrlPr>
                      <w:rPr>
                        <w:rFonts w:ascii="Cambria Math" w:hAnsi="Cambria Math" w:cs="Arial"/>
                        <w:lang w:val="en-GB"/>
                      </w:rPr>
                    </m:ctrlPr>
                  </m:fPr>
                  <m:num>
                    <m:sSub>
                      <m:sSubPr>
                        <m:ctrlPr>
                          <w:rPr>
                            <w:rFonts w:ascii="Cambria Math" w:hAnsi="Cambria Math" w:cs="Arial"/>
                            <w:lang w:val="en-GB"/>
                          </w:rPr>
                        </m:ctrlPr>
                      </m:sSubPr>
                      <m:e>
                        <m:r>
                          <m:rPr>
                            <m:nor/>
                          </m:rPr>
                          <w:rPr>
                            <w:rFonts w:cs="Arial"/>
                            <w:lang w:val="en-GB"/>
                          </w:rPr>
                          <m:t>P</m:t>
                        </m:r>
                      </m:e>
                      <m:sub>
                        <m:r>
                          <m:rPr>
                            <m:nor/>
                          </m:rPr>
                          <w:rPr>
                            <w:rFonts w:cs="Arial"/>
                            <w:lang w:val="en-GB"/>
                          </w:rPr>
                          <m:t>l</m:t>
                        </m:r>
                      </m:sub>
                    </m:sSub>
                    <m:d>
                      <m:dPr>
                        <m:ctrlPr>
                          <w:rPr>
                            <w:rFonts w:ascii="Cambria Math" w:hAnsi="Cambria Math" w:cs="Arial"/>
                            <w:lang w:val="en-GB"/>
                          </w:rPr>
                        </m:ctrlPr>
                      </m:dPr>
                      <m:e>
                        <m:r>
                          <m:rPr>
                            <m:nor/>
                          </m:rPr>
                          <w:rPr>
                            <w:rFonts w:cs="Arial"/>
                            <w:lang w:val="en-GB"/>
                          </w:rPr>
                          <m:t>n,a</m:t>
                        </m:r>
                      </m:e>
                    </m:d>
                  </m:num>
                  <m:den>
                    <m:nary>
                      <m:naryPr>
                        <m:chr m:val="∑"/>
                        <m:limLoc m:val="undOvr"/>
                        <m:grow m:val="1"/>
                        <m:supHide m:val="1"/>
                        <m:ctrlPr>
                          <w:rPr>
                            <w:rFonts w:ascii="Cambria Math" w:hAnsi="Cambria Math" w:cs="Arial"/>
                            <w:lang w:val="en-GB"/>
                          </w:rPr>
                        </m:ctrlPr>
                      </m:naryPr>
                      <m:sub>
                        <m:r>
                          <m:rPr>
                            <m:nor/>
                          </m:rPr>
                          <w:rPr>
                            <w:rFonts w:cs="Arial"/>
                            <w:lang w:val="en-GB"/>
                          </w:rPr>
                          <m:t>i</m:t>
                        </m:r>
                      </m:sub>
                      <m:sup/>
                      <m:e>
                        <m:sSub>
                          <m:sSubPr>
                            <m:ctrlPr>
                              <w:rPr>
                                <w:rFonts w:ascii="Cambria Math" w:hAnsi="Cambria Math" w:cs="Arial"/>
                                <w:lang w:val="en-GB"/>
                              </w:rPr>
                            </m:ctrlPr>
                          </m:sSubPr>
                          <m:e>
                            <m:r>
                              <m:rPr>
                                <m:nor/>
                              </m:rPr>
                              <w:rPr>
                                <w:rFonts w:cs="Arial"/>
                                <w:lang w:val="en-GB"/>
                              </w:rPr>
                              <m:t>P</m:t>
                            </m:r>
                            <m:ctrlPr>
                              <w:rPr>
                                <w:rFonts w:ascii="Cambria Math" w:eastAsia="Cambria Math" w:hAnsi="Cambria Math" w:cs="Arial"/>
                                <w:lang w:val="en-GB"/>
                              </w:rPr>
                            </m:ctrlPr>
                          </m:e>
                          <m:sub>
                            <m:r>
                              <m:rPr>
                                <m:nor/>
                              </m:rPr>
                              <w:rPr>
                                <w:rFonts w:cs="Arial"/>
                                <w:lang w:val="en-GB"/>
                              </w:rPr>
                              <m:t>i</m:t>
                            </m:r>
                          </m:sub>
                        </m:sSub>
                        <m:d>
                          <m:dPr>
                            <m:ctrlPr>
                              <w:rPr>
                                <w:rFonts w:ascii="Cambria Math" w:hAnsi="Cambria Math" w:cs="Arial"/>
                                <w:lang w:val="en-GB"/>
                              </w:rPr>
                            </m:ctrlPr>
                          </m:dPr>
                          <m:e>
                            <m:r>
                              <m:rPr>
                                <m:nor/>
                              </m:rPr>
                              <w:rPr>
                                <w:rFonts w:cs="Arial"/>
                                <w:lang w:val="en-GB"/>
                              </w:rPr>
                              <m:t>i,a</m:t>
                            </m:r>
                          </m:e>
                        </m:d>
                      </m:e>
                    </m:nary>
                  </m:den>
                </m:f>
              </m:oMath>
            </m:oMathPara>
          </w:p>
        </w:tc>
        <w:tc>
          <w:tcPr>
            <w:tcW w:w="685" w:type="dxa"/>
          </w:tcPr>
          <w:p w14:paraId="593659E7" w14:textId="3BD38B6E" w:rsidR="00D5740A" w:rsidRPr="0041608F" w:rsidRDefault="00050DBE" w:rsidP="0041064D">
            <w:pPr>
              <w:pStyle w:val="Caption"/>
              <w:jc w:val="center"/>
              <w:rPr>
                <w:b w:val="0"/>
                <w:i/>
                <w:iCs w:val="0"/>
                <w:szCs w:val="22"/>
                <w:lang w:val="en-GB"/>
              </w:rPr>
            </w:pPr>
            <w:r w:rsidRPr="0041608F">
              <w:rPr>
                <w:b w:val="0"/>
                <w:iCs w:val="0"/>
                <w:szCs w:val="22"/>
                <w:lang w:val="en-GB"/>
              </w:rPr>
              <w:t>(</w:t>
            </w:r>
            <w:r w:rsidRPr="00A66AD8">
              <w:rPr>
                <w:b w:val="0"/>
                <w:lang w:val="en-GB"/>
              </w:rPr>
              <w:fldChar w:fldCharType="begin"/>
            </w:r>
            <w:r w:rsidRPr="00A66AD8">
              <w:rPr>
                <w:b w:val="0"/>
                <w:lang w:val="en-GB"/>
              </w:rPr>
              <w:instrText xml:space="preserve"> SEQ Equation \* ARABIC </w:instrText>
            </w:r>
            <w:r w:rsidRPr="00A66AD8">
              <w:rPr>
                <w:b w:val="0"/>
                <w:lang w:val="en-GB"/>
              </w:rPr>
              <w:fldChar w:fldCharType="separate"/>
            </w:r>
            <w:r w:rsidR="00D71607">
              <w:rPr>
                <w:b w:val="0"/>
                <w:noProof/>
                <w:lang w:val="en-GB"/>
              </w:rPr>
              <w:t>3</w:t>
            </w:r>
            <w:r w:rsidRPr="00A66AD8">
              <w:rPr>
                <w:b w:val="0"/>
                <w:lang w:val="en-GB"/>
              </w:rPr>
              <w:fldChar w:fldCharType="end"/>
            </w:r>
            <w:r w:rsidRPr="00A66AD8">
              <w:rPr>
                <w:b w:val="0"/>
                <w:lang w:val="en-GB"/>
              </w:rPr>
              <w:t>)</w:t>
            </w:r>
          </w:p>
        </w:tc>
      </w:tr>
    </w:tbl>
    <w:p w14:paraId="1CD9F8F7" w14:textId="77777777" w:rsidR="00D5740A" w:rsidRPr="0041608F" w:rsidRDefault="00D5740A" w:rsidP="00D5740A">
      <w:pPr>
        <w:rPr>
          <w:lang w:val="en-GB"/>
        </w:rPr>
      </w:pPr>
      <w:r w:rsidRPr="0041608F">
        <w:rPr>
          <w:lang w:val="en-GB"/>
        </w:rPr>
        <w:t>Where:</w:t>
      </w:r>
    </w:p>
    <w:p w14:paraId="7130E010" w14:textId="77777777" w:rsidR="00D5740A" w:rsidRPr="0041608F" w:rsidRDefault="00D5740A" w:rsidP="00D5740A">
      <w:pPr>
        <w:rPr>
          <w:lang w:val="en-GB"/>
        </w:rPr>
      </w:pPr>
      <w:proofErr w:type="gramStart"/>
      <w:r w:rsidRPr="0041608F">
        <w:rPr>
          <w:b/>
          <w:bCs/>
          <w:lang w:val="en-GB"/>
        </w:rPr>
        <w:t>K</w:t>
      </w:r>
      <w:r w:rsidRPr="0041608F">
        <w:rPr>
          <w:b/>
          <w:bCs/>
          <w:vertAlign w:val="subscript"/>
          <w:lang w:val="en-GB"/>
        </w:rPr>
        <w:t>l</w:t>
      </w:r>
      <w:r w:rsidRPr="0041608F">
        <w:rPr>
          <w:b/>
          <w:bCs/>
          <w:lang w:val="en-GB"/>
        </w:rPr>
        <w:t>(</w:t>
      </w:r>
      <w:proofErr w:type="gramEnd"/>
      <w:r w:rsidRPr="0041608F">
        <w:rPr>
          <w:b/>
          <w:bCs/>
          <w:lang w:val="en-GB"/>
        </w:rPr>
        <w:t>n, a)</w:t>
      </w:r>
      <w:r w:rsidRPr="0041608F">
        <w:rPr>
          <w:lang w:val="en-GB"/>
        </w:rPr>
        <w:t xml:space="preserve"> – calculated LSK value of evaluated specific load in node n, belonging to area a.</w:t>
      </w:r>
    </w:p>
    <w:p w14:paraId="7B10B8D3" w14:textId="77777777" w:rsidR="00D5740A" w:rsidRPr="0041608F" w:rsidRDefault="00D5740A" w:rsidP="00D5740A">
      <w:pPr>
        <w:pStyle w:val="Bodytext22"/>
        <w:shd w:val="clear" w:color="auto" w:fill="auto"/>
        <w:spacing w:after="200" w:line="246" w:lineRule="exact"/>
        <w:ind w:firstLine="0"/>
        <w:jc w:val="left"/>
        <w:rPr>
          <w:lang w:val="en-GB"/>
        </w:rPr>
      </w:pPr>
      <w:proofErr w:type="gramStart"/>
      <w:r w:rsidRPr="0041608F">
        <w:rPr>
          <w:b/>
          <w:bCs/>
          <w:lang w:val="en-GB"/>
        </w:rPr>
        <w:t>P</w:t>
      </w:r>
      <w:r w:rsidRPr="0041608F">
        <w:rPr>
          <w:b/>
          <w:bCs/>
          <w:vertAlign w:val="subscript"/>
          <w:lang w:val="en-GB"/>
        </w:rPr>
        <w:t>l</w:t>
      </w:r>
      <w:r w:rsidRPr="0041608F">
        <w:rPr>
          <w:b/>
          <w:bCs/>
          <w:lang w:val="en-GB"/>
        </w:rPr>
        <w:t>(</w:t>
      </w:r>
      <w:proofErr w:type="gramEnd"/>
      <w:r w:rsidRPr="0041608F">
        <w:rPr>
          <w:b/>
          <w:bCs/>
          <w:lang w:val="en-GB"/>
        </w:rPr>
        <w:t>n, a)</w:t>
      </w:r>
      <w:r w:rsidRPr="0041608F">
        <w:rPr>
          <w:lang w:val="en-GB"/>
        </w:rPr>
        <w:t xml:space="preserve"> – active load in node n, belonging to area a.</w:t>
      </w:r>
    </w:p>
    <w:p w14:paraId="4B8F6FF6" w14:textId="77777777" w:rsidR="00D5740A" w:rsidRPr="0041608F" w:rsidRDefault="00D5740A" w:rsidP="00D5740A">
      <w:pPr>
        <w:pStyle w:val="Bodytext22"/>
        <w:shd w:val="clear" w:color="auto" w:fill="auto"/>
        <w:spacing w:after="200" w:line="246" w:lineRule="exact"/>
        <w:ind w:firstLine="0"/>
        <w:jc w:val="left"/>
        <w:rPr>
          <w:lang w:val="en-GB"/>
        </w:rPr>
      </w:pPr>
      <w:r w:rsidRPr="0041608F">
        <w:rPr>
          <w:b/>
          <w:bCs/>
          <w:lang w:val="en-GB"/>
        </w:rPr>
        <w:t>∑</w:t>
      </w:r>
      <w:proofErr w:type="gramStart"/>
      <w:r w:rsidRPr="0041608F">
        <w:rPr>
          <w:b/>
          <w:bCs/>
          <w:lang w:val="en-GB"/>
        </w:rPr>
        <w:t>P</w:t>
      </w:r>
      <w:r w:rsidRPr="0041608F">
        <w:rPr>
          <w:b/>
          <w:bCs/>
          <w:vertAlign w:val="subscript"/>
          <w:lang w:val="en-GB"/>
        </w:rPr>
        <w:t>i</w:t>
      </w:r>
      <w:r w:rsidRPr="0041608F">
        <w:rPr>
          <w:b/>
          <w:bCs/>
          <w:lang w:val="en-GB"/>
        </w:rPr>
        <w:t>(</w:t>
      </w:r>
      <w:proofErr w:type="spellStart"/>
      <w:proofErr w:type="gramEnd"/>
      <w:r w:rsidRPr="0041608F">
        <w:rPr>
          <w:b/>
          <w:bCs/>
          <w:lang w:val="en-GB"/>
        </w:rPr>
        <w:t>i</w:t>
      </w:r>
      <w:proofErr w:type="spellEnd"/>
      <w:r w:rsidRPr="0041608F">
        <w:rPr>
          <w:b/>
          <w:bCs/>
          <w:lang w:val="en-GB"/>
        </w:rPr>
        <w:t>, a)</w:t>
      </w:r>
      <w:r w:rsidRPr="0041608F">
        <w:rPr>
          <w:lang w:val="en-GB"/>
        </w:rPr>
        <w:t xml:space="preserve"> – total sum of active loads belonging to area a.</w:t>
      </w:r>
    </w:p>
    <w:p w14:paraId="58C70D34" w14:textId="77777777" w:rsidR="00D5740A" w:rsidRPr="0041608F" w:rsidRDefault="00D5740A" w:rsidP="00D5740A">
      <w:pPr>
        <w:pStyle w:val="Bodytext22"/>
        <w:shd w:val="clear" w:color="auto" w:fill="auto"/>
        <w:spacing w:after="200" w:line="246" w:lineRule="exact"/>
        <w:ind w:firstLine="0"/>
        <w:jc w:val="left"/>
        <w:rPr>
          <w:lang w:val="en-GB"/>
        </w:rPr>
      </w:pPr>
      <w:r w:rsidRPr="0041608F">
        <w:rPr>
          <w:b/>
          <w:bCs/>
          <w:lang w:val="en-GB"/>
        </w:rPr>
        <w:t>L(a)</w:t>
      </w:r>
      <w:r w:rsidRPr="0041608F">
        <w:rPr>
          <w:lang w:val="en-GB"/>
        </w:rPr>
        <w:t xml:space="preserve"> – Participation factor for load nodes in area “a”</w:t>
      </w:r>
    </w:p>
    <w:p w14:paraId="67525FC0" w14:textId="77777777" w:rsidR="00D5740A" w:rsidRPr="0041608F" w:rsidRDefault="00D5740A" w:rsidP="00D5740A">
      <w:pPr>
        <w:pStyle w:val="Bodytext22"/>
        <w:numPr>
          <w:ilvl w:val="2"/>
          <w:numId w:val="25"/>
        </w:numPr>
        <w:shd w:val="clear" w:color="auto" w:fill="auto"/>
        <w:tabs>
          <w:tab w:val="left" w:pos="851"/>
        </w:tabs>
        <w:spacing w:before="0" w:after="200"/>
        <w:rPr>
          <w:lang w:val="en-GB"/>
        </w:rPr>
      </w:pPr>
      <w:r w:rsidRPr="0041608F">
        <w:rPr>
          <w:lang w:val="en-GB"/>
        </w:rPr>
        <w:t>The sum of G(a) and L(a) for each area is to be equal to 1 (i.e. 100%).</w:t>
      </w:r>
    </w:p>
    <w:p w14:paraId="5E303D1D" w14:textId="77777777" w:rsidR="00D5740A" w:rsidRPr="0041608F" w:rsidRDefault="00D5740A" w:rsidP="00D5740A">
      <w:pPr>
        <w:pStyle w:val="Bodytext22"/>
        <w:numPr>
          <w:ilvl w:val="1"/>
          <w:numId w:val="25"/>
        </w:numPr>
        <w:shd w:val="clear" w:color="auto" w:fill="auto"/>
        <w:tabs>
          <w:tab w:val="left" w:pos="567"/>
        </w:tabs>
        <w:spacing w:before="0" w:after="394"/>
        <w:rPr>
          <w:lang w:val="en-GB"/>
        </w:rPr>
      </w:pPr>
      <w:r w:rsidRPr="0041608F">
        <w:rPr>
          <w:lang w:val="en-GB"/>
        </w:rPr>
        <w:t>GLSK strategy applied in Nordics is described in detail in Nordic CCR Capacity Calculation Methodology.</w:t>
      </w:r>
    </w:p>
    <w:p w14:paraId="72201218" w14:textId="6AB2FAFF" w:rsidR="00ED1EE3" w:rsidRPr="0041608F" w:rsidRDefault="00B676DE" w:rsidP="00032CE5">
      <w:pPr>
        <w:pStyle w:val="Heading1"/>
        <w:ind w:left="0" w:firstLine="0"/>
      </w:pPr>
      <w:bookmarkStart w:id="50" w:name="_Toc512241363"/>
      <w:bookmarkStart w:id="51" w:name="_Ref153270915"/>
      <w:bookmarkStart w:id="52" w:name="_Ref153286805"/>
      <w:bookmarkStart w:id="53" w:name="_Toc153355177"/>
      <w:bookmarkStart w:id="54" w:name="_Toc153355306"/>
      <w:bookmarkStart w:id="55" w:name="_Toc153355544"/>
      <w:bookmarkStart w:id="56" w:name="_Toc158275578"/>
      <w:r w:rsidRPr="0041608F">
        <w:t>Remedial actions</w:t>
      </w:r>
      <w:bookmarkEnd w:id="50"/>
      <w:r w:rsidR="008B484A" w:rsidRPr="0041608F">
        <w:t xml:space="preserve"> </w:t>
      </w:r>
      <w:r w:rsidR="00ED1EE3" w:rsidRPr="0041608F">
        <w:t>(RAs)</w:t>
      </w:r>
      <w:bookmarkEnd w:id="51"/>
      <w:bookmarkEnd w:id="52"/>
      <w:bookmarkEnd w:id="53"/>
      <w:bookmarkEnd w:id="54"/>
      <w:bookmarkEnd w:id="55"/>
      <w:bookmarkEnd w:id="56"/>
    </w:p>
    <w:p w14:paraId="078649B8" w14:textId="77777777" w:rsidR="00C77D8F" w:rsidRPr="0041608F" w:rsidRDefault="00C77D8F" w:rsidP="008E4773">
      <w:pPr>
        <w:pStyle w:val="ListParagraph"/>
        <w:widowControl w:val="0"/>
        <w:numPr>
          <w:ilvl w:val="0"/>
          <w:numId w:val="6"/>
        </w:numPr>
        <w:tabs>
          <w:tab w:val="left" w:pos="567"/>
        </w:tabs>
        <w:spacing w:after="151" w:line="288" w:lineRule="exact"/>
        <w:contextualSpacing w:val="0"/>
        <w:jc w:val="both"/>
        <w:rPr>
          <w:rFonts w:eastAsia="Arial" w:cs="Arial"/>
          <w:b w:val="0"/>
          <w:vanish/>
          <w:lang w:val="en-GB"/>
        </w:rPr>
      </w:pPr>
    </w:p>
    <w:p w14:paraId="77A66C9F" w14:textId="77777777" w:rsidR="00C77D8F" w:rsidRPr="0041608F" w:rsidRDefault="00C77D8F" w:rsidP="008E4773">
      <w:pPr>
        <w:pStyle w:val="ListParagraph"/>
        <w:widowControl w:val="0"/>
        <w:numPr>
          <w:ilvl w:val="0"/>
          <w:numId w:val="6"/>
        </w:numPr>
        <w:tabs>
          <w:tab w:val="left" w:pos="567"/>
        </w:tabs>
        <w:spacing w:after="151" w:line="288" w:lineRule="exact"/>
        <w:contextualSpacing w:val="0"/>
        <w:jc w:val="both"/>
        <w:rPr>
          <w:rFonts w:eastAsia="Arial" w:cs="Arial"/>
          <w:b w:val="0"/>
          <w:vanish/>
          <w:lang w:val="en-GB"/>
        </w:rPr>
      </w:pPr>
    </w:p>
    <w:p w14:paraId="4F62C9E6" w14:textId="77777777" w:rsidR="00C77D8F" w:rsidRPr="0041608F" w:rsidRDefault="00C77D8F" w:rsidP="008E4773">
      <w:pPr>
        <w:pStyle w:val="ListParagraph"/>
        <w:widowControl w:val="0"/>
        <w:numPr>
          <w:ilvl w:val="0"/>
          <w:numId w:val="6"/>
        </w:numPr>
        <w:tabs>
          <w:tab w:val="left" w:pos="567"/>
        </w:tabs>
        <w:spacing w:after="151" w:line="288" w:lineRule="exact"/>
        <w:contextualSpacing w:val="0"/>
        <w:jc w:val="both"/>
        <w:rPr>
          <w:rFonts w:eastAsia="Arial" w:cs="Arial"/>
          <w:b w:val="0"/>
          <w:vanish/>
          <w:lang w:val="en-GB"/>
        </w:rPr>
      </w:pPr>
    </w:p>
    <w:p w14:paraId="3A305EE9" w14:textId="77777777" w:rsidR="00C77D8F" w:rsidRPr="0041608F" w:rsidRDefault="00C77D8F" w:rsidP="008E4773">
      <w:pPr>
        <w:pStyle w:val="ListParagraph"/>
        <w:widowControl w:val="0"/>
        <w:numPr>
          <w:ilvl w:val="0"/>
          <w:numId w:val="6"/>
        </w:numPr>
        <w:tabs>
          <w:tab w:val="left" w:pos="567"/>
        </w:tabs>
        <w:spacing w:after="151" w:line="288" w:lineRule="exact"/>
        <w:contextualSpacing w:val="0"/>
        <w:jc w:val="both"/>
        <w:rPr>
          <w:rFonts w:eastAsia="Arial" w:cs="Arial"/>
          <w:b w:val="0"/>
          <w:vanish/>
          <w:lang w:val="en-GB"/>
        </w:rPr>
      </w:pPr>
    </w:p>
    <w:p w14:paraId="168A6FE8" w14:textId="77777777" w:rsidR="00C77D8F" w:rsidRPr="0041608F" w:rsidRDefault="00C77D8F" w:rsidP="008E4773">
      <w:pPr>
        <w:pStyle w:val="ListParagraph"/>
        <w:widowControl w:val="0"/>
        <w:numPr>
          <w:ilvl w:val="0"/>
          <w:numId w:val="6"/>
        </w:numPr>
        <w:tabs>
          <w:tab w:val="left" w:pos="567"/>
        </w:tabs>
        <w:spacing w:after="151" w:line="288" w:lineRule="exact"/>
        <w:contextualSpacing w:val="0"/>
        <w:jc w:val="both"/>
        <w:rPr>
          <w:rFonts w:eastAsia="Arial" w:cs="Arial"/>
          <w:b w:val="0"/>
          <w:vanish/>
          <w:lang w:val="en-GB"/>
        </w:rPr>
      </w:pPr>
    </w:p>
    <w:p w14:paraId="109CDA87" w14:textId="7C9019F8" w:rsidR="009970D0" w:rsidRPr="0041608F" w:rsidRDefault="009970D0" w:rsidP="008E4773">
      <w:pPr>
        <w:pStyle w:val="Bodytext22"/>
        <w:numPr>
          <w:ilvl w:val="1"/>
          <w:numId w:val="6"/>
        </w:numPr>
        <w:shd w:val="clear" w:color="auto" w:fill="auto"/>
        <w:tabs>
          <w:tab w:val="left" w:pos="567"/>
        </w:tabs>
        <w:spacing w:after="151"/>
        <w:rPr>
          <w:lang w:val="en-GB"/>
        </w:rPr>
      </w:pPr>
      <w:r w:rsidRPr="0041608F">
        <w:rPr>
          <w:lang w:val="en-GB"/>
        </w:rPr>
        <w:t xml:space="preserve">Relevant TSOs shall provide relevant </w:t>
      </w:r>
      <w:r w:rsidR="00B52DC2" w:rsidRPr="0041608F">
        <w:rPr>
          <w:lang w:val="en-GB"/>
        </w:rPr>
        <w:t>CCC</w:t>
      </w:r>
      <w:r w:rsidRPr="0041608F">
        <w:rPr>
          <w:lang w:val="en-GB"/>
        </w:rPr>
        <w:t xml:space="preserve"> with information on available and applicable non-costly remedial actions that shall be used in capacity calculation process</w:t>
      </w:r>
      <w:r w:rsidR="0041064D" w:rsidRPr="0041608F">
        <w:rPr>
          <w:lang w:val="en-GB"/>
        </w:rPr>
        <w:t>.</w:t>
      </w:r>
    </w:p>
    <w:p w14:paraId="6C783054" w14:textId="5018633C" w:rsidR="009970D0" w:rsidRPr="0041608F" w:rsidRDefault="006A0EA7" w:rsidP="008E4773">
      <w:pPr>
        <w:pStyle w:val="Bodytext22"/>
        <w:numPr>
          <w:ilvl w:val="1"/>
          <w:numId w:val="6"/>
        </w:numPr>
        <w:shd w:val="clear" w:color="auto" w:fill="auto"/>
        <w:tabs>
          <w:tab w:val="left" w:pos="567"/>
        </w:tabs>
        <w:spacing w:line="240" w:lineRule="auto"/>
        <w:rPr>
          <w:lang w:val="en-GB"/>
        </w:rPr>
      </w:pPr>
      <w:r w:rsidRPr="0041608F">
        <w:rPr>
          <w:lang w:val="en-GB"/>
        </w:rPr>
        <w:t>L</w:t>
      </w:r>
      <w:r w:rsidR="009970D0" w:rsidRPr="0041608F">
        <w:rPr>
          <w:lang w:val="en-GB"/>
        </w:rPr>
        <w:t xml:space="preserve">ist of possible remedial actions in Baltic CCR, which can be used during capacity calculation process shall cover changes of network topology. </w:t>
      </w:r>
    </w:p>
    <w:p w14:paraId="706C8D4D" w14:textId="452733E1" w:rsidR="009970D0" w:rsidRPr="0041608F" w:rsidRDefault="009970D0" w:rsidP="008E4773">
      <w:pPr>
        <w:pStyle w:val="Bodytext22"/>
        <w:numPr>
          <w:ilvl w:val="1"/>
          <w:numId w:val="6"/>
        </w:numPr>
        <w:shd w:val="clear" w:color="auto" w:fill="auto"/>
        <w:tabs>
          <w:tab w:val="left" w:pos="567"/>
        </w:tabs>
        <w:spacing w:line="240" w:lineRule="auto"/>
        <w:rPr>
          <w:lang w:val="en-GB"/>
        </w:rPr>
      </w:pPr>
      <w:r w:rsidRPr="0041608F">
        <w:rPr>
          <w:lang w:val="en-GB"/>
        </w:rPr>
        <w:t>Non-costly remedial actions are such actions which don't result in additional costs to TSO in case of planned operational regime for which capacity calculation is performed.</w:t>
      </w:r>
      <w:r w:rsidR="00FD2D04" w:rsidRPr="0041608F">
        <w:rPr>
          <w:lang w:val="en-GB"/>
        </w:rPr>
        <w:t xml:space="preserve"> </w:t>
      </w:r>
      <w:r w:rsidRPr="0041608F">
        <w:rPr>
          <w:lang w:val="en-GB"/>
        </w:rPr>
        <w:t>Costly remedial actions are such actions which result in additional costs to TSO even in case of planned operational regime for which capacity calculation is performed.</w:t>
      </w:r>
    </w:p>
    <w:p w14:paraId="1C22F636" w14:textId="2E7DC9FF" w:rsidR="00B1242A" w:rsidRPr="0041608F" w:rsidRDefault="009970D0" w:rsidP="008E4773">
      <w:pPr>
        <w:pStyle w:val="Bodytext22"/>
        <w:numPr>
          <w:ilvl w:val="1"/>
          <w:numId w:val="6"/>
        </w:numPr>
        <w:shd w:val="clear" w:color="auto" w:fill="auto"/>
        <w:tabs>
          <w:tab w:val="left" w:pos="567"/>
        </w:tabs>
        <w:spacing w:after="151"/>
        <w:rPr>
          <w:lang w:val="en-GB"/>
        </w:rPr>
      </w:pPr>
      <w:r w:rsidRPr="0041608F">
        <w:rPr>
          <w:lang w:val="en-GB"/>
        </w:rPr>
        <w:t>Non-costly remedial actions shall be fully exploited before an internal Critical Network Element may affect cross border trade.</w:t>
      </w:r>
    </w:p>
    <w:p w14:paraId="044C4100" w14:textId="3B9A6F0D" w:rsidR="00145DF9" w:rsidRPr="0041608F" w:rsidRDefault="003E17E7" w:rsidP="00032CE5">
      <w:pPr>
        <w:pStyle w:val="Heading1"/>
        <w:ind w:left="0" w:firstLine="0"/>
      </w:pPr>
      <w:bookmarkStart w:id="57" w:name="_Toc153355178"/>
      <w:bookmarkStart w:id="58" w:name="_Toc153355307"/>
      <w:bookmarkStart w:id="59" w:name="_Toc153355545"/>
      <w:bookmarkStart w:id="60" w:name="_Toc158275579"/>
      <w:bookmarkEnd w:id="46"/>
      <w:bookmarkEnd w:id="47"/>
      <w:bookmarkEnd w:id="48"/>
      <w:r w:rsidRPr="0041608F">
        <w:t>Common</w:t>
      </w:r>
      <w:r w:rsidR="00B04979" w:rsidRPr="0041608F">
        <w:t xml:space="preserve"> </w:t>
      </w:r>
      <w:r w:rsidR="008B1F78" w:rsidRPr="0041608F">
        <w:t>RULES</w:t>
      </w:r>
      <w:r w:rsidRPr="0041608F">
        <w:t xml:space="preserve"> </w:t>
      </w:r>
      <w:r w:rsidR="00514E3D" w:rsidRPr="0041608F">
        <w:t>capacity calculation methodology for long-term time frames</w:t>
      </w:r>
      <w:bookmarkEnd w:id="57"/>
      <w:bookmarkEnd w:id="58"/>
      <w:bookmarkEnd w:id="59"/>
      <w:bookmarkEnd w:id="60"/>
    </w:p>
    <w:p w14:paraId="034A47CF" w14:textId="77777777" w:rsidR="007D07AF" w:rsidRPr="0041608F" w:rsidRDefault="007D07AF" w:rsidP="008E4773">
      <w:pPr>
        <w:pStyle w:val="ListParagraph"/>
        <w:widowControl w:val="0"/>
        <w:numPr>
          <w:ilvl w:val="0"/>
          <w:numId w:val="7"/>
        </w:numPr>
        <w:tabs>
          <w:tab w:val="left" w:pos="718"/>
        </w:tabs>
        <w:spacing w:line="280" w:lineRule="exact"/>
        <w:contextualSpacing w:val="0"/>
        <w:jc w:val="both"/>
        <w:rPr>
          <w:rFonts w:eastAsia="Arial" w:cs="Arial"/>
          <w:b w:val="0"/>
          <w:vanish/>
          <w:lang w:val="en-GB"/>
        </w:rPr>
      </w:pPr>
    </w:p>
    <w:p w14:paraId="5A88A75E" w14:textId="77777777" w:rsidR="007D07AF" w:rsidRPr="0041608F" w:rsidRDefault="007D07AF" w:rsidP="008E4773">
      <w:pPr>
        <w:pStyle w:val="ListParagraph"/>
        <w:widowControl w:val="0"/>
        <w:numPr>
          <w:ilvl w:val="0"/>
          <w:numId w:val="7"/>
        </w:numPr>
        <w:tabs>
          <w:tab w:val="left" w:pos="718"/>
        </w:tabs>
        <w:spacing w:line="280" w:lineRule="exact"/>
        <w:contextualSpacing w:val="0"/>
        <w:jc w:val="both"/>
        <w:rPr>
          <w:rFonts w:eastAsia="Arial" w:cs="Arial"/>
          <w:b w:val="0"/>
          <w:vanish/>
          <w:lang w:val="en-GB"/>
        </w:rPr>
      </w:pPr>
    </w:p>
    <w:p w14:paraId="076A324C" w14:textId="77777777" w:rsidR="007D07AF" w:rsidRPr="0041608F" w:rsidRDefault="007D07AF" w:rsidP="008E4773">
      <w:pPr>
        <w:pStyle w:val="ListParagraph"/>
        <w:widowControl w:val="0"/>
        <w:numPr>
          <w:ilvl w:val="0"/>
          <w:numId w:val="7"/>
        </w:numPr>
        <w:tabs>
          <w:tab w:val="left" w:pos="718"/>
        </w:tabs>
        <w:spacing w:line="280" w:lineRule="exact"/>
        <w:contextualSpacing w:val="0"/>
        <w:jc w:val="both"/>
        <w:rPr>
          <w:rFonts w:eastAsia="Arial" w:cs="Arial"/>
          <w:b w:val="0"/>
          <w:vanish/>
          <w:lang w:val="en-GB"/>
        </w:rPr>
      </w:pPr>
    </w:p>
    <w:p w14:paraId="0F600554" w14:textId="77777777" w:rsidR="007D07AF" w:rsidRPr="0041608F" w:rsidRDefault="007D07AF" w:rsidP="008E4773">
      <w:pPr>
        <w:pStyle w:val="ListParagraph"/>
        <w:widowControl w:val="0"/>
        <w:numPr>
          <w:ilvl w:val="0"/>
          <w:numId w:val="7"/>
        </w:numPr>
        <w:tabs>
          <w:tab w:val="left" w:pos="718"/>
        </w:tabs>
        <w:spacing w:line="280" w:lineRule="exact"/>
        <w:contextualSpacing w:val="0"/>
        <w:jc w:val="both"/>
        <w:rPr>
          <w:rFonts w:eastAsia="Arial" w:cs="Arial"/>
          <w:b w:val="0"/>
          <w:vanish/>
          <w:lang w:val="en-GB"/>
        </w:rPr>
      </w:pPr>
    </w:p>
    <w:p w14:paraId="66D1627C" w14:textId="77777777" w:rsidR="007D07AF" w:rsidRPr="0041608F" w:rsidRDefault="007D07AF" w:rsidP="008E4773">
      <w:pPr>
        <w:pStyle w:val="ListParagraph"/>
        <w:widowControl w:val="0"/>
        <w:numPr>
          <w:ilvl w:val="0"/>
          <w:numId w:val="7"/>
        </w:numPr>
        <w:tabs>
          <w:tab w:val="left" w:pos="718"/>
        </w:tabs>
        <w:spacing w:line="280" w:lineRule="exact"/>
        <w:contextualSpacing w:val="0"/>
        <w:jc w:val="both"/>
        <w:rPr>
          <w:rFonts w:eastAsia="Arial" w:cs="Arial"/>
          <w:b w:val="0"/>
          <w:vanish/>
          <w:lang w:val="en-GB"/>
        </w:rPr>
      </w:pPr>
    </w:p>
    <w:p w14:paraId="107C5DCF" w14:textId="77777777" w:rsidR="007D07AF" w:rsidRPr="0041608F" w:rsidRDefault="007D07AF" w:rsidP="008E4773">
      <w:pPr>
        <w:pStyle w:val="ListParagraph"/>
        <w:widowControl w:val="0"/>
        <w:numPr>
          <w:ilvl w:val="0"/>
          <w:numId w:val="7"/>
        </w:numPr>
        <w:tabs>
          <w:tab w:val="left" w:pos="718"/>
        </w:tabs>
        <w:spacing w:line="280" w:lineRule="exact"/>
        <w:contextualSpacing w:val="0"/>
        <w:jc w:val="both"/>
        <w:rPr>
          <w:rFonts w:eastAsia="Arial" w:cs="Arial"/>
          <w:b w:val="0"/>
          <w:vanish/>
          <w:lang w:val="en-GB"/>
        </w:rPr>
      </w:pPr>
    </w:p>
    <w:p w14:paraId="1D6A12BA" w14:textId="77777777" w:rsidR="007D07AF" w:rsidRPr="0041608F" w:rsidRDefault="007D07AF" w:rsidP="008E4773">
      <w:pPr>
        <w:pStyle w:val="ListParagraph"/>
        <w:widowControl w:val="0"/>
        <w:numPr>
          <w:ilvl w:val="0"/>
          <w:numId w:val="7"/>
        </w:numPr>
        <w:tabs>
          <w:tab w:val="left" w:pos="718"/>
        </w:tabs>
        <w:spacing w:line="280" w:lineRule="exact"/>
        <w:contextualSpacing w:val="0"/>
        <w:jc w:val="both"/>
        <w:rPr>
          <w:rFonts w:eastAsia="Arial" w:cs="Arial"/>
          <w:b w:val="0"/>
          <w:vanish/>
          <w:lang w:val="en-GB"/>
        </w:rPr>
      </w:pPr>
    </w:p>
    <w:p w14:paraId="7C664622" w14:textId="357A3B4C" w:rsidR="00D4797E" w:rsidRPr="0041608F" w:rsidRDefault="001B334E" w:rsidP="008E4773">
      <w:pPr>
        <w:pStyle w:val="Bodytext22"/>
        <w:numPr>
          <w:ilvl w:val="1"/>
          <w:numId w:val="7"/>
        </w:numPr>
        <w:shd w:val="clear" w:color="auto" w:fill="auto"/>
        <w:tabs>
          <w:tab w:val="left" w:pos="718"/>
        </w:tabs>
        <w:spacing w:line="280" w:lineRule="exact"/>
        <w:rPr>
          <w:lang w:val="en-GB"/>
        </w:rPr>
      </w:pPr>
      <w:r w:rsidRPr="0041608F">
        <w:rPr>
          <w:lang w:val="en-GB"/>
        </w:rPr>
        <w:t xml:space="preserve">Long-term cross-zonal capacity </w:t>
      </w:r>
      <w:r w:rsidR="00575ECB" w:rsidRPr="0041608F">
        <w:rPr>
          <w:lang w:val="en-GB"/>
        </w:rPr>
        <w:t xml:space="preserve">shall be calculated for each </w:t>
      </w:r>
      <w:r w:rsidR="00FC06CE" w:rsidRPr="0041608F">
        <w:rPr>
          <w:lang w:val="en-GB"/>
        </w:rPr>
        <w:t xml:space="preserve">timeframe </w:t>
      </w:r>
      <w:r w:rsidR="00AF072D" w:rsidRPr="0041608F">
        <w:rPr>
          <w:lang w:val="en-GB"/>
        </w:rPr>
        <w:t>which are</w:t>
      </w:r>
      <w:r w:rsidR="00414ED7" w:rsidRPr="0041608F">
        <w:rPr>
          <w:lang w:val="en-GB"/>
        </w:rPr>
        <w:t xml:space="preserve"> </w:t>
      </w:r>
      <w:r w:rsidR="00FC06CE" w:rsidRPr="0041608F">
        <w:rPr>
          <w:lang w:val="en-GB"/>
        </w:rPr>
        <w:t xml:space="preserve">foreseen </w:t>
      </w:r>
      <w:r w:rsidR="00DD332B" w:rsidRPr="0041608F">
        <w:rPr>
          <w:lang w:val="en-GB"/>
        </w:rPr>
        <w:t xml:space="preserve">by Article 9 of FCA </w:t>
      </w:r>
      <w:proofErr w:type="gramStart"/>
      <w:r w:rsidR="00DD332B" w:rsidRPr="0041608F">
        <w:rPr>
          <w:lang w:val="en-GB"/>
        </w:rPr>
        <w:t>Regulation</w:t>
      </w:r>
      <w:proofErr w:type="gramEnd"/>
      <w:r w:rsidR="00DD332B" w:rsidRPr="0041608F">
        <w:rPr>
          <w:lang w:val="en-GB"/>
        </w:rPr>
        <w:t xml:space="preserve"> and any timeframe included in the regional design of long-term transmission rights pursuant to Article 31 of FCA Regulation</w:t>
      </w:r>
      <w:r w:rsidR="00575ECB" w:rsidRPr="0041608F">
        <w:rPr>
          <w:lang w:val="en-GB"/>
        </w:rPr>
        <w:t>.</w:t>
      </w:r>
      <w:r w:rsidR="00B62D5A" w:rsidRPr="0041608F">
        <w:rPr>
          <w:lang w:val="en-GB"/>
        </w:rPr>
        <w:t xml:space="preserve"> </w:t>
      </w:r>
      <w:r w:rsidR="00414ED7" w:rsidRPr="0041608F">
        <w:rPr>
          <w:lang w:val="en-GB"/>
        </w:rPr>
        <w:t>Capacity calculation process</w:t>
      </w:r>
      <w:r w:rsidR="005F4EC1" w:rsidRPr="0041608F">
        <w:rPr>
          <w:lang w:val="en-GB"/>
        </w:rPr>
        <w:t xml:space="preserve"> </w:t>
      </w:r>
      <w:r w:rsidR="00414ED7" w:rsidRPr="0041608F">
        <w:rPr>
          <w:lang w:val="en-GB"/>
        </w:rPr>
        <w:t xml:space="preserve">shall be performed as </w:t>
      </w:r>
      <w:r w:rsidR="00F8496B" w:rsidRPr="0041608F">
        <w:rPr>
          <w:lang w:val="en-GB"/>
        </w:rPr>
        <w:t xml:space="preserve">separate calculation </w:t>
      </w:r>
      <w:r w:rsidR="00414ED7" w:rsidRPr="0041608F">
        <w:rPr>
          <w:lang w:val="en-GB"/>
        </w:rPr>
        <w:t>for each long</w:t>
      </w:r>
      <w:r w:rsidR="00AF072D" w:rsidRPr="0041608F">
        <w:rPr>
          <w:lang w:val="en-GB"/>
        </w:rPr>
        <w:t>-</w:t>
      </w:r>
      <w:r w:rsidR="00414ED7" w:rsidRPr="0041608F">
        <w:rPr>
          <w:lang w:val="en-GB"/>
        </w:rPr>
        <w:t>term timeframe.</w:t>
      </w:r>
    </w:p>
    <w:p w14:paraId="06A4B9C1" w14:textId="6DA8B9B3" w:rsidR="00AF072D" w:rsidRPr="0041608F" w:rsidRDefault="00AF072D" w:rsidP="008E4773">
      <w:pPr>
        <w:pStyle w:val="Bodytext22"/>
        <w:numPr>
          <w:ilvl w:val="1"/>
          <w:numId w:val="7"/>
        </w:numPr>
        <w:shd w:val="clear" w:color="auto" w:fill="auto"/>
        <w:tabs>
          <w:tab w:val="left" w:pos="718"/>
        </w:tabs>
        <w:spacing w:line="280" w:lineRule="exact"/>
        <w:rPr>
          <w:lang w:val="en-GB"/>
        </w:rPr>
      </w:pPr>
      <w:bookmarkStart w:id="61" w:name="_Ref150938601"/>
      <w:r w:rsidRPr="0041608F">
        <w:rPr>
          <w:lang w:val="en-GB"/>
        </w:rPr>
        <w:t xml:space="preserve">TSOs </w:t>
      </w:r>
      <w:r w:rsidR="007870BF" w:rsidRPr="0041608F">
        <w:rPr>
          <w:lang w:val="en-GB"/>
        </w:rPr>
        <w:t>can</w:t>
      </w:r>
      <w:r w:rsidRPr="0041608F">
        <w:rPr>
          <w:lang w:val="en-GB"/>
        </w:rPr>
        <w:t xml:space="preserve">not start long-term capacity calculation process for any of the upcoming year's timeframes </w:t>
      </w:r>
      <w:r w:rsidR="007870BF" w:rsidRPr="0041608F">
        <w:rPr>
          <w:lang w:val="en-GB"/>
        </w:rPr>
        <w:t xml:space="preserve">before agreeing on </w:t>
      </w:r>
      <w:r w:rsidR="00DC4495" w:rsidRPr="0041608F">
        <w:rPr>
          <w:lang w:val="en-GB"/>
        </w:rPr>
        <w:t xml:space="preserve">preliminary </w:t>
      </w:r>
      <w:r w:rsidR="007870BF" w:rsidRPr="0041608F">
        <w:rPr>
          <w:lang w:val="en-GB"/>
        </w:rPr>
        <w:t>transmission infrastructure outage plans</w:t>
      </w:r>
      <w:r w:rsidR="00DC4495" w:rsidRPr="0041608F">
        <w:rPr>
          <w:lang w:val="en-GB"/>
        </w:rPr>
        <w:t xml:space="preserve">, which </w:t>
      </w:r>
      <w:proofErr w:type="gramStart"/>
      <w:r w:rsidR="00DC4495" w:rsidRPr="0041608F">
        <w:rPr>
          <w:lang w:val="en-GB"/>
        </w:rPr>
        <w:t>taking into account</w:t>
      </w:r>
      <w:proofErr w:type="gramEnd"/>
      <w:r w:rsidR="00DC4495" w:rsidRPr="0041608F">
        <w:rPr>
          <w:lang w:val="en-GB"/>
        </w:rPr>
        <w:t xml:space="preserve"> provisions of Article 97 of Commission Regulation (EU) 2017/1485 of 2 August 2017 establishing a guideline on electricity transmission system operation (SO GL) will be earliest on </w:t>
      </w:r>
      <w:r w:rsidRPr="0041608F">
        <w:rPr>
          <w:lang w:val="en-GB"/>
        </w:rPr>
        <w:t xml:space="preserve">1st of </w:t>
      </w:r>
      <w:r w:rsidRPr="0041608F">
        <w:rPr>
          <w:lang w:val="en-GB"/>
        </w:rPr>
        <w:lastRenderedPageBreak/>
        <w:t>November of current year.</w:t>
      </w:r>
      <w:bookmarkEnd w:id="61"/>
    </w:p>
    <w:p w14:paraId="03CBDF41" w14:textId="54F22998" w:rsidR="00AF072D" w:rsidRPr="0041608F" w:rsidRDefault="00D4797E" w:rsidP="008E4773">
      <w:pPr>
        <w:pStyle w:val="Bodytext22"/>
        <w:numPr>
          <w:ilvl w:val="1"/>
          <w:numId w:val="7"/>
        </w:numPr>
        <w:shd w:val="clear" w:color="auto" w:fill="auto"/>
        <w:tabs>
          <w:tab w:val="left" w:pos="718"/>
        </w:tabs>
        <w:spacing w:line="280" w:lineRule="exact"/>
        <w:rPr>
          <w:lang w:val="en-GB"/>
        </w:rPr>
      </w:pPr>
      <w:r w:rsidRPr="0041608F">
        <w:rPr>
          <w:lang w:val="en-GB"/>
        </w:rPr>
        <w:t>Long-term cross-zonal capacity shall be calculated for all Baltic CCR borders</w:t>
      </w:r>
      <w:r w:rsidR="00C74664" w:rsidRPr="0041608F">
        <w:rPr>
          <w:lang w:val="en-GB"/>
        </w:rPr>
        <w:t xml:space="preserve"> </w:t>
      </w:r>
      <w:r w:rsidR="008C0F98" w:rsidRPr="0041608F">
        <w:rPr>
          <w:lang w:val="en-GB"/>
        </w:rPr>
        <w:t xml:space="preserve">after </w:t>
      </w:r>
      <w:r w:rsidR="00C74664" w:rsidRPr="0041608F">
        <w:rPr>
          <w:lang w:val="en-GB"/>
        </w:rPr>
        <w:t xml:space="preserve">TSOs and </w:t>
      </w:r>
      <w:r w:rsidR="00B52DC2" w:rsidRPr="0041608F">
        <w:rPr>
          <w:lang w:val="en-GB"/>
        </w:rPr>
        <w:t>CCC</w:t>
      </w:r>
      <w:r w:rsidR="00C74664" w:rsidRPr="0041608F">
        <w:rPr>
          <w:lang w:val="en-GB"/>
        </w:rPr>
        <w:t xml:space="preserve"> have all information (</w:t>
      </w:r>
      <w:r w:rsidR="003B1E1B" w:rsidRPr="0041608F">
        <w:rPr>
          <w:lang w:val="en-GB"/>
        </w:rPr>
        <w:t>at least preliminary</w:t>
      </w:r>
      <w:r w:rsidR="00C74664" w:rsidRPr="0041608F">
        <w:rPr>
          <w:lang w:val="en-GB"/>
        </w:rPr>
        <w:t>) needed for calculations</w:t>
      </w:r>
      <w:r w:rsidR="00D40970" w:rsidRPr="0041608F">
        <w:rPr>
          <w:lang w:val="en-GB"/>
        </w:rPr>
        <w:t xml:space="preserve"> – i.e. information mentioned in Articles </w:t>
      </w:r>
      <w:r w:rsidR="005704BE" w:rsidRPr="0041608F">
        <w:rPr>
          <w:lang w:val="en-GB"/>
        </w:rPr>
        <w:fldChar w:fldCharType="begin"/>
      </w:r>
      <w:r w:rsidR="005704BE" w:rsidRPr="0041608F">
        <w:rPr>
          <w:lang w:val="en-GB"/>
        </w:rPr>
        <w:instrText xml:space="preserve"> REF _Ref153270907 \r \h </w:instrText>
      </w:r>
      <w:r w:rsidR="005704BE" w:rsidRPr="0041608F">
        <w:rPr>
          <w:lang w:val="en-GB"/>
        </w:rPr>
      </w:r>
      <w:r w:rsidR="005704BE" w:rsidRPr="0041608F">
        <w:rPr>
          <w:lang w:val="en-GB"/>
        </w:rPr>
        <w:fldChar w:fldCharType="separate"/>
      </w:r>
      <w:r w:rsidR="00D71607">
        <w:rPr>
          <w:lang w:val="en-GB"/>
        </w:rPr>
        <w:t>3</w:t>
      </w:r>
      <w:r w:rsidR="005704BE" w:rsidRPr="0041608F">
        <w:rPr>
          <w:lang w:val="en-GB"/>
        </w:rPr>
        <w:fldChar w:fldCharType="end"/>
      </w:r>
      <w:r w:rsidR="005704BE" w:rsidRPr="0041608F">
        <w:rPr>
          <w:lang w:val="en-GB"/>
        </w:rPr>
        <w:t xml:space="preserve"> to </w:t>
      </w:r>
      <w:r w:rsidR="005704BE" w:rsidRPr="0041608F">
        <w:rPr>
          <w:lang w:val="en-GB"/>
        </w:rPr>
        <w:fldChar w:fldCharType="begin"/>
      </w:r>
      <w:r w:rsidR="005704BE" w:rsidRPr="0041608F">
        <w:rPr>
          <w:lang w:val="en-GB"/>
        </w:rPr>
        <w:instrText xml:space="preserve"> REF _Ref153270915 \r \h </w:instrText>
      </w:r>
      <w:r w:rsidR="005704BE" w:rsidRPr="0041608F">
        <w:rPr>
          <w:lang w:val="en-GB"/>
        </w:rPr>
      </w:r>
      <w:r w:rsidR="005704BE" w:rsidRPr="0041608F">
        <w:rPr>
          <w:lang w:val="en-GB"/>
        </w:rPr>
        <w:fldChar w:fldCharType="separate"/>
      </w:r>
      <w:r w:rsidR="00D71607">
        <w:rPr>
          <w:lang w:val="en-GB"/>
        </w:rPr>
        <w:t>6</w:t>
      </w:r>
      <w:r w:rsidR="005704BE" w:rsidRPr="0041608F">
        <w:rPr>
          <w:lang w:val="en-GB"/>
        </w:rPr>
        <w:fldChar w:fldCharType="end"/>
      </w:r>
      <w:r w:rsidR="008A2B06" w:rsidRPr="0041608F">
        <w:rPr>
          <w:lang w:val="en-GB"/>
        </w:rPr>
        <w:t xml:space="preserve"> </w:t>
      </w:r>
      <w:r w:rsidR="00D40970" w:rsidRPr="0041608F">
        <w:rPr>
          <w:lang w:val="en-GB"/>
        </w:rPr>
        <w:t xml:space="preserve">of this methodology, </w:t>
      </w:r>
      <w:r w:rsidR="00C7655D" w:rsidRPr="0041608F">
        <w:rPr>
          <w:lang w:val="en-GB"/>
        </w:rPr>
        <w:t>CGM</w:t>
      </w:r>
      <w:r w:rsidR="00737034" w:rsidRPr="0041608F">
        <w:rPr>
          <w:lang w:val="en-GB"/>
        </w:rPr>
        <w:t xml:space="preserve">, </w:t>
      </w:r>
      <w:r w:rsidR="00D40970" w:rsidRPr="0041608F">
        <w:rPr>
          <w:lang w:val="en-GB"/>
        </w:rPr>
        <w:t>as well as transmission infrastructure outage plans</w:t>
      </w:r>
      <w:r w:rsidRPr="0041608F">
        <w:rPr>
          <w:lang w:val="en-GB"/>
        </w:rPr>
        <w:t>.</w:t>
      </w:r>
      <w:r w:rsidR="000B3129" w:rsidRPr="0041608F">
        <w:rPr>
          <w:lang w:val="en-GB"/>
        </w:rPr>
        <w:t xml:space="preserve"> </w:t>
      </w:r>
      <w:r w:rsidR="00EF7646" w:rsidRPr="0041608F">
        <w:rPr>
          <w:lang w:val="en-GB"/>
        </w:rPr>
        <w:t>Usage of preliminary or final information depends on</w:t>
      </w:r>
      <w:r w:rsidR="00717C6B" w:rsidRPr="0041608F">
        <w:rPr>
          <w:lang w:val="en-GB"/>
        </w:rPr>
        <w:t xml:space="preserve"> dates of</w:t>
      </w:r>
      <w:r w:rsidR="00EF7646" w:rsidRPr="0041608F">
        <w:rPr>
          <w:lang w:val="en-GB"/>
        </w:rPr>
        <w:t xml:space="preserve"> </w:t>
      </w:r>
      <w:r w:rsidR="00717C6B" w:rsidRPr="0041608F">
        <w:rPr>
          <w:lang w:val="en-GB"/>
        </w:rPr>
        <w:t>L</w:t>
      </w:r>
      <w:r w:rsidR="00EF7646" w:rsidRPr="0041608F">
        <w:rPr>
          <w:lang w:val="en-GB"/>
        </w:rPr>
        <w:t>ong</w:t>
      </w:r>
      <w:r w:rsidR="00414ED7" w:rsidRPr="0041608F">
        <w:rPr>
          <w:lang w:val="en-GB"/>
        </w:rPr>
        <w:t>-t</w:t>
      </w:r>
      <w:r w:rsidR="00EF7646" w:rsidRPr="0041608F">
        <w:rPr>
          <w:lang w:val="en-GB"/>
        </w:rPr>
        <w:t xml:space="preserve">erm </w:t>
      </w:r>
      <w:r w:rsidR="00717C6B" w:rsidRPr="0041608F">
        <w:rPr>
          <w:lang w:val="en-GB"/>
        </w:rPr>
        <w:t>T</w:t>
      </w:r>
      <w:r w:rsidR="00EF7646" w:rsidRPr="0041608F">
        <w:rPr>
          <w:lang w:val="en-GB"/>
        </w:rPr>
        <w:t xml:space="preserve">ransmission </w:t>
      </w:r>
      <w:r w:rsidR="00717C6B" w:rsidRPr="0041608F">
        <w:rPr>
          <w:lang w:val="en-GB"/>
        </w:rPr>
        <w:t>R</w:t>
      </w:r>
      <w:r w:rsidR="00EF7646" w:rsidRPr="0041608F">
        <w:rPr>
          <w:lang w:val="en-GB"/>
        </w:rPr>
        <w:t>ights auctions.</w:t>
      </w:r>
    </w:p>
    <w:p w14:paraId="6AF5F90A" w14:textId="610E9F5F" w:rsidR="00A75E75" w:rsidRPr="0041608F" w:rsidRDefault="00A75E75" w:rsidP="008E4773">
      <w:pPr>
        <w:pStyle w:val="Bodytext22"/>
        <w:numPr>
          <w:ilvl w:val="1"/>
          <w:numId w:val="7"/>
        </w:numPr>
        <w:shd w:val="clear" w:color="auto" w:fill="auto"/>
        <w:tabs>
          <w:tab w:val="left" w:pos="718"/>
        </w:tabs>
        <w:spacing w:line="280" w:lineRule="exact"/>
        <w:rPr>
          <w:lang w:val="en-GB"/>
        </w:rPr>
      </w:pPr>
      <w:r w:rsidRPr="0041608F">
        <w:rPr>
          <w:lang w:val="en-GB"/>
        </w:rPr>
        <w:t>The long-term cross-zonal capacity for respective border and respective timeframe is calculated according to Article 23(2) of FCA Regulation and applying requirements set</w:t>
      </w:r>
      <w:r w:rsidR="00FD47EC" w:rsidRPr="0041608F">
        <w:rPr>
          <w:lang w:val="en-GB"/>
        </w:rPr>
        <w:t xml:space="preserve"> out</w:t>
      </w:r>
      <w:r w:rsidRPr="0041608F">
        <w:rPr>
          <w:lang w:val="en-GB"/>
        </w:rPr>
        <w:t xml:space="preserve"> in Article 29 of CACM Regulation.</w:t>
      </w:r>
    </w:p>
    <w:p w14:paraId="6B9F545C" w14:textId="54058B55" w:rsidR="00B83305" w:rsidRPr="0041608F" w:rsidRDefault="00840A39" w:rsidP="00BE4C94">
      <w:pPr>
        <w:pStyle w:val="Bodytext22"/>
        <w:numPr>
          <w:ilvl w:val="1"/>
          <w:numId w:val="7"/>
        </w:numPr>
        <w:shd w:val="clear" w:color="auto" w:fill="auto"/>
        <w:tabs>
          <w:tab w:val="left" w:pos="718"/>
        </w:tabs>
        <w:spacing w:line="280" w:lineRule="exact"/>
        <w:rPr>
          <w:lang w:val="en-GB"/>
        </w:rPr>
      </w:pPr>
      <w:bookmarkStart w:id="62" w:name="_Ref157171049"/>
      <w:r w:rsidRPr="0041608F">
        <w:rPr>
          <w:lang w:val="en-GB"/>
        </w:rPr>
        <w:t>T</w:t>
      </w:r>
      <w:r w:rsidR="00936172" w:rsidRPr="0041608F">
        <w:rPr>
          <w:lang w:val="en-GB"/>
        </w:rPr>
        <w:t>he uncertainties in long-term cross-zonal capacity calculation</w:t>
      </w:r>
      <w:r w:rsidR="00D11FE3" w:rsidRPr="0041608F">
        <w:rPr>
          <w:lang w:val="en-GB"/>
        </w:rPr>
        <w:t xml:space="preserve"> </w:t>
      </w:r>
      <w:r w:rsidR="00A75E75" w:rsidRPr="0041608F">
        <w:rPr>
          <w:lang w:val="en-GB"/>
        </w:rPr>
        <w:t xml:space="preserve">will be </w:t>
      </w:r>
      <w:proofErr w:type="gramStart"/>
      <w:r w:rsidR="00A75E75" w:rsidRPr="0041608F">
        <w:rPr>
          <w:lang w:val="en-GB"/>
        </w:rPr>
        <w:t>taken into account</w:t>
      </w:r>
      <w:proofErr w:type="gramEnd"/>
      <w:r w:rsidR="00A75E75" w:rsidRPr="0041608F">
        <w:rPr>
          <w:lang w:val="en-GB"/>
        </w:rPr>
        <w:t xml:space="preserve"> </w:t>
      </w:r>
      <w:r w:rsidR="00BF240E" w:rsidRPr="0041608F">
        <w:rPr>
          <w:lang w:val="en-GB"/>
        </w:rPr>
        <w:t xml:space="preserve">by </w:t>
      </w:r>
      <w:r w:rsidR="00D11FE3" w:rsidRPr="0041608F">
        <w:rPr>
          <w:lang w:val="en-GB"/>
        </w:rPr>
        <w:t xml:space="preserve">applying </w:t>
      </w:r>
      <w:r w:rsidR="00A75E75" w:rsidRPr="0041608F">
        <w:rPr>
          <w:lang w:val="en-GB"/>
        </w:rPr>
        <w:t xml:space="preserve">a security analysis based on multiple </w:t>
      </w:r>
      <w:r w:rsidR="00D11FE3" w:rsidRPr="0041608F">
        <w:rPr>
          <w:lang w:val="en-GB"/>
        </w:rPr>
        <w:t>scenarios</w:t>
      </w:r>
      <w:r w:rsidR="0063109B" w:rsidRPr="0041608F">
        <w:rPr>
          <w:lang w:val="en-GB"/>
        </w:rPr>
        <w:t xml:space="preserve"> in </w:t>
      </w:r>
      <w:r w:rsidR="005627BC" w:rsidRPr="0041608F">
        <w:rPr>
          <w:lang w:val="en-GB"/>
        </w:rPr>
        <w:t>accord</w:t>
      </w:r>
      <w:r w:rsidR="0063109B" w:rsidRPr="0041608F">
        <w:rPr>
          <w:lang w:val="en-GB"/>
        </w:rPr>
        <w:t>ance</w:t>
      </w:r>
      <w:r w:rsidR="005627BC" w:rsidRPr="0041608F">
        <w:rPr>
          <w:lang w:val="en-GB"/>
        </w:rPr>
        <w:t xml:space="preserve"> </w:t>
      </w:r>
      <w:r w:rsidR="00B97072" w:rsidRPr="0041608F">
        <w:rPr>
          <w:lang w:val="en-GB"/>
        </w:rPr>
        <w:t>with</w:t>
      </w:r>
      <w:r w:rsidR="00D11FE3" w:rsidRPr="0041608F">
        <w:rPr>
          <w:lang w:val="en-GB"/>
        </w:rPr>
        <w:t xml:space="preserve"> Article 3 of the </w:t>
      </w:r>
      <w:r w:rsidR="00C7655D" w:rsidRPr="0041608F">
        <w:rPr>
          <w:lang w:val="en-GB"/>
        </w:rPr>
        <w:t>CGMM</w:t>
      </w:r>
      <w:r w:rsidR="00D11FE3" w:rsidRPr="0041608F">
        <w:rPr>
          <w:lang w:val="en-GB"/>
        </w:rPr>
        <w:t xml:space="preserve"> developed in accordance with Article 18 and 19 of the FCA Regulation</w:t>
      </w:r>
      <w:r w:rsidR="00DF4BF9" w:rsidRPr="0041608F">
        <w:rPr>
          <w:lang w:val="en-GB"/>
        </w:rPr>
        <w:t>.</w:t>
      </w:r>
      <w:r w:rsidR="00A8050A" w:rsidRPr="0041608F">
        <w:rPr>
          <w:lang w:val="en-GB"/>
        </w:rPr>
        <w:t xml:space="preserve"> </w:t>
      </w:r>
      <w:r w:rsidR="00625070" w:rsidRPr="0041608F">
        <w:rPr>
          <w:lang w:val="en-GB"/>
        </w:rPr>
        <w:t>Unless and until these scenarios have been developed, the default scenarios as defined in Article 3(1) of CGMM</w:t>
      </w:r>
      <w:r w:rsidR="00587E1E" w:rsidRPr="0041608F">
        <w:rPr>
          <w:lang w:val="en-GB"/>
        </w:rPr>
        <w:t xml:space="preserve"> shall be used</w:t>
      </w:r>
      <w:r w:rsidR="00625070" w:rsidRPr="0041608F">
        <w:rPr>
          <w:lang w:val="en-GB"/>
        </w:rPr>
        <w:t xml:space="preserve">. </w:t>
      </w:r>
      <w:r w:rsidR="00D2638D" w:rsidRPr="0041608F">
        <w:rPr>
          <w:lang w:val="en-GB"/>
        </w:rPr>
        <w:t xml:space="preserve">On those scenarios outage sets </w:t>
      </w:r>
      <w:r w:rsidR="00713D96" w:rsidRPr="0041608F">
        <w:rPr>
          <w:lang w:val="en-GB"/>
        </w:rPr>
        <w:t xml:space="preserve">can be applied </w:t>
      </w:r>
      <w:r w:rsidR="00CE2E40" w:rsidRPr="0041608F">
        <w:rPr>
          <w:lang w:val="en-GB"/>
        </w:rPr>
        <w:t xml:space="preserve">as </w:t>
      </w:r>
      <w:r w:rsidR="008428DC" w:rsidRPr="0041608F">
        <w:rPr>
          <w:lang w:val="en-GB"/>
        </w:rPr>
        <w:t>stipulated</w:t>
      </w:r>
      <w:r w:rsidR="00CE2E40" w:rsidRPr="0041608F">
        <w:rPr>
          <w:lang w:val="en-GB"/>
        </w:rPr>
        <w:t xml:space="preserve"> in </w:t>
      </w:r>
      <w:r w:rsidR="00CE2E40" w:rsidRPr="0041608F">
        <w:rPr>
          <w:lang w:val="en-GB"/>
        </w:rPr>
        <w:fldChar w:fldCharType="begin"/>
      </w:r>
      <w:r w:rsidR="00CE2E40" w:rsidRPr="0041608F">
        <w:rPr>
          <w:lang w:val="en-GB"/>
        </w:rPr>
        <w:instrText xml:space="preserve"> REF _Ref150938601 \r \h </w:instrText>
      </w:r>
      <w:r w:rsidR="00CE2E40" w:rsidRPr="0041608F">
        <w:rPr>
          <w:lang w:val="en-GB"/>
        </w:rPr>
      </w:r>
      <w:r w:rsidR="00CE2E40" w:rsidRPr="0041608F">
        <w:rPr>
          <w:lang w:val="en-GB"/>
        </w:rPr>
        <w:fldChar w:fldCharType="separate"/>
      </w:r>
      <w:r w:rsidR="00D71607">
        <w:rPr>
          <w:lang w:val="en-GB"/>
        </w:rPr>
        <w:t>7.2</w:t>
      </w:r>
      <w:r w:rsidR="00CE2E40" w:rsidRPr="0041608F">
        <w:rPr>
          <w:lang w:val="en-GB"/>
        </w:rPr>
        <w:fldChar w:fldCharType="end"/>
      </w:r>
      <w:r w:rsidR="00CE2E40" w:rsidRPr="0041608F">
        <w:rPr>
          <w:lang w:val="en-GB"/>
        </w:rPr>
        <w:t xml:space="preserve"> </w:t>
      </w:r>
      <w:r w:rsidR="00625070" w:rsidRPr="0041608F">
        <w:rPr>
          <w:lang w:val="en-GB"/>
        </w:rPr>
        <w:t>to</w:t>
      </w:r>
      <w:r w:rsidR="00212A00" w:rsidRPr="0041608F">
        <w:rPr>
          <w:lang w:val="en-GB"/>
        </w:rPr>
        <w:t xml:space="preserve"> </w:t>
      </w:r>
      <w:proofErr w:type="gramStart"/>
      <w:r w:rsidR="00212A00" w:rsidRPr="0041608F">
        <w:rPr>
          <w:lang w:val="en-GB"/>
        </w:rPr>
        <w:t>take into account</w:t>
      </w:r>
      <w:proofErr w:type="gramEnd"/>
      <w:r w:rsidR="00212A00" w:rsidRPr="0041608F">
        <w:rPr>
          <w:lang w:val="en-GB"/>
        </w:rPr>
        <w:t xml:space="preserve"> </w:t>
      </w:r>
      <w:r w:rsidR="00D2638D" w:rsidRPr="0041608F">
        <w:rPr>
          <w:lang w:val="en-GB"/>
        </w:rPr>
        <w:t xml:space="preserve">all </w:t>
      </w:r>
      <w:r w:rsidR="00212A00" w:rsidRPr="0041608F">
        <w:rPr>
          <w:lang w:val="en-GB"/>
        </w:rPr>
        <w:t>available information for capacity calculation</w:t>
      </w:r>
      <w:r w:rsidR="00625070" w:rsidRPr="0041608F">
        <w:rPr>
          <w:lang w:val="en-GB"/>
        </w:rPr>
        <w:t xml:space="preserve"> </w:t>
      </w:r>
      <w:r w:rsidR="00D2638D" w:rsidRPr="0041608F">
        <w:rPr>
          <w:lang w:val="en-GB"/>
        </w:rPr>
        <w:t>including</w:t>
      </w:r>
      <w:r w:rsidR="00212A00" w:rsidRPr="0041608F">
        <w:rPr>
          <w:lang w:val="en-GB"/>
        </w:rPr>
        <w:t xml:space="preserve"> transmission lines' outage plans, which can change on daily basis for long-term capacity calculation process.</w:t>
      </w:r>
      <w:bookmarkEnd w:id="62"/>
    </w:p>
    <w:p w14:paraId="1951476C" w14:textId="0DE7F173" w:rsidR="00C171A5" w:rsidRPr="0041608F" w:rsidRDefault="00384D25" w:rsidP="008E4773">
      <w:pPr>
        <w:pStyle w:val="Bodytext22"/>
        <w:numPr>
          <w:ilvl w:val="1"/>
          <w:numId w:val="7"/>
        </w:numPr>
        <w:shd w:val="clear" w:color="auto" w:fill="auto"/>
        <w:tabs>
          <w:tab w:val="left" w:pos="718"/>
        </w:tabs>
        <w:spacing w:line="280" w:lineRule="exact"/>
        <w:rPr>
          <w:lang w:val="en-GB"/>
        </w:rPr>
      </w:pPr>
      <w:r w:rsidRPr="0041608F">
        <w:rPr>
          <w:bCs/>
          <w:lang w:val="en-GB"/>
        </w:rPr>
        <w:t>Long</w:t>
      </w:r>
      <w:r w:rsidR="006855B0" w:rsidRPr="0041608F">
        <w:rPr>
          <w:bCs/>
          <w:lang w:val="en-GB"/>
        </w:rPr>
        <w:t>-t</w:t>
      </w:r>
      <w:r w:rsidRPr="0041608F">
        <w:rPr>
          <w:bCs/>
          <w:lang w:val="en-GB"/>
        </w:rPr>
        <w:t xml:space="preserve">erm </w:t>
      </w:r>
      <w:r w:rsidR="009D025F" w:rsidRPr="0041608F">
        <w:rPr>
          <w:bCs/>
          <w:lang w:val="en-GB"/>
        </w:rPr>
        <w:t xml:space="preserve">cross-zonal </w:t>
      </w:r>
      <w:r w:rsidR="00B10C7A" w:rsidRPr="0041608F">
        <w:rPr>
          <w:bCs/>
          <w:lang w:val="en-GB"/>
        </w:rPr>
        <w:t>CCM</w:t>
      </w:r>
      <w:r w:rsidR="00FA5B73" w:rsidRPr="0041608F">
        <w:rPr>
          <w:bCs/>
          <w:lang w:val="en-GB"/>
        </w:rPr>
        <w:t xml:space="preserve"> for each Baltic CCR border </w:t>
      </w:r>
      <w:bookmarkStart w:id="63" w:name="_Hlk153199837"/>
      <w:r w:rsidR="00FA5B73" w:rsidRPr="0041608F">
        <w:rPr>
          <w:bCs/>
          <w:lang w:val="en-GB"/>
        </w:rPr>
        <w:t>is given below</w:t>
      </w:r>
      <w:r w:rsidR="00674A01" w:rsidRPr="0041608F">
        <w:rPr>
          <w:bCs/>
          <w:lang w:val="en-GB"/>
        </w:rPr>
        <w:t xml:space="preserve"> in </w:t>
      </w:r>
      <w:r w:rsidR="009A517F" w:rsidRPr="0041608F">
        <w:rPr>
          <w:bCs/>
          <w:lang w:val="en-GB"/>
        </w:rPr>
        <w:t>S</w:t>
      </w:r>
      <w:r w:rsidR="00674A01" w:rsidRPr="0041608F">
        <w:rPr>
          <w:bCs/>
          <w:lang w:val="en-GB"/>
        </w:rPr>
        <w:t>ection</w:t>
      </w:r>
      <w:bookmarkEnd w:id="63"/>
      <w:r w:rsidR="00674A01" w:rsidRPr="0041608F">
        <w:rPr>
          <w:bCs/>
          <w:lang w:val="en-GB"/>
        </w:rPr>
        <w:t>s</w:t>
      </w:r>
      <w:r w:rsidR="00B261BF" w:rsidRPr="0041608F">
        <w:rPr>
          <w:bCs/>
          <w:lang w:val="en-GB"/>
        </w:rPr>
        <w:t xml:space="preserve"> </w:t>
      </w:r>
      <w:r w:rsidR="009F64D7" w:rsidRPr="0041608F">
        <w:rPr>
          <w:bCs/>
          <w:lang w:val="en-GB"/>
        </w:rPr>
        <w:fldChar w:fldCharType="begin"/>
      </w:r>
      <w:r w:rsidR="009F64D7" w:rsidRPr="0041608F">
        <w:rPr>
          <w:bCs/>
          <w:lang w:val="en-GB"/>
        </w:rPr>
        <w:instrText xml:space="preserve"> REF _Ref151043284 \r \h </w:instrText>
      </w:r>
      <w:r w:rsidR="0057129F" w:rsidRPr="0041608F">
        <w:rPr>
          <w:bCs/>
          <w:lang w:val="en-GB"/>
        </w:rPr>
        <w:instrText xml:space="preserve"> \* MERGEFORMAT </w:instrText>
      </w:r>
      <w:r w:rsidR="009F64D7" w:rsidRPr="0041608F">
        <w:rPr>
          <w:bCs/>
          <w:lang w:val="en-GB"/>
        </w:rPr>
      </w:r>
      <w:r w:rsidR="009F64D7" w:rsidRPr="0041608F">
        <w:rPr>
          <w:bCs/>
          <w:lang w:val="en-GB"/>
        </w:rPr>
        <w:fldChar w:fldCharType="separate"/>
      </w:r>
      <w:r w:rsidR="00D71607">
        <w:rPr>
          <w:bCs/>
          <w:lang w:val="en-GB"/>
        </w:rPr>
        <w:t>9</w:t>
      </w:r>
      <w:r w:rsidR="009F64D7" w:rsidRPr="0041608F">
        <w:rPr>
          <w:bCs/>
          <w:lang w:val="en-GB"/>
        </w:rPr>
        <w:fldChar w:fldCharType="end"/>
      </w:r>
      <w:r w:rsidR="009F64D7" w:rsidRPr="0041608F">
        <w:rPr>
          <w:bCs/>
          <w:lang w:val="en-GB"/>
        </w:rPr>
        <w:t>-</w:t>
      </w:r>
      <w:r w:rsidR="009F64D7" w:rsidRPr="0041608F">
        <w:rPr>
          <w:bCs/>
          <w:lang w:val="en-GB"/>
        </w:rPr>
        <w:fldChar w:fldCharType="begin"/>
      </w:r>
      <w:r w:rsidR="009F64D7" w:rsidRPr="0041608F">
        <w:rPr>
          <w:bCs/>
          <w:lang w:val="en-GB"/>
        </w:rPr>
        <w:instrText xml:space="preserve"> REF _Ref151043288 \r \h </w:instrText>
      </w:r>
      <w:r w:rsidR="0057129F" w:rsidRPr="0041608F">
        <w:rPr>
          <w:bCs/>
          <w:lang w:val="en-GB"/>
        </w:rPr>
        <w:instrText xml:space="preserve"> \* MERGEFORMAT </w:instrText>
      </w:r>
      <w:r w:rsidR="009F64D7" w:rsidRPr="0041608F">
        <w:rPr>
          <w:bCs/>
          <w:lang w:val="en-GB"/>
        </w:rPr>
      </w:r>
      <w:r w:rsidR="009F64D7" w:rsidRPr="0041608F">
        <w:rPr>
          <w:bCs/>
          <w:lang w:val="en-GB"/>
        </w:rPr>
        <w:fldChar w:fldCharType="separate"/>
      </w:r>
      <w:r w:rsidR="00D71607">
        <w:rPr>
          <w:bCs/>
          <w:lang w:val="en-GB"/>
        </w:rPr>
        <w:t>10</w:t>
      </w:r>
      <w:r w:rsidR="009F64D7" w:rsidRPr="0041608F">
        <w:rPr>
          <w:bCs/>
          <w:lang w:val="en-GB"/>
        </w:rPr>
        <w:fldChar w:fldCharType="end"/>
      </w:r>
      <w:r w:rsidR="009D025F" w:rsidRPr="0041608F">
        <w:rPr>
          <w:bCs/>
          <w:lang w:val="en-GB"/>
        </w:rPr>
        <w:t xml:space="preserve">. </w:t>
      </w:r>
      <w:bookmarkStart w:id="64" w:name="_Hlk153199875"/>
      <w:r w:rsidR="00316AD4" w:rsidRPr="0041608F">
        <w:rPr>
          <w:bCs/>
          <w:lang w:val="en-GB"/>
        </w:rPr>
        <w:t>Long-</w:t>
      </w:r>
      <w:r w:rsidR="008B484A" w:rsidRPr="0041608F">
        <w:rPr>
          <w:bCs/>
          <w:lang w:val="en-GB"/>
        </w:rPr>
        <w:t xml:space="preserve">term </w:t>
      </w:r>
      <w:r w:rsidR="009D025F" w:rsidRPr="0041608F">
        <w:rPr>
          <w:bCs/>
          <w:lang w:val="en-GB"/>
        </w:rPr>
        <w:t xml:space="preserve">cross-zonal capacity </w:t>
      </w:r>
      <w:r w:rsidR="00FA5B73" w:rsidRPr="0041608F">
        <w:rPr>
          <w:bCs/>
          <w:lang w:val="en-GB"/>
        </w:rPr>
        <w:t xml:space="preserve">calculation process </w:t>
      </w:r>
      <w:r w:rsidR="004502D6" w:rsidRPr="0041608F">
        <w:rPr>
          <w:bCs/>
          <w:lang w:val="en-GB"/>
        </w:rPr>
        <w:t xml:space="preserve">shall be performed by CCC </w:t>
      </w:r>
      <w:bookmarkEnd w:id="64"/>
      <w:r w:rsidR="004502D6" w:rsidRPr="0041608F">
        <w:rPr>
          <w:bCs/>
          <w:lang w:val="en-GB"/>
        </w:rPr>
        <w:t>following requirements of Section 4 of FCA</w:t>
      </w:r>
      <w:r w:rsidR="000F0EFE" w:rsidRPr="0041608F">
        <w:rPr>
          <w:bCs/>
          <w:lang w:val="en-GB"/>
        </w:rPr>
        <w:t xml:space="preserve"> Regulation</w:t>
      </w:r>
      <w:r w:rsidR="004502D6" w:rsidRPr="0041608F">
        <w:rPr>
          <w:bCs/>
          <w:lang w:val="en-GB"/>
        </w:rPr>
        <w:t>.</w:t>
      </w:r>
      <w:r w:rsidR="002C01D6" w:rsidRPr="0041608F">
        <w:rPr>
          <w:bCs/>
          <w:lang w:val="en-GB"/>
        </w:rPr>
        <w:t xml:space="preserve"> </w:t>
      </w:r>
    </w:p>
    <w:p w14:paraId="03C0917C" w14:textId="77777777" w:rsidR="00B03570" w:rsidRPr="0041608F" w:rsidRDefault="00B03570" w:rsidP="00B03570">
      <w:pPr>
        <w:pStyle w:val="Bodytext22"/>
        <w:numPr>
          <w:ilvl w:val="1"/>
          <w:numId w:val="7"/>
        </w:numPr>
        <w:shd w:val="clear" w:color="auto" w:fill="auto"/>
        <w:tabs>
          <w:tab w:val="left" w:pos="718"/>
        </w:tabs>
        <w:spacing w:line="280" w:lineRule="exact"/>
        <w:rPr>
          <w:lang w:val="en-GB"/>
        </w:rPr>
      </w:pPr>
      <w:bookmarkStart w:id="65" w:name="_Ref157170994"/>
      <w:r w:rsidRPr="0041608F">
        <w:rPr>
          <w:lang w:val="en-GB"/>
        </w:rPr>
        <w:t>Limits of transmission capacity on the Polish-Lithuanian border</w:t>
      </w:r>
      <w:r w:rsidRPr="0041608F" w:rsidDel="00713D96">
        <w:rPr>
          <w:lang w:val="en-GB"/>
        </w:rPr>
        <w:t xml:space="preserve"> </w:t>
      </w:r>
      <w:r w:rsidRPr="0041608F">
        <w:rPr>
          <w:lang w:val="en-GB"/>
        </w:rPr>
        <w:t>shall be determined pursuant to Section 11, using the latest available CGM models in accordance with Article 3 of the CGMM developed in accordance with Article 18 and 19 of the FCA Regulation or special models prepared by TSOs for respective periods in which its closed 110 kV distribution grid is included as well as latest forecast of a load, generation and topology.</w:t>
      </w:r>
      <w:bookmarkEnd w:id="65"/>
    </w:p>
    <w:p w14:paraId="130B267D" w14:textId="19D394D8" w:rsidR="00D62A24" w:rsidRPr="0041608F" w:rsidRDefault="00E55621" w:rsidP="00B949DF">
      <w:pPr>
        <w:pStyle w:val="Heading1"/>
      </w:pPr>
      <w:bookmarkStart w:id="66" w:name="_Ref138924637"/>
      <w:bookmarkStart w:id="67" w:name="_Ref144465803"/>
      <w:bookmarkStart w:id="68" w:name="_Ref146026611"/>
      <w:bookmarkStart w:id="69" w:name="_Ref146026644"/>
      <w:bookmarkStart w:id="70" w:name="_Ref146027207"/>
      <w:bookmarkStart w:id="71" w:name="_Ref151043228"/>
      <w:bookmarkStart w:id="72" w:name="_Ref151537821"/>
      <w:bookmarkStart w:id="73" w:name="_Ref151537837"/>
      <w:bookmarkStart w:id="74" w:name="_Toc153355179"/>
      <w:bookmarkStart w:id="75" w:name="_Toc153355308"/>
      <w:bookmarkStart w:id="76" w:name="_Toc153355546"/>
      <w:bookmarkStart w:id="77" w:name="_Toc158275580"/>
      <w:r w:rsidRPr="0041608F">
        <w:t>TTC calculation methodology</w:t>
      </w:r>
      <w:bookmarkEnd w:id="66"/>
      <w:bookmarkEnd w:id="67"/>
      <w:bookmarkEnd w:id="68"/>
      <w:bookmarkEnd w:id="69"/>
      <w:bookmarkEnd w:id="70"/>
      <w:bookmarkEnd w:id="71"/>
      <w:bookmarkEnd w:id="72"/>
      <w:bookmarkEnd w:id="73"/>
      <w:bookmarkEnd w:id="74"/>
      <w:bookmarkEnd w:id="75"/>
      <w:bookmarkEnd w:id="76"/>
      <w:bookmarkEnd w:id="77"/>
    </w:p>
    <w:p w14:paraId="6A10D1EC" w14:textId="77777777" w:rsidR="00127427" w:rsidRPr="0041608F" w:rsidRDefault="00127427" w:rsidP="00127427">
      <w:pPr>
        <w:pStyle w:val="ListParagraph"/>
        <w:widowControl w:val="0"/>
        <w:numPr>
          <w:ilvl w:val="0"/>
          <w:numId w:val="7"/>
        </w:numPr>
        <w:tabs>
          <w:tab w:val="left" w:pos="718"/>
        </w:tabs>
        <w:spacing w:line="280" w:lineRule="exact"/>
        <w:contextualSpacing w:val="0"/>
        <w:jc w:val="both"/>
        <w:rPr>
          <w:rFonts w:eastAsia="Arial" w:cs="Arial"/>
          <w:b w:val="0"/>
          <w:vanish/>
          <w:lang w:val="en-GB"/>
        </w:rPr>
      </w:pPr>
    </w:p>
    <w:p w14:paraId="6C5DD7DF" w14:textId="609E7712" w:rsidR="00AB6B78" w:rsidRPr="0041608F" w:rsidRDefault="00AB6B78" w:rsidP="00127427">
      <w:pPr>
        <w:pStyle w:val="Bodytext22"/>
        <w:numPr>
          <w:ilvl w:val="1"/>
          <w:numId w:val="7"/>
        </w:numPr>
        <w:shd w:val="clear" w:color="auto" w:fill="auto"/>
        <w:tabs>
          <w:tab w:val="left" w:pos="718"/>
        </w:tabs>
        <w:spacing w:line="280" w:lineRule="exact"/>
        <w:rPr>
          <w:lang w:val="en-GB"/>
        </w:rPr>
      </w:pPr>
      <w:r w:rsidRPr="0041608F">
        <w:rPr>
          <w:lang w:val="en-GB"/>
        </w:rPr>
        <w:t xml:space="preserve">The Cross-Border Interconnection TTC determination for AC interconnectors shall be done by performing Contingency Analyses based on N-1 criterion on a CGM, while </w:t>
      </w:r>
      <w:proofErr w:type="gramStart"/>
      <w:r w:rsidRPr="0041608F">
        <w:rPr>
          <w:lang w:val="en-GB"/>
        </w:rPr>
        <w:t>taking into account</w:t>
      </w:r>
      <w:proofErr w:type="gramEnd"/>
      <w:r w:rsidRPr="0041608F">
        <w:rPr>
          <w:lang w:val="en-GB"/>
        </w:rPr>
        <w:t xml:space="preserve"> the intra and intersystem Operational Security limits according to Section</w:t>
      </w:r>
      <w:r w:rsidR="00970F0E" w:rsidRPr="0041608F">
        <w:rPr>
          <w:lang w:val="en-GB"/>
        </w:rPr>
        <w:t xml:space="preserve"> </w:t>
      </w:r>
      <w:r w:rsidR="00970F0E" w:rsidRPr="0041608F">
        <w:rPr>
          <w:lang w:val="en-GB"/>
        </w:rPr>
        <w:fldChar w:fldCharType="begin"/>
      </w:r>
      <w:r w:rsidR="00970F0E" w:rsidRPr="0041608F">
        <w:rPr>
          <w:lang w:val="en-GB"/>
        </w:rPr>
        <w:instrText xml:space="preserve"> REF _Ref153288219 \r \h </w:instrText>
      </w:r>
      <w:r w:rsidR="00970F0E" w:rsidRPr="0041608F">
        <w:rPr>
          <w:lang w:val="en-GB"/>
        </w:rPr>
      </w:r>
      <w:r w:rsidR="00970F0E" w:rsidRPr="0041608F">
        <w:rPr>
          <w:lang w:val="en-GB"/>
        </w:rPr>
        <w:fldChar w:fldCharType="separate"/>
      </w:r>
      <w:r w:rsidR="00D71607">
        <w:rPr>
          <w:lang w:val="en-GB"/>
        </w:rPr>
        <w:t>4</w:t>
      </w:r>
      <w:r w:rsidR="00970F0E" w:rsidRPr="0041608F">
        <w:rPr>
          <w:lang w:val="en-GB"/>
        </w:rPr>
        <w:fldChar w:fldCharType="end"/>
      </w:r>
      <w:r w:rsidRPr="0041608F">
        <w:rPr>
          <w:lang w:val="en-GB"/>
        </w:rPr>
        <w:t xml:space="preserve"> of synchronous area and Control Area of Baltic TSOs.</w:t>
      </w:r>
    </w:p>
    <w:p w14:paraId="41FAE943" w14:textId="2FEFFEF8" w:rsidR="00C95DEB" w:rsidRPr="0041608F" w:rsidRDefault="00AB6B78" w:rsidP="008E4773">
      <w:pPr>
        <w:pStyle w:val="Bodytext22"/>
        <w:numPr>
          <w:ilvl w:val="1"/>
          <w:numId w:val="7"/>
        </w:numPr>
        <w:shd w:val="clear" w:color="auto" w:fill="auto"/>
        <w:tabs>
          <w:tab w:val="left" w:pos="718"/>
        </w:tabs>
        <w:spacing w:line="280" w:lineRule="exact"/>
        <w:rPr>
          <w:lang w:val="en-GB"/>
        </w:rPr>
      </w:pPr>
      <w:r w:rsidRPr="0041608F">
        <w:rPr>
          <w:lang w:val="en-GB"/>
        </w:rPr>
        <w:t xml:space="preserve">TTC is maximum power flow value on cross border between two bidding zone areas resulted from modelling net position variation and </w:t>
      </w:r>
      <w:r w:rsidR="00C7655D" w:rsidRPr="0041608F">
        <w:rPr>
          <w:lang w:val="en-GB"/>
        </w:rPr>
        <w:t xml:space="preserve">performing </w:t>
      </w:r>
      <w:r w:rsidRPr="0041608F">
        <w:rPr>
          <w:lang w:val="en-GB"/>
        </w:rPr>
        <w:t xml:space="preserve">contingency analysis. TTC value is obtained by summing up power flow values of cross-border lines above 110 kV after Operational Security or stability limits </w:t>
      </w:r>
      <w:r w:rsidR="00C67FBC" w:rsidRPr="0041608F">
        <w:rPr>
          <w:lang w:val="en-GB"/>
        </w:rPr>
        <w:t xml:space="preserve">are </w:t>
      </w:r>
      <w:r w:rsidRPr="0041608F">
        <w:rPr>
          <w:lang w:val="en-GB"/>
        </w:rPr>
        <w:t xml:space="preserve">reached for any CNE </w:t>
      </w:r>
      <w:r w:rsidR="00F814F9" w:rsidRPr="0041608F">
        <w:rPr>
          <w:lang w:val="en-GB"/>
        </w:rPr>
        <w:t xml:space="preserve">after </w:t>
      </w:r>
      <w:r w:rsidRPr="0041608F">
        <w:rPr>
          <w:lang w:val="en-GB"/>
        </w:rPr>
        <w:t>modelling net position increase in exporting area and decrease in importing area and performing N-1 contingency analysis.</w:t>
      </w:r>
    </w:p>
    <w:p w14:paraId="7EEDB2F2" w14:textId="670B29A4" w:rsidR="00044B37" w:rsidRPr="0041608F" w:rsidRDefault="00044B37" w:rsidP="008E4773">
      <w:pPr>
        <w:pStyle w:val="Bodytext22"/>
        <w:numPr>
          <w:ilvl w:val="1"/>
          <w:numId w:val="7"/>
        </w:numPr>
        <w:shd w:val="clear" w:color="auto" w:fill="auto"/>
        <w:tabs>
          <w:tab w:val="left" w:pos="567"/>
        </w:tabs>
        <w:spacing w:before="0"/>
        <w:rPr>
          <w:lang w:val="en-GB"/>
        </w:rPr>
      </w:pPr>
      <w:r w:rsidRPr="0041608F">
        <w:rPr>
          <w:lang w:val="en-GB"/>
        </w:rPr>
        <w:t xml:space="preserve">TSOs and Capacity Calculator shall not limit cross-zonal exchanges due to Critical Network Elements not significantly impacted by cross zonal trade according to Article 29.3(b) of CACM Regulation and Section </w:t>
      </w:r>
      <w:r w:rsidR="005704BE" w:rsidRPr="0041608F">
        <w:rPr>
          <w:lang w:val="en-GB"/>
        </w:rPr>
        <w:fldChar w:fldCharType="begin"/>
      </w:r>
      <w:r w:rsidR="005704BE" w:rsidRPr="0041608F">
        <w:rPr>
          <w:lang w:val="en-GB"/>
        </w:rPr>
        <w:instrText xml:space="preserve"> REF _Ref153270889 \r \h  \* MERGEFORMAT </w:instrText>
      </w:r>
      <w:r w:rsidR="005704BE" w:rsidRPr="0041608F">
        <w:rPr>
          <w:lang w:val="en-GB"/>
        </w:rPr>
      </w:r>
      <w:r w:rsidR="005704BE" w:rsidRPr="0041608F">
        <w:rPr>
          <w:lang w:val="en-GB"/>
        </w:rPr>
        <w:fldChar w:fldCharType="separate"/>
      </w:r>
      <w:r w:rsidR="00D71607">
        <w:rPr>
          <w:lang w:val="en-GB"/>
        </w:rPr>
        <w:t>4</w:t>
      </w:r>
      <w:r w:rsidR="005704BE" w:rsidRPr="0041608F">
        <w:rPr>
          <w:lang w:val="en-GB"/>
        </w:rPr>
        <w:fldChar w:fldCharType="end"/>
      </w:r>
      <w:r w:rsidRPr="0041608F">
        <w:rPr>
          <w:lang w:val="en-GB"/>
        </w:rPr>
        <w:t xml:space="preserve"> unless performed Contingency Analyses determines threat to Operational Security or when operational security analyses show that boundaries of stability limits are exceeded during operation of the transmission system. </w:t>
      </w:r>
    </w:p>
    <w:p w14:paraId="61A4A469" w14:textId="77777777" w:rsidR="004D5721" w:rsidRPr="0041608F" w:rsidRDefault="004D5721" w:rsidP="004D5721">
      <w:pPr>
        <w:pStyle w:val="Bodytext22"/>
        <w:numPr>
          <w:ilvl w:val="1"/>
          <w:numId w:val="7"/>
        </w:numPr>
        <w:shd w:val="clear" w:color="auto" w:fill="auto"/>
        <w:tabs>
          <w:tab w:val="left" w:pos="718"/>
        </w:tabs>
        <w:spacing w:before="0" w:line="280" w:lineRule="exact"/>
        <w:rPr>
          <w:b/>
          <w:lang w:val="en-GB"/>
        </w:rPr>
      </w:pPr>
      <w:bookmarkStart w:id="78" w:name="_Ref157675758"/>
      <w:r w:rsidRPr="0041608F">
        <w:rPr>
          <w:lang w:val="en-GB"/>
        </w:rPr>
        <w:t>While calculating TTC and performing Contingency Analyses after applying of N-1 criteria following Operational Security limits shall be not exceeded:</w:t>
      </w:r>
      <w:bookmarkEnd w:id="78"/>
    </w:p>
    <w:p w14:paraId="0444330E" w14:textId="77777777" w:rsidR="004D5721" w:rsidRPr="0041608F" w:rsidRDefault="004D5721" w:rsidP="004D5721">
      <w:pPr>
        <w:pStyle w:val="Bodytext22"/>
        <w:numPr>
          <w:ilvl w:val="0"/>
          <w:numId w:val="5"/>
        </w:numPr>
        <w:shd w:val="clear" w:color="auto" w:fill="auto"/>
        <w:tabs>
          <w:tab w:val="left" w:pos="851"/>
        </w:tabs>
        <w:spacing w:after="196"/>
        <w:ind w:left="567" w:firstLine="0"/>
        <w:rPr>
          <w:lang w:val="en-GB"/>
        </w:rPr>
      </w:pPr>
      <w:r w:rsidRPr="0041608F">
        <w:rPr>
          <w:lang w:val="en-GB"/>
        </w:rPr>
        <w:t xml:space="preserve">Permanently allowed thermal limits, that correspond to the relevant ambient temperature, of network elements, i.e. the maximum amount of electric current that a given network element </w:t>
      </w:r>
      <w:r w:rsidRPr="0041608F">
        <w:rPr>
          <w:lang w:val="en-GB"/>
        </w:rPr>
        <w:lastRenderedPageBreak/>
        <w:t xml:space="preserve">can conduct without sustaining damage or being in violation of safety </w:t>
      </w:r>
      <w:proofErr w:type="gramStart"/>
      <w:r w:rsidRPr="0041608F">
        <w:rPr>
          <w:lang w:val="en-GB"/>
        </w:rPr>
        <w:t>requirements;</w:t>
      </w:r>
      <w:proofErr w:type="gramEnd"/>
    </w:p>
    <w:p w14:paraId="47674A92" w14:textId="77777777" w:rsidR="004D5721" w:rsidRPr="0041608F" w:rsidRDefault="004D5721" w:rsidP="004D5721">
      <w:pPr>
        <w:pStyle w:val="Bodytext22"/>
        <w:numPr>
          <w:ilvl w:val="0"/>
          <w:numId w:val="5"/>
        </w:numPr>
        <w:shd w:val="clear" w:color="auto" w:fill="auto"/>
        <w:tabs>
          <w:tab w:val="left" w:pos="851"/>
        </w:tabs>
        <w:spacing w:after="200" w:line="293" w:lineRule="exact"/>
        <w:ind w:left="567" w:firstLine="0"/>
        <w:rPr>
          <w:lang w:val="en-GB"/>
        </w:rPr>
      </w:pPr>
      <w:r w:rsidRPr="0041608F">
        <w:rPr>
          <w:lang w:val="en-GB"/>
        </w:rPr>
        <w:t xml:space="preserve">Voltage and load stability limits in network nodes, i.e. maximum and minimum voltage levels permitted at given network node in order to prevent equipment damage or voltage collapse </w:t>
      </w:r>
      <w:proofErr w:type="gramStart"/>
      <w:r w:rsidRPr="0041608F">
        <w:rPr>
          <w:lang w:val="en-GB"/>
        </w:rPr>
        <w:t>respectively;</w:t>
      </w:r>
      <w:proofErr w:type="gramEnd"/>
    </w:p>
    <w:p w14:paraId="60A49C80" w14:textId="77777777" w:rsidR="004D5721" w:rsidRPr="0041608F" w:rsidRDefault="004D5721" w:rsidP="004D5721">
      <w:pPr>
        <w:pStyle w:val="Bodytext22"/>
        <w:numPr>
          <w:ilvl w:val="0"/>
          <w:numId w:val="5"/>
        </w:numPr>
        <w:shd w:val="clear" w:color="auto" w:fill="auto"/>
        <w:tabs>
          <w:tab w:val="left" w:pos="851"/>
        </w:tabs>
        <w:spacing w:after="200" w:line="293" w:lineRule="exact"/>
        <w:ind w:left="567" w:firstLine="0"/>
        <w:rPr>
          <w:lang w:val="en-GB"/>
        </w:rPr>
      </w:pPr>
      <w:r w:rsidRPr="0041608F">
        <w:rPr>
          <w:lang w:val="en-GB"/>
        </w:rPr>
        <w:t>Dynamic and or any other time dependent stability limit (including frequency, oscillatory and rotor angle stability), based on TSOs internal stability assessment procedure.</w:t>
      </w:r>
    </w:p>
    <w:p w14:paraId="67472C43" w14:textId="404A5DF8" w:rsidR="00753F39" w:rsidRPr="00484001" w:rsidRDefault="000F04EC">
      <w:pPr>
        <w:pStyle w:val="Bodytext22"/>
        <w:numPr>
          <w:ilvl w:val="1"/>
          <w:numId w:val="7"/>
        </w:numPr>
        <w:shd w:val="clear" w:color="auto" w:fill="auto"/>
        <w:tabs>
          <w:tab w:val="left" w:pos="718"/>
        </w:tabs>
        <w:spacing w:before="0" w:line="280" w:lineRule="exact"/>
        <w:rPr>
          <w:b/>
          <w:lang w:val="en-GB"/>
        </w:rPr>
      </w:pPr>
      <w:bookmarkStart w:id="79" w:name="_Ref157675493"/>
      <w:r>
        <w:rPr>
          <w:lang w:val="en-GB"/>
        </w:rPr>
        <w:t>Ca</w:t>
      </w:r>
      <w:r w:rsidR="00B162A1">
        <w:rPr>
          <w:lang w:val="en-GB"/>
        </w:rPr>
        <w:t>pacit</w:t>
      </w:r>
      <w:r w:rsidR="00753F39">
        <w:rPr>
          <w:lang w:val="en-GB"/>
        </w:rPr>
        <w:t>ies</w:t>
      </w:r>
      <w:r w:rsidR="00B162A1">
        <w:rPr>
          <w:lang w:val="en-GB"/>
        </w:rPr>
        <w:t xml:space="preserve"> from </w:t>
      </w:r>
      <w:proofErr w:type="spellStart"/>
      <w:r w:rsidR="00B162A1">
        <w:rPr>
          <w:lang w:val="en-GB"/>
        </w:rPr>
        <w:t>S</w:t>
      </w:r>
      <w:r w:rsidR="004C7D56">
        <w:rPr>
          <w:lang w:val="en-GB"/>
        </w:rPr>
        <w:t>vK</w:t>
      </w:r>
      <w:proofErr w:type="spellEnd"/>
      <w:r w:rsidR="00B162A1">
        <w:rPr>
          <w:lang w:val="en-GB"/>
        </w:rPr>
        <w:t xml:space="preserve"> side</w:t>
      </w:r>
      <w:r w:rsidR="00482AF2">
        <w:rPr>
          <w:lang w:val="en-GB"/>
        </w:rPr>
        <w:t xml:space="preserve"> for </w:t>
      </w:r>
      <w:r w:rsidR="00447DD9" w:rsidRPr="004C7D56">
        <w:rPr>
          <w:iCs/>
          <w:lang w:val="en-GB"/>
        </w:rPr>
        <w:t>Sweden – Lithuania</w:t>
      </w:r>
      <w:r w:rsidR="00447DD9">
        <w:rPr>
          <w:i/>
          <w:lang w:val="en-GB"/>
        </w:rPr>
        <w:t xml:space="preserve"> </w:t>
      </w:r>
      <w:r w:rsidR="00447DD9" w:rsidRPr="00484001">
        <w:rPr>
          <w:iCs/>
          <w:lang w:val="en-GB"/>
        </w:rPr>
        <w:t>interconnector is calculate</w:t>
      </w:r>
      <w:r w:rsidR="00753F39" w:rsidRPr="00484001">
        <w:rPr>
          <w:iCs/>
          <w:lang w:val="en-GB"/>
        </w:rPr>
        <w:t>d</w:t>
      </w:r>
      <w:r w:rsidR="00447DD9" w:rsidRPr="00484001">
        <w:rPr>
          <w:iCs/>
          <w:lang w:val="en-GB"/>
        </w:rPr>
        <w:t xml:space="preserve"> according to </w:t>
      </w:r>
      <w:r w:rsidR="00753F39" w:rsidRPr="00484001">
        <w:rPr>
          <w:iCs/>
          <w:lang w:val="en-GB"/>
        </w:rPr>
        <w:t>following principle:</w:t>
      </w:r>
    </w:p>
    <w:p w14:paraId="6496D50D" w14:textId="68F99250" w:rsidR="004D5721" w:rsidRPr="0041608F" w:rsidRDefault="004D5721" w:rsidP="00484001">
      <w:pPr>
        <w:pStyle w:val="Bodytext22"/>
        <w:shd w:val="clear" w:color="auto" w:fill="auto"/>
        <w:tabs>
          <w:tab w:val="left" w:pos="718"/>
        </w:tabs>
        <w:spacing w:before="0" w:line="280" w:lineRule="exact"/>
        <w:ind w:firstLine="0"/>
        <w:rPr>
          <w:b/>
          <w:lang w:val="en-GB"/>
        </w:rPr>
      </w:pPr>
      <w:r w:rsidRPr="0041608F">
        <w:rPr>
          <w:lang w:val="en-GB"/>
        </w:rPr>
        <w:t xml:space="preserve">Total Transfer Capacity (TTC) of a DC interconnector </w:t>
      </w:r>
      <w:r w:rsidR="00B950F1" w:rsidRPr="004C7D56">
        <w:rPr>
          <w:iCs/>
          <w:lang w:val="en-GB"/>
        </w:rPr>
        <w:t>Sweden – Lithuania</w:t>
      </w:r>
      <w:r w:rsidR="00B950F1">
        <w:rPr>
          <w:i/>
          <w:lang w:val="en-GB"/>
        </w:rPr>
        <w:t xml:space="preserve"> </w:t>
      </w:r>
      <w:r w:rsidRPr="0041608F">
        <w:rPr>
          <w:lang w:val="en-GB"/>
        </w:rPr>
        <w:t xml:space="preserve">in </w:t>
      </w:r>
      <w:r w:rsidR="00753F39">
        <w:rPr>
          <w:lang w:val="en-GB"/>
        </w:rPr>
        <w:t xml:space="preserve">both </w:t>
      </w:r>
      <w:r w:rsidRPr="0041608F">
        <w:rPr>
          <w:lang w:val="en-GB"/>
        </w:rPr>
        <w:t>direction</w:t>
      </w:r>
      <w:r w:rsidR="00660268">
        <w:rPr>
          <w:lang w:val="en-GB"/>
        </w:rPr>
        <w:t>s</w:t>
      </w:r>
      <w:r w:rsidRPr="0041608F">
        <w:rPr>
          <w:lang w:val="en-GB"/>
        </w:rPr>
        <w:t xml:space="preserve"> corresponds only to the full capacity of the DC line, in case of no failure on the interconnector, including converter stations. If the HVDC link is not in service due to a planned or an unplanned outage TTC is 0.</w:t>
      </w:r>
      <w:r w:rsidR="00A42483" w:rsidRPr="0041608F">
        <w:rPr>
          <w:lang w:val="en-GB"/>
        </w:rPr>
        <w:t xml:space="preserve"> </w:t>
      </w:r>
      <w:r w:rsidRPr="0041608F">
        <w:rPr>
          <w:lang w:val="en-GB"/>
        </w:rPr>
        <w:t xml:space="preserve">The Cross-Border Interconnection TTC determination for DC interconnectors </w:t>
      </w:r>
      <w:r w:rsidR="00A42483" w:rsidRPr="0041608F">
        <w:rPr>
          <w:lang w:val="en-GB"/>
        </w:rPr>
        <w:t>is defined according to</w:t>
      </w:r>
      <w:r w:rsidRPr="0041608F">
        <w:rPr>
          <w:lang w:val="en-GB"/>
        </w:rPr>
        <w:t>:</w:t>
      </w:r>
      <w:bookmarkEnd w:id="7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952"/>
      </w:tblGrid>
      <w:tr w:rsidR="00970FE5" w:rsidRPr="0041608F" w14:paraId="392C1897" w14:textId="77777777" w:rsidTr="0086498A">
        <w:tc>
          <w:tcPr>
            <w:tcW w:w="8784" w:type="dxa"/>
          </w:tcPr>
          <w:p w14:paraId="08C3A220" w14:textId="0A4FD862" w:rsidR="00970FE5" w:rsidRPr="0041608F" w:rsidRDefault="00000000" w:rsidP="00970FE5">
            <w:pPr>
              <w:pStyle w:val="Bodytext22"/>
              <w:shd w:val="clear" w:color="auto" w:fill="auto"/>
              <w:tabs>
                <w:tab w:val="left" w:pos="718"/>
              </w:tabs>
              <w:spacing w:before="0" w:line="280" w:lineRule="exact"/>
              <w:ind w:firstLine="0"/>
              <w:rPr>
                <w:smallCaps/>
                <w:color w:val="000000"/>
                <w:shd w:val="clear" w:color="auto" w:fill="FFFFFF"/>
                <w:lang w:val="en-GB" w:eastAsia="en-GB" w:bidi="en-GB"/>
              </w:rPr>
            </w:pPr>
            <m:oMathPara>
              <m:oMath>
                <m:sSub>
                  <m:sSubPr>
                    <m:ctrlPr>
                      <w:rPr>
                        <w:rStyle w:val="Bodytext2SmallCaps"/>
                        <w:rFonts w:ascii="Cambria Math" w:hAnsi="Cambria Math"/>
                      </w:rPr>
                    </m:ctrlPr>
                  </m:sSubPr>
                  <m:e>
                    <m:r>
                      <m:rPr>
                        <m:nor/>
                      </m:rPr>
                      <w:rPr>
                        <w:rStyle w:val="Bodytext2SmallCaps"/>
                      </w:rPr>
                      <m:t>TTC</m:t>
                    </m:r>
                  </m:e>
                  <m:sub>
                    <m:r>
                      <m:rPr>
                        <m:nor/>
                      </m:rPr>
                      <w:rPr>
                        <w:rStyle w:val="Bodytext2SmallCaps"/>
                      </w:rPr>
                      <m:t>SE</m:t>
                    </m:r>
                    <m:r>
                      <m:rPr>
                        <m:nor/>
                      </m:rPr>
                      <w:rPr>
                        <w:rStyle w:val="Bodytext2SmallCaps"/>
                        <w:rFonts w:ascii="Cambria Math"/>
                      </w:rPr>
                      <m:t>-</m:t>
                    </m:r>
                    <m:r>
                      <m:rPr>
                        <m:nor/>
                      </m:rPr>
                      <w:rPr>
                        <w:rStyle w:val="Bodytext2SmallCaps"/>
                      </w:rPr>
                      <m:t>LT</m:t>
                    </m:r>
                  </m:sub>
                </m:sSub>
                <m:r>
                  <m:rPr>
                    <m:nor/>
                  </m:rPr>
                  <w:rPr>
                    <w:rStyle w:val="Bodytext2SmallCaps"/>
                  </w:rPr>
                  <m:t xml:space="preserve">  =</m:t>
                </m:r>
                <m:r>
                  <m:rPr>
                    <m:nor/>
                  </m:rPr>
                  <w:rPr>
                    <w:rStyle w:val="Bodytext2SmallCaps"/>
                    <w:rFonts w:ascii="Cambria Math"/>
                  </w:rPr>
                  <m:t xml:space="preserve"> </m:t>
                </m:r>
                <m:sSub>
                  <m:sSubPr>
                    <m:ctrlPr>
                      <w:rPr>
                        <w:rStyle w:val="Bodytext2SmallCaps"/>
                        <w:rFonts w:ascii="Cambria Math" w:hAnsi="Cambria Math"/>
                      </w:rPr>
                    </m:ctrlPr>
                  </m:sSubPr>
                  <m:e>
                    <m:r>
                      <m:rPr>
                        <m:sty m:val="p"/>
                      </m:rPr>
                      <w:rPr>
                        <w:rStyle w:val="Bodytext2SmallCaps"/>
                        <w:rFonts w:ascii="Cambria Math" w:hAnsi="Cambria Math"/>
                      </w:rPr>
                      <m:t>∝</m:t>
                    </m:r>
                  </m:e>
                  <m:sub>
                    <m:r>
                      <m:rPr>
                        <m:nor/>
                      </m:rPr>
                      <w:rPr>
                        <w:rStyle w:val="Bodytext2SmallCaps"/>
                      </w:rPr>
                      <m:t>SE</m:t>
                    </m:r>
                    <m:r>
                      <m:rPr>
                        <m:nor/>
                      </m:rPr>
                      <w:rPr>
                        <w:rStyle w:val="Bodytext2SmallCaps"/>
                        <w:rFonts w:ascii="Cambria Math"/>
                      </w:rPr>
                      <m:t>-</m:t>
                    </m:r>
                    <m:r>
                      <m:rPr>
                        <m:nor/>
                      </m:rPr>
                      <w:rPr>
                        <w:rStyle w:val="Bodytext2SmallCaps"/>
                      </w:rPr>
                      <m:t>LT</m:t>
                    </m:r>
                  </m:sub>
                </m:sSub>
                <m:r>
                  <m:rPr>
                    <m:nor/>
                  </m:rPr>
                  <w:rPr>
                    <w:rStyle w:val="Bodytext2SmallCaps"/>
                    <w:rFonts w:ascii="Cambria Math" w:hAnsi="Cambria Math" w:cs="Cambria Math"/>
                  </w:rPr>
                  <m:t>⋅</m:t>
                </m:r>
                <m:sSub>
                  <m:sSubPr>
                    <m:ctrlPr>
                      <w:rPr>
                        <w:rStyle w:val="Bodytext2SmallCaps"/>
                        <w:rFonts w:ascii="Cambria Math" w:hAnsi="Cambria Math"/>
                      </w:rPr>
                    </m:ctrlPr>
                  </m:sSubPr>
                  <m:e>
                    <m:r>
                      <m:rPr>
                        <m:nor/>
                      </m:rPr>
                      <w:rPr>
                        <w:rStyle w:val="Bodytext2SmallCaps"/>
                      </w:rPr>
                      <m:t>P</m:t>
                    </m:r>
                  </m:e>
                  <m:sub>
                    <m:r>
                      <m:rPr>
                        <m:nor/>
                      </m:rPr>
                      <w:rPr>
                        <w:rStyle w:val="Bodytext2SmallCaps"/>
                      </w:rPr>
                      <m:t>SE</m:t>
                    </m:r>
                    <m:r>
                      <m:rPr>
                        <m:nor/>
                      </m:rPr>
                      <w:rPr>
                        <w:rStyle w:val="Bodytext2SmallCaps"/>
                        <w:rFonts w:ascii="Cambria Math"/>
                      </w:rPr>
                      <m:t>-</m:t>
                    </m:r>
                    <m:r>
                      <m:rPr>
                        <m:nor/>
                      </m:rPr>
                      <w:rPr>
                        <w:rStyle w:val="Bodytext2SmallCaps"/>
                      </w:rPr>
                      <m:t>LT,</m:t>
                    </m:r>
                    <m:func>
                      <m:funcPr>
                        <m:ctrlPr>
                          <w:rPr>
                            <w:rStyle w:val="Bodytext2SmallCaps"/>
                            <w:rFonts w:ascii="Cambria Math" w:hAnsi="Cambria Math"/>
                          </w:rPr>
                        </m:ctrlPr>
                      </m:funcPr>
                      <m:fName>
                        <m:r>
                          <m:rPr>
                            <m:nor/>
                          </m:rPr>
                          <w:rPr>
                            <w:rStyle w:val="Bodytext2SmallCaps"/>
                          </w:rPr>
                          <m:t>max</m:t>
                        </m:r>
                      </m:fName>
                      <m:e>
                        <m:r>
                          <m:rPr>
                            <m:nor/>
                          </m:rPr>
                          <w:rPr>
                            <w:rStyle w:val="Bodytext2SmallCaps"/>
                          </w:rPr>
                          <m:t>thermal</m:t>
                        </m:r>
                      </m:e>
                    </m:func>
                  </m:sub>
                </m:sSub>
              </m:oMath>
            </m:oMathPara>
          </w:p>
        </w:tc>
        <w:tc>
          <w:tcPr>
            <w:tcW w:w="952" w:type="dxa"/>
            <w:vAlign w:val="center"/>
          </w:tcPr>
          <w:p w14:paraId="542F646A" w14:textId="2E159035" w:rsidR="00970FE5" w:rsidRPr="0041608F" w:rsidRDefault="00970FE5" w:rsidP="0086498A">
            <w:pPr>
              <w:pStyle w:val="Bodytext22"/>
              <w:shd w:val="clear" w:color="auto" w:fill="auto"/>
              <w:tabs>
                <w:tab w:val="left" w:pos="718"/>
              </w:tabs>
              <w:spacing w:before="0" w:line="280" w:lineRule="exact"/>
              <w:ind w:firstLine="0"/>
              <w:jc w:val="right"/>
              <w:rPr>
                <w:b/>
                <w:lang w:val="en-GB"/>
              </w:rPr>
            </w:pPr>
            <w:bookmarkStart w:id="80" w:name="_Ref157675840"/>
            <w:r w:rsidRPr="002571F8">
              <w:rPr>
                <w:lang w:val="en-GB"/>
              </w:rPr>
              <w:t>(</w:t>
            </w:r>
            <w:r w:rsidRPr="002571F8">
              <w:rPr>
                <w:lang w:val="en-GB"/>
              </w:rPr>
              <w:fldChar w:fldCharType="begin"/>
            </w:r>
            <w:r w:rsidRPr="002571F8">
              <w:rPr>
                <w:lang w:val="en-GB"/>
              </w:rPr>
              <w:instrText xml:space="preserve"> SEQ Equation \* ARABIC </w:instrText>
            </w:r>
            <w:r w:rsidRPr="002571F8">
              <w:rPr>
                <w:lang w:val="en-GB"/>
              </w:rPr>
              <w:fldChar w:fldCharType="separate"/>
            </w:r>
            <w:r w:rsidR="00D71607">
              <w:rPr>
                <w:noProof/>
                <w:lang w:val="en-GB"/>
              </w:rPr>
              <w:t>4</w:t>
            </w:r>
            <w:r w:rsidRPr="002571F8">
              <w:rPr>
                <w:lang w:val="en-GB"/>
              </w:rPr>
              <w:fldChar w:fldCharType="end"/>
            </w:r>
            <w:r w:rsidRPr="002571F8">
              <w:rPr>
                <w:lang w:val="en-GB"/>
              </w:rPr>
              <w:t>)</w:t>
            </w:r>
            <w:bookmarkEnd w:id="80"/>
          </w:p>
        </w:tc>
      </w:tr>
    </w:tbl>
    <w:p w14:paraId="13FD725B" w14:textId="77777777" w:rsidR="00A42483" w:rsidRPr="0041608F" w:rsidRDefault="00A42483" w:rsidP="00A42483">
      <w:pPr>
        <w:pStyle w:val="Bodytext22"/>
        <w:shd w:val="clear" w:color="auto" w:fill="auto"/>
        <w:tabs>
          <w:tab w:val="left" w:pos="567"/>
        </w:tabs>
        <w:spacing w:line="240" w:lineRule="auto"/>
        <w:ind w:firstLine="0"/>
        <w:rPr>
          <w:b/>
          <w:lang w:val="en-GB"/>
        </w:rPr>
      </w:pPr>
      <w:r w:rsidRPr="0041608F">
        <w:rPr>
          <w:lang w:val="en-GB"/>
        </w:rPr>
        <w:t>Where</w:t>
      </w:r>
      <w:r w:rsidRPr="0041608F">
        <w:rPr>
          <w:b/>
          <w:lang w:val="en-GB"/>
        </w:rPr>
        <w:t xml:space="preserve">: </w:t>
      </w:r>
    </w:p>
    <w:p w14:paraId="50EC4495" w14:textId="419F2296" w:rsidR="00A42483" w:rsidRPr="0041608F" w:rsidRDefault="00A42483" w:rsidP="00A42483">
      <w:pPr>
        <w:pStyle w:val="Bodytext22"/>
        <w:shd w:val="clear" w:color="auto" w:fill="auto"/>
        <w:tabs>
          <w:tab w:val="left" w:pos="567"/>
        </w:tabs>
        <w:spacing w:line="240" w:lineRule="auto"/>
        <w:ind w:firstLine="0"/>
        <w:rPr>
          <w:rStyle w:val="Bodytext2SmallCaps"/>
          <w:smallCaps w:val="0"/>
        </w:rPr>
      </w:pPr>
      <w:r w:rsidRPr="0041608F">
        <w:rPr>
          <w:rStyle w:val="Bodytext2SmallCaps"/>
          <w:rFonts w:ascii="Cambria Math" w:hAnsi="Cambria Math" w:cs="Cambria Math"/>
          <w:smallCaps w:val="0"/>
        </w:rPr>
        <w:t>∝</w:t>
      </w:r>
      <w:r w:rsidR="00B950F1" w:rsidRPr="00B950F1">
        <w:rPr>
          <w:rStyle w:val="Bodytext2SmallCaps"/>
          <w:smallCaps w:val="0"/>
          <w:vertAlign w:val="subscript"/>
        </w:rPr>
        <w:t xml:space="preserve"> </w:t>
      </w:r>
      <w:r w:rsidR="00B950F1">
        <w:rPr>
          <w:rStyle w:val="Bodytext2SmallCaps"/>
          <w:smallCaps w:val="0"/>
          <w:vertAlign w:val="subscript"/>
        </w:rPr>
        <w:t>SE-LT</w:t>
      </w:r>
      <w:r w:rsidRPr="0041608F">
        <w:rPr>
          <w:rStyle w:val="Bodytext2SmallCaps"/>
          <w:smallCaps w:val="0"/>
        </w:rPr>
        <w:t xml:space="preserve"> - Availability factor of equipment defined through scheduled and unscheduled outages, α</w:t>
      </w:r>
      <w:r w:rsidR="00B950F1">
        <w:rPr>
          <w:rStyle w:val="Bodytext2SmallCaps"/>
          <w:smallCaps w:val="0"/>
          <w:vertAlign w:val="subscript"/>
        </w:rPr>
        <w:t>SE-LT</w:t>
      </w:r>
      <w:r w:rsidRPr="0041608F">
        <w:rPr>
          <w:rStyle w:val="Bodytext2SmallCaps"/>
          <w:smallCaps w:val="0"/>
        </w:rPr>
        <w:t xml:space="preserve"> being a real number in between and including 0 and 1.</w:t>
      </w:r>
    </w:p>
    <w:p w14:paraId="56F1413A" w14:textId="5FAE80FA" w:rsidR="00A42483" w:rsidRDefault="00A42483" w:rsidP="00A42483">
      <w:pPr>
        <w:pStyle w:val="Bodytext22"/>
        <w:shd w:val="clear" w:color="auto" w:fill="auto"/>
        <w:tabs>
          <w:tab w:val="left" w:pos="567"/>
        </w:tabs>
        <w:spacing w:line="240" w:lineRule="auto"/>
        <w:ind w:firstLine="0"/>
        <w:rPr>
          <w:rStyle w:val="Bodytext2SmallCaps"/>
          <w:smallCaps w:val="0"/>
        </w:rPr>
      </w:pPr>
      <w:proofErr w:type="spellStart"/>
      <w:r w:rsidRPr="0041608F">
        <w:rPr>
          <w:rStyle w:val="Bodytext2SmallCaps"/>
          <w:smallCaps w:val="0"/>
        </w:rPr>
        <w:t>P</w:t>
      </w:r>
      <w:r w:rsidRPr="0041608F">
        <w:rPr>
          <w:rStyle w:val="Bodytext2SmallCaps"/>
          <w:smallCaps w:val="0"/>
          <w:vertAlign w:val="subscript"/>
        </w:rPr>
        <w:t>maxthermal</w:t>
      </w:r>
      <w:proofErr w:type="spellEnd"/>
      <w:r w:rsidRPr="0041608F">
        <w:rPr>
          <w:rStyle w:val="Bodytext2SmallCaps"/>
          <w:smallCaps w:val="0"/>
          <w:vertAlign w:val="subscript"/>
        </w:rPr>
        <w:t xml:space="preserve"> </w:t>
      </w:r>
      <w:r w:rsidRPr="0041608F">
        <w:rPr>
          <w:rStyle w:val="Bodytext2SmallCaps"/>
          <w:smallCaps w:val="0"/>
        </w:rPr>
        <w:t>- Thermal capacity for the HVDC link.</w:t>
      </w:r>
    </w:p>
    <w:p w14:paraId="7FA6E7F0" w14:textId="11A23D88" w:rsidR="00753F39" w:rsidRPr="0041608F" w:rsidRDefault="00753F39" w:rsidP="00484001">
      <w:pPr>
        <w:pStyle w:val="Bodytext22"/>
        <w:numPr>
          <w:ilvl w:val="2"/>
          <w:numId w:val="7"/>
        </w:numPr>
        <w:shd w:val="clear" w:color="auto" w:fill="auto"/>
        <w:tabs>
          <w:tab w:val="left" w:pos="718"/>
        </w:tabs>
        <w:spacing w:before="0" w:line="280" w:lineRule="exact"/>
        <w:rPr>
          <w:rStyle w:val="Bodytext2SmallCaps"/>
          <w:smallCaps w:val="0"/>
        </w:rPr>
      </w:pPr>
      <w:r w:rsidRPr="00753F39">
        <w:t xml:space="preserve">Capacities from </w:t>
      </w:r>
      <w:r>
        <w:t>Litgrid</w:t>
      </w:r>
      <w:r w:rsidRPr="00753F39">
        <w:t xml:space="preserve"> side for Sweden – Lithuania interconnector</w:t>
      </w:r>
      <w:r>
        <w:t xml:space="preserve"> and </w:t>
      </w:r>
      <w:r w:rsidR="00C83892">
        <w:t>capacities for EE</w:t>
      </w:r>
      <w:r w:rsidR="00AA51F2">
        <w:t xml:space="preserve"> – F</w:t>
      </w:r>
      <w:r w:rsidR="00660268">
        <w:t xml:space="preserve">I </w:t>
      </w:r>
      <w:r w:rsidR="005C1058">
        <w:t xml:space="preserve">interconnectors </w:t>
      </w:r>
      <w:r w:rsidR="005C1058" w:rsidRPr="00753F39">
        <w:t xml:space="preserve">from </w:t>
      </w:r>
      <w:r w:rsidR="005C1058">
        <w:t xml:space="preserve">Elering and Fingrid side </w:t>
      </w:r>
      <w:r w:rsidR="00AA51F2">
        <w:t>are calculated according to principles set ou</w:t>
      </w:r>
      <w:r w:rsidR="00FB21CE">
        <w:t>t</w:t>
      </w:r>
      <w:r w:rsidR="00AA51F2">
        <w:t xml:space="preserve"> in paragraph </w:t>
      </w:r>
      <w:r w:rsidR="00660268">
        <w:fldChar w:fldCharType="begin"/>
      </w:r>
      <w:r w:rsidR="00660268">
        <w:instrText xml:space="preserve"> REF _Ref157675758 \r \h </w:instrText>
      </w:r>
      <w:r w:rsidR="00660268">
        <w:fldChar w:fldCharType="separate"/>
      </w:r>
      <w:r w:rsidR="00D71607">
        <w:t>8.4</w:t>
      </w:r>
      <w:r w:rsidR="00660268">
        <w:fldChar w:fldCharType="end"/>
      </w:r>
      <w:r w:rsidR="005C1058">
        <w:t>.</w:t>
      </w:r>
    </w:p>
    <w:p w14:paraId="00CE9608" w14:textId="61083E5A" w:rsidR="00B33EC1" w:rsidRPr="0041608F" w:rsidRDefault="00B33EC1" w:rsidP="00B949DF">
      <w:pPr>
        <w:pStyle w:val="Heading1"/>
      </w:pPr>
      <w:r w:rsidRPr="0041608F">
        <w:t xml:space="preserve"> </w:t>
      </w:r>
      <w:bookmarkStart w:id="81" w:name="_Ref151043284"/>
      <w:bookmarkStart w:id="82" w:name="_Toc153355180"/>
      <w:bookmarkStart w:id="83" w:name="_Toc153355309"/>
      <w:bookmarkStart w:id="84" w:name="_Toc153355547"/>
      <w:bookmarkStart w:id="85" w:name="_Toc158275581"/>
      <w:r w:rsidR="008752B4" w:rsidRPr="0041608F">
        <w:t xml:space="preserve">COORDINATED </w:t>
      </w:r>
      <w:r w:rsidRPr="0041608F">
        <w:t xml:space="preserve">NTC calculation </w:t>
      </w:r>
      <w:r w:rsidR="00A61C1C" w:rsidRPr="0041608F">
        <w:t>principles</w:t>
      </w:r>
      <w:r w:rsidR="00022293" w:rsidRPr="0041608F">
        <w:t xml:space="preserve"> for Internal Baltic AC interconnectors</w:t>
      </w:r>
      <w:bookmarkEnd w:id="81"/>
      <w:bookmarkEnd w:id="82"/>
      <w:bookmarkEnd w:id="83"/>
      <w:bookmarkEnd w:id="84"/>
      <w:bookmarkEnd w:id="85"/>
    </w:p>
    <w:p w14:paraId="396F7803" w14:textId="77777777" w:rsidR="00A529DD" w:rsidRPr="0041608F" w:rsidRDefault="00A529DD" w:rsidP="008E4773">
      <w:pPr>
        <w:pStyle w:val="ListParagraph"/>
        <w:widowControl w:val="0"/>
        <w:numPr>
          <w:ilvl w:val="0"/>
          <w:numId w:val="8"/>
        </w:numPr>
        <w:tabs>
          <w:tab w:val="left" w:pos="567"/>
        </w:tabs>
        <w:spacing w:after="0" w:line="280" w:lineRule="exact"/>
        <w:contextualSpacing w:val="0"/>
        <w:jc w:val="both"/>
        <w:rPr>
          <w:rFonts w:eastAsia="Arial" w:cs="Arial"/>
          <w:b w:val="0"/>
          <w:vanish/>
          <w:lang w:val="en-GB"/>
        </w:rPr>
      </w:pPr>
    </w:p>
    <w:p w14:paraId="53E61615" w14:textId="77777777" w:rsidR="00A529DD" w:rsidRPr="0041608F" w:rsidRDefault="00A529DD" w:rsidP="008E4773">
      <w:pPr>
        <w:pStyle w:val="ListParagraph"/>
        <w:widowControl w:val="0"/>
        <w:numPr>
          <w:ilvl w:val="0"/>
          <w:numId w:val="8"/>
        </w:numPr>
        <w:tabs>
          <w:tab w:val="left" w:pos="567"/>
        </w:tabs>
        <w:spacing w:after="0" w:line="280" w:lineRule="exact"/>
        <w:contextualSpacing w:val="0"/>
        <w:jc w:val="both"/>
        <w:rPr>
          <w:rFonts w:eastAsia="Arial" w:cs="Arial"/>
          <w:b w:val="0"/>
          <w:vanish/>
          <w:lang w:val="en-GB"/>
        </w:rPr>
      </w:pPr>
    </w:p>
    <w:p w14:paraId="77463AEB" w14:textId="77777777" w:rsidR="00A529DD" w:rsidRPr="0041608F" w:rsidRDefault="00A529DD" w:rsidP="008E4773">
      <w:pPr>
        <w:pStyle w:val="ListParagraph"/>
        <w:widowControl w:val="0"/>
        <w:numPr>
          <w:ilvl w:val="0"/>
          <w:numId w:val="8"/>
        </w:numPr>
        <w:tabs>
          <w:tab w:val="left" w:pos="567"/>
        </w:tabs>
        <w:spacing w:after="0" w:line="280" w:lineRule="exact"/>
        <w:contextualSpacing w:val="0"/>
        <w:jc w:val="both"/>
        <w:rPr>
          <w:rFonts w:eastAsia="Arial" w:cs="Arial"/>
          <w:b w:val="0"/>
          <w:vanish/>
          <w:lang w:val="en-GB"/>
        </w:rPr>
      </w:pPr>
    </w:p>
    <w:p w14:paraId="67F1A7B8" w14:textId="77777777" w:rsidR="00A529DD" w:rsidRPr="0041608F" w:rsidRDefault="00A529DD" w:rsidP="008E4773">
      <w:pPr>
        <w:pStyle w:val="ListParagraph"/>
        <w:widowControl w:val="0"/>
        <w:numPr>
          <w:ilvl w:val="0"/>
          <w:numId w:val="8"/>
        </w:numPr>
        <w:tabs>
          <w:tab w:val="left" w:pos="567"/>
        </w:tabs>
        <w:spacing w:after="0" w:line="280" w:lineRule="exact"/>
        <w:contextualSpacing w:val="0"/>
        <w:jc w:val="both"/>
        <w:rPr>
          <w:rFonts w:eastAsia="Arial" w:cs="Arial"/>
          <w:b w:val="0"/>
          <w:vanish/>
          <w:lang w:val="en-GB"/>
        </w:rPr>
      </w:pPr>
    </w:p>
    <w:p w14:paraId="1794BE5C" w14:textId="77777777" w:rsidR="00A529DD" w:rsidRPr="0041608F" w:rsidRDefault="00A529DD" w:rsidP="008E4773">
      <w:pPr>
        <w:pStyle w:val="ListParagraph"/>
        <w:widowControl w:val="0"/>
        <w:numPr>
          <w:ilvl w:val="0"/>
          <w:numId w:val="8"/>
        </w:numPr>
        <w:tabs>
          <w:tab w:val="left" w:pos="567"/>
        </w:tabs>
        <w:spacing w:after="0" w:line="280" w:lineRule="exact"/>
        <w:contextualSpacing w:val="0"/>
        <w:jc w:val="both"/>
        <w:rPr>
          <w:rFonts w:eastAsia="Arial" w:cs="Arial"/>
          <w:b w:val="0"/>
          <w:vanish/>
          <w:lang w:val="en-GB"/>
        </w:rPr>
      </w:pPr>
    </w:p>
    <w:p w14:paraId="7AC68662" w14:textId="77777777" w:rsidR="00A529DD" w:rsidRPr="0041608F" w:rsidRDefault="00A529DD" w:rsidP="008E4773">
      <w:pPr>
        <w:pStyle w:val="ListParagraph"/>
        <w:widowControl w:val="0"/>
        <w:numPr>
          <w:ilvl w:val="0"/>
          <w:numId w:val="8"/>
        </w:numPr>
        <w:tabs>
          <w:tab w:val="left" w:pos="567"/>
        </w:tabs>
        <w:spacing w:after="0" w:line="280" w:lineRule="exact"/>
        <w:contextualSpacing w:val="0"/>
        <w:jc w:val="both"/>
        <w:rPr>
          <w:rFonts w:eastAsia="Arial" w:cs="Arial"/>
          <w:b w:val="0"/>
          <w:vanish/>
          <w:lang w:val="en-GB"/>
        </w:rPr>
      </w:pPr>
    </w:p>
    <w:p w14:paraId="01325750" w14:textId="77777777" w:rsidR="00A529DD" w:rsidRPr="0041608F" w:rsidRDefault="00A529DD" w:rsidP="008E4773">
      <w:pPr>
        <w:pStyle w:val="ListParagraph"/>
        <w:widowControl w:val="0"/>
        <w:numPr>
          <w:ilvl w:val="0"/>
          <w:numId w:val="8"/>
        </w:numPr>
        <w:tabs>
          <w:tab w:val="left" w:pos="567"/>
        </w:tabs>
        <w:spacing w:after="0" w:line="280" w:lineRule="exact"/>
        <w:contextualSpacing w:val="0"/>
        <w:jc w:val="both"/>
        <w:rPr>
          <w:rFonts w:eastAsia="Arial" w:cs="Arial"/>
          <w:b w:val="0"/>
          <w:vanish/>
          <w:lang w:val="en-GB"/>
        </w:rPr>
      </w:pPr>
    </w:p>
    <w:p w14:paraId="21E95413" w14:textId="77777777" w:rsidR="00A529DD" w:rsidRPr="0041608F" w:rsidRDefault="00A529DD" w:rsidP="008E4773">
      <w:pPr>
        <w:pStyle w:val="ListParagraph"/>
        <w:widowControl w:val="0"/>
        <w:numPr>
          <w:ilvl w:val="0"/>
          <w:numId w:val="8"/>
        </w:numPr>
        <w:tabs>
          <w:tab w:val="left" w:pos="567"/>
        </w:tabs>
        <w:spacing w:after="0" w:line="280" w:lineRule="exact"/>
        <w:contextualSpacing w:val="0"/>
        <w:jc w:val="both"/>
        <w:rPr>
          <w:rFonts w:eastAsia="Arial" w:cs="Arial"/>
          <w:b w:val="0"/>
          <w:vanish/>
          <w:lang w:val="en-GB"/>
        </w:rPr>
      </w:pPr>
    </w:p>
    <w:p w14:paraId="4FE3AB45" w14:textId="77777777" w:rsidR="00A529DD" w:rsidRPr="0041608F" w:rsidRDefault="00A529DD" w:rsidP="008E4773">
      <w:pPr>
        <w:pStyle w:val="ListParagraph"/>
        <w:widowControl w:val="0"/>
        <w:numPr>
          <w:ilvl w:val="0"/>
          <w:numId w:val="8"/>
        </w:numPr>
        <w:tabs>
          <w:tab w:val="left" w:pos="567"/>
        </w:tabs>
        <w:spacing w:after="0" w:line="280" w:lineRule="exact"/>
        <w:contextualSpacing w:val="0"/>
        <w:jc w:val="both"/>
        <w:rPr>
          <w:rFonts w:eastAsia="Arial" w:cs="Arial"/>
          <w:b w:val="0"/>
          <w:vanish/>
          <w:lang w:val="en-GB"/>
        </w:rPr>
      </w:pPr>
    </w:p>
    <w:p w14:paraId="2191F13E" w14:textId="77777777" w:rsidR="00C7655D" w:rsidRPr="0041608F" w:rsidRDefault="00C7655D" w:rsidP="008E4773">
      <w:pPr>
        <w:pStyle w:val="Bodytext22"/>
        <w:numPr>
          <w:ilvl w:val="1"/>
          <w:numId w:val="8"/>
        </w:numPr>
        <w:shd w:val="clear" w:color="auto" w:fill="auto"/>
        <w:tabs>
          <w:tab w:val="left" w:pos="718"/>
        </w:tabs>
        <w:spacing w:after="0" w:line="280" w:lineRule="exact"/>
        <w:rPr>
          <w:lang w:val="en-GB"/>
        </w:rPr>
      </w:pPr>
      <w:r w:rsidRPr="0041608F">
        <w:rPr>
          <w:lang w:val="en-GB"/>
        </w:rPr>
        <w:t>For the long-term capacity calculation timeframes, CNTC (Coordinated Net transmission Capacity) approach is applied in the Baltic CCR.</w:t>
      </w:r>
    </w:p>
    <w:p w14:paraId="52A657BD" w14:textId="14A25DCD" w:rsidR="00C90705" w:rsidRPr="0041608F" w:rsidRDefault="00A61C1C" w:rsidP="00C90705">
      <w:pPr>
        <w:pStyle w:val="Bodytext22"/>
        <w:numPr>
          <w:ilvl w:val="1"/>
          <w:numId w:val="8"/>
        </w:numPr>
        <w:shd w:val="clear" w:color="auto" w:fill="auto"/>
        <w:tabs>
          <w:tab w:val="left" w:pos="718"/>
        </w:tabs>
        <w:spacing w:after="0" w:line="280" w:lineRule="exact"/>
        <w:rPr>
          <w:lang w:val="en-GB"/>
        </w:rPr>
      </w:pPr>
      <w:bookmarkStart w:id="86" w:name="_Ref157676124"/>
      <w:r w:rsidRPr="0041608F">
        <w:rPr>
          <w:lang w:val="en-GB"/>
        </w:rPr>
        <w:t xml:space="preserve">Capacity Calculator </w:t>
      </w:r>
      <w:r w:rsidR="00385E33" w:rsidRPr="0041608F">
        <w:rPr>
          <w:lang w:val="en-GB"/>
        </w:rPr>
        <w:t xml:space="preserve">shall </w:t>
      </w:r>
      <w:r w:rsidRPr="0041608F">
        <w:rPr>
          <w:lang w:val="en-GB"/>
        </w:rPr>
        <w:t>calculate NTC value for Internal Baltic AC interconnecti</w:t>
      </w:r>
      <w:r w:rsidR="008A3082" w:rsidRPr="0041608F">
        <w:rPr>
          <w:lang w:val="en-GB"/>
        </w:rPr>
        <w:t xml:space="preserve">ons </w:t>
      </w:r>
      <w:r w:rsidRPr="0041608F">
        <w:rPr>
          <w:lang w:val="en-GB"/>
        </w:rPr>
        <w:t>following equation:</w:t>
      </w:r>
      <w:bookmarkEnd w:id="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10"/>
      </w:tblGrid>
      <w:tr w:rsidR="00C90705" w:rsidRPr="0041608F" w14:paraId="6B1C4906" w14:textId="77777777" w:rsidTr="0086498A">
        <w:tc>
          <w:tcPr>
            <w:tcW w:w="8926" w:type="dxa"/>
            <w:vAlign w:val="center"/>
          </w:tcPr>
          <w:p w14:paraId="3D18822E" w14:textId="1250FD87" w:rsidR="00C90705" w:rsidRPr="0041608F" w:rsidRDefault="00C90705" w:rsidP="00A66AD8">
            <w:pPr>
              <w:pStyle w:val="Bodytext22"/>
              <w:shd w:val="clear" w:color="auto" w:fill="auto"/>
              <w:tabs>
                <w:tab w:val="left" w:pos="718"/>
              </w:tabs>
              <w:spacing w:after="0" w:line="280" w:lineRule="exact"/>
              <w:ind w:firstLine="0"/>
              <w:jc w:val="center"/>
              <w:rPr>
                <w:lang w:val="en-GB"/>
              </w:rPr>
            </w:pPr>
            <w:r w:rsidRPr="0041608F">
              <w:rPr>
                <w:lang w:val="en-GB"/>
              </w:rPr>
              <w:t>NTC = TTC – TRM</w:t>
            </w:r>
          </w:p>
        </w:tc>
        <w:tc>
          <w:tcPr>
            <w:tcW w:w="810" w:type="dxa"/>
            <w:vAlign w:val="center"/>
          </w:tcPr>
          <w:p w14:paraId="7046E717" w14:textId="1F644D38" w:rsidR="00C90705" w:rsidRPr="0041608F" w:rsidRDefault="00C90705" w:rsidP="0086498A">
            <w:pPr>
              <w:pStyle w:val="Bodytext22"/>
              <w:shd w:val="clear" w:color="auto" w:fill="auto"/>
              <w:tabs>
                <w:tab w:val="left" w:pos="718"/>
              </w:tabs>
              <w:spacing w:after="0" w:line="280" w:lineRule="exact"/>
              <w:ind w:firstLine="0"/>
              <w:jc w:val="right"/>
              <w:rPr>
                <w:lang w:val="en-GB"/>
              </w:rPr>
            </w:pPr>
            <w:bookmarkStart w:id="87" w:name="_Ref157675858"/>
            <w:r w:rsidRPr="0041608F">
              <w:rPr>
                <w:lang w:val="en-GB"/>
              </w:rPr>
              <w:t>(</w:t>
            </w:r>
            <w:r w:rsidRPr="00A66AD8">
              <w:rPr>
                <w:lang w:val="en-GB"/>
              </w:rPr>
              <w:fldChar w:fldCharType="begin"/>
            </w:r>
            <w:r w:rsidRPr="00A66AD8">
              <w:rPr>
                <w:lang w:val="en-GB"/>
              </w:rPr>
              <w:instrText xml:space="preserve"> SEQ Equation \* ARABIC </w:instrText>
            </w:r>
            <w:r w:rsidRPr="00A66AD8">
              <w:rPr>
                <w:lang w:val="en-GB"/>
              </w:rPr>
              <w:fldChar w:fldCharType="separate"/>
            </w:r>
            <w:r w:rsidR="00D71607">
              <w:rPr>
                <w:noProof/>
                <w:lang w:val="en-GB"/>
              </w:rPr>
              <w:t>5</w:t>
            </w:r>
            <w:r w:rsidRPr="00A66AD8">
              <w:rPr>
                <w:lang w:val="en-GB"/>
              </w:rPr>
              <w:fldChar w:fldCharType="end"/>
            </w:r>
            <w:r w:rsidRPr="00A66AD8">
              <w:rPr>
                <w:lang w:val="en-GB"/>
              </w:rPr>
              <w:t>)</w:t>
            </w:r>
            <w:bookmarkEnd w:id="87"/>
          </w:p>
        </w:tc>
      </w:tr>
    </w:tbl>
    <w:p w14:paraId="58E7EFC7" w14:textId="77777777" w:rsidR="00A61C1C" w:rsidRPr="0041608F" w:rsidRDefault="00A61C1C" w:rsidP="00A66AD8">
      <w:pPr>
        <w:pStyle w:val="Bodytext22"/>
        <w:shd w:val="clear" w:color="auto" w:fill="auto"/>
        <w:spacing w:after="170" w:line="283" w:lineRule="exact"/>
        <w:ind w:firstLine="0"/>
        <w:rPr>
          <w:sz w:val="24"/>
          <w:lang w:val="en-GB"/>
        </w:rPr>
      </w:pPr>
      <w:r w:rsidRPr="0041608F">
        <w:rPr>
          <w:lang w:val="en-GB"/>
        </w:rPr>
        <w:t>where:</w:t>
      </w:r>
    </w:p>
    <w:p w14:paraId="54E6954F" w14:textId="3C6B30D6" w:rsidR="00A61C1C" w:rsidRPr="0041608F" w:rsidRDefault="00A61C1C" w:rsidP="00A61C1C">
      <w:pPr>
        <w:spacing w:line="280" w:lineRule="exact"/>
        <w:rPr>
          <w:sz w:val="24"/>
          <w:lang w:val="en-GB"/>
        </w:rPr>
      </w:pPr>
      <w:r w:rsidRPr="0041608F">
        <w:rPr>
          <w:b/>
          <w:bCs/>
          <w:lang w:val="en-GB"/>
        </w:rPr>
        <w:t>TTC</w:t>
      </w:r>
      <w:r w:rsidRPr="0041608F">
        <w:rPr>
          <w:lang w:val="en-GB"/>
        </w:rPr>
        <w:t xml:space="preserve"> - Total Transfer Capacity according to actual power system network status, identified during TTC evaluation, defined in Section</w:t>
      </w:r>
      <w:r w:rsidR="00B15DD3" w:rsidRPr="0041608F">
        <w:rPr>
          <w:lang w:val="en-GB"/>
        </w:rPr>
        <w:t xml:space="preserve"> </w:t>
      </w:r>
      <w:r w:rsidR="009F64D7" w:rsidRPr="0041608F">
        <w:rPr>
          <w:lang w:val="en-GB"/>
        </w:rPr>
        <w:fldChar w:fldCharType="begin"/>
      </w:r>
      <w:r w:rsidR="009F64D7" w:rsidRPr="0041608F">
        <w:rPr>
          <w:lang w:val="en-GB"/>
        </w:rPr>
        <w:instrText xml:space="preserve"> REF _Ref151043228 \r \h </w:instrText>
      </w:r>
      <w:r w:rsidR="002712CC" w:rsidRPr="0041608F">
        <w:rPr>
          <w:lang w:val="en-GB"/>
        </w:rPr>
        <w:instrText xml:space="preserve"> \* MERGEFORMAT </w:instrText>
      </w:r>
      <w:r w:rsidR="009F64D7" w:rsidRPr="0041608F">
        <w:rPr>
          <w:lang w:val="en-GB"/>
        </w:rPr>
      </w:r>
      <w:r w:rsidR="009F64D7" w:rsidRPr="0041608F">
        <w:rPr>
          <w:lang w:val="en-GB"/>
        </w:rPr>
        <w:fldChar w:fldCharType="separate"/>
      </w:r>
      <w:r w:rsidR="00D71607">
        <w:rPr>
          <w:lang w:val="en-GB"/>
        </w:rPr>
        <w:t>8</w:t>
      </w:r>
      <w:r w:rsidR="009F64D7" w:rsidRPr="0041608F">
        <w:rPr>
          <w:lang w:val="en-GB"/>
        </w:rPr>
        <w:fldChar w:fldCharType="end"/>
      </w:r>
      <w:r w:rsidRPr="0041608F">
        <w:rPr>
          <w:lang w:val="en-GB"/>
        </w:rPr>
        <w:t xml:space="preserve">; </w:t>
      </w:r>
    </w:p>
    <w:p w14:paraId="2CFAE6BF" w14:textId="06F2402F" w:rsidR="00A61C1C" w:rsidRPr="0041608F" w:rsidRDefault="00A61C1C" w:rsidP="00A61C1C">
      <w:pPr>
        <w:spacing w:line="280" w:lineRule="exact"/>
        <w:rPr>
          <w:sz w:val="24"/>
          <w:lang w:val="en-GB"/>
        </w:rPr>
      </w:pPr>
      <w:r w:rsidRPr="0041608F">
        <w:rPr>
          <w:b/>
          <w:bCs/>
          <w:lang w:val="en-GB"/>
        </w:rPr>
        <w:t>TRM</w:t>
      </w:r>
      <w:r w:rsidRPr="0041608F">
        <w:rPr>
          <w:lang w:val="en-GB"/>
        </w:rPr>
        <w:t xml:space="preserve"> - transmission reliability margin value calculated according to the methodology described in Section </w:t>
      </w:r>
      <w:r w:rsidR="002712CC" w:rsidRPr="0041608F">
        <w:rPr>
          <w:lang w:val="en-GB"/>
        </w:rPr>
        <w:fldChar w:fldCharType="begin"/>
      </w:r>
      <w:r w:rsidR="002712CC" w:rsidRPr="0041608F">
        <w:rPr>
          <w:lang w:val="en-GB"/>
        </w:rPr>
        <w:instrText xml:space="preserve"> REF _Ref153271016 \r \h  \* MERGEFORMAT </w:instrText>
      </w:r>
      <w:r w:rsidR="002712CC" w:rsidRPr="0041608F">
        <w:rPr>
          <w:lang w:val="en-GB"/>
        </w:rPr>
      </w:r>
      <w:r w:rsidR="002712CC" w:rsidRPr="0041608F">
        <w:rPr>
          <w:lang w:val="en-GB"/>
        </w:rPr>
        <w:fldChar w:fldCharType="separate"/>
      </w:r>
      <w:r w:rsidR="00D71607">
        <w:rPr>
          <w:lang w:val="en-GB"/>
        </w:rPr>
        <w:t>3</w:t>
      </w:r>
      <w:r w:rsidR="002712CC" w:rsidRPr="0041608F">
        <w:rPr>
          <w:lang w:val="en-GB"/>
        </w:rPr>
        <w:fldChar w:fldCharType="end"/>
      </w:r>
      <w:r w:rsidRPr="0041608F">
        <w:rPr>
          <w:lang w:val="en-GB"/>
        </w:rPr>
        <w:t xml:space="preserve"> of this Methodology</w:t>
      </w:r>
      <w:r w:rsidR="00940189" w:rsidRPr="0041608F">
        <w:rPr>
          <w:lang w:val="en-GB"/>
        </w:rPr>
        <w:t>.</w:t>
      </w:r>
    </w:p>
    <w:p w14:paraId="40DC2C33" w14:textId="468A05E2" w:rsidR="00A61C1C" w:rsidRPr="0041608F" w:rsidRDefault="00B75D25" w:rsidP="008E4773">
      <w:pPr>
        <w:pStyle w:val="Bodytext22"/>
        <w:numPr>
          <w:ilvl w:val="1"/>
          <w:numId w:val="8"/>
        </w:numPr>
        <w:shd w:val="clear" w:color="auto" w:fill="auto"/>
        <w:tabs>
          <w:tab w:val="left" w:pos="567"/>
        </w:tabs>
        <w:spacing w:after="0" w:line="280" w:lineRule="exact"/>
        <w:rPr>
          <w:lang w:val="en-GB"/>
        </w:rPr>
      </w:pPr>
      <w:r w:rsidRPr="0041608F">
        <w:rPr>
          <w:lang w:val="en-GB"/>
        </w:rPr>
        <w:t xml:space="preserve">In case if during capacity validation process neighbouring TSOs determine different NTC values for the same Cross-Border Interconnection the lowest value shall be used as a coordinated value. </w:t>
      </w:r>
    </w:p>
    <w:p w14:paraId="100E20EB" w14:textId="418B245D" w:rsidR="00F76E41" w:rsidRPr="0041608F" w:rsidRDefault="008B4192" w:rsidP="00607C14">
      <w:pPr>
        <w:pStyle w:val="Bodytext22"/>
        <w:numPr>
          <w:ilvl w:val="1"/>
          <w:numId w:val="8"/>
        </w:numPr>
        <w:shd w:val="clear" w:color="auto" w:fill="auto"/>
        <w:tabs>
          <w:tab w:val="left" w:pos="567"/>
        </w:tabs>
        <w:spacing w:line="280" w:lineRule="exact"/>
        <w:rPr>
          <w:lang w:val="en-GB"/>
        </w:rPr>
      </w:pPr>
      <w:bookmarkStart w:id="88" w:name="_Ref146027139"/>
      <w:r w:rsidRPr="0041608F">
        <w:rPr>
          <w:lang w:val="en-GB"/>
        </w:rPr>
        <w:t xml:space="preserve">Trading Capacity shall be defined for both interconnection directions </w:t>
      </w:r>
      <w:r w:rsidRPr="00A66AD8">
        <w:rPr>
          <w:lang w:val="en-GB"/>
        </w:rPr>
        <w:t>according to formula</w:t>
      </w:r>
      <w:r w:rsidR="006D2082">
        <w:rPr>
          <w:lang w:val="en-GB"/>
        </w:rPr>
        <w:t xml:space="preserve"> </w:t>
      </w:r>
      <w:r w:rsidR="00656A95" w:rsidRPr="00A66AD8">
        <w:rPr>
          <w:lang w:val="en-GB"/>
        </w:rPr>
        <w:fldChar w:fldCharType="begin"/>
      </w:r>
      <w:r w:rsidR="00656A95" w:rsidRPr="00A66AD8">
        <w:rPr>
          <w:lang w:val="en-GB"/>
        </w:rPr>
        <w:instrText xml:space="preserve"> REF _Ref157675858 \h </w:instrText>
      </w:r>
      <w:r w:rsidR="00E00777">
        <w:rPr>
          <w:lang w:val="en-GB"/>
        </w:rPr>
        <w:instrText xml:space="preserve"> \* MERGEFORMAT </w:instrText>
      </w:r>
      <w:r w:rsidR="00656A95" w:rsidRPr="00A66AD8">
        <w:rPr>
          <w:lang w:val="en-GB"/>
        </w:rPr>
      </w:r>
      <w:r w:rsidR="00656A95" w:rsidRPr="00A66AD8">
        <w:rPr>
          <w:lang w:val="en-GB"/>
        </w:rPr>
        <w:fldChar w:fldCharType="separate"/>
      </w:r>
      <w:r w:rsidR="00D71607" w:rsidRPr="0041608F">
        <w:rPr>
          <w:lang w:val="en-GB"/>
        </w:rPr>
        <w:t>(</w:t>
      </w:r>
      <w:r w:rsidR="00D71607">
        <w:rPr>
          <w:noProof/>
          <w:lang w:val="en-GB"/>
        </w:rPr>
        <w:t>5</w:t>
      </w:r>
      <w:r w:rsidR="00D71607" w:rsidRPr="00A66AD8">
        <w:rPr>
          <w:lang w:val="en-GB"/>
        </w:rPr>
        <w:t>)</w:t>
      </w:r>
      <w:r w:rsidR="00656A95" w:rsidRPr="00A66AD8">
        <w:rPr>
          <w:lang w:val="en-GB"/>
        </w:rPr>
        <w:fldChar w:fldCharType="end"/>
      </w:r>
      <w:r w:rsidRPr="00A66AD8">
        <w:rPr>
          <w:lang w:val="en-GB"/>
        </w:rPr>
        <w:t>.</w:t>
      </w:r>
      <w:r w:rsidRPr="0041608F">
        <w:rPr>
          <w:lang w:val="en-GB"/>
        </w:rPr>
        <w:t xml:space="preserve"> In case if during capacity validation process different NTC values are </w:t>
      </w:r>
      <w:r w:rsidR="00A42483" w:rsidRPr="0041608F">
        <w:rPr>
          <w:lang w:val="en-GB"/>
        </w:rPr>
        <w:t xml:space="preserve">calculated </w:t>
      </w:r>
      <w:r w:rsidRPr="0041608F">
        <w:rPr>
          <w:lang w:val="en-GB"/>
        </w:rPr>
        <w:t>for the same Cross-Border Interconnection direction the lowest value shall be used as a coordinated value.</w:t>
      </w:r>
      <w:bookmarkEnd w:id="8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27"/>
      </w:tblGrid>
      <w:tr w:rsidR="00D523CB" w:rsidRPr="0041608F" w14:paraId="4C5B6D1F" w14:textId="77777777" w:rsidTr="0041608F">
        <w:tc>
          <w:tcPr>
            <w:tcW w:w="9209" w:type="dxa"/>
            <w:vAlign w:val="center"/>
          </w:tcPr>
          <w:p w14:paraId="1D8A1CC5" w14:textId="346E6EB2" w:rsidR="00D523CB" w:rsidRPr="0041608F" w:rsidRDefault="00D523CB" w:rsidP="0041608F">
            <w:pPr>
              <w:pStyle w:val="Bodytext22"/>
              <w:shd w:val="clear" w:color="auto" w:fill="auto"/>
              <w:tabs>
                <w:tab w:val="left" w:pos="567"/>
              </w:tabs>
              <w:spacing w:line="280" w:lineRule="exact"/>
              <w:ind w:firstLine="0"/>
              <w:jc w:val="center"/>
              <w:rPr>
                <w:lang w:val="en-GB"/>
              </w:rPr>
            </w:pPr>
            <w:r w:rsidRPr="0041608F">
              <w:rPr>
                <w:rStyle w:val="Bodytext1011pt"/>
                <w:bCs/>
              </w:rPr>
              <w:lastRenderedPageBreak/>
              <w:t>NTC</w:t>
            </w:r>
            <w:r w:rsidRPr="0041608F">
              <w:rPr>
                <w:rStyle w:val="Bodytext1011pt"/>
                <w:bCs/>
                <w:vertAlign w:val="subscript"/>
              </w:rPr>
              <w:t>A-B; B-A</w:t>
            </w:r>
            <w:r w:rsidRPr="0041608F">
              <w:rPr>
                <w:rStyle w:val="Bodytext1011pt"/>
                <w:bCs/>
              </w:rPr>
              <w:t>= min (A NTC</w:t>
            </w:r>
            <w:r w:rsidRPr="0041608F">
              <w:rPr>
                <w:rStyle w:val="Bodytext1011pt"/>
                <w:bCs/>
                <w:vertAlign w:val="subscript"/>
              </w:rPr>
              <w:t>A-B</w:t>
            </w:r>
            <w:r w:rsidRPr="0041608F">
              <w:rPr>
                <w:rStyle w:val="Bodytext1011pt"/>
                <w:bCs/>
              </w:rPr>
              <w:t>; B NTC</w:t>
            </w:r>
            <w:r w:rsidRPr="0041608F">
              <w:rPr>
                <w:rStyle w:val="Bodytext1011pt"/>
                <w:bCs/>
                <w:vertAlign w:val="subscript"/>
              </w:rPr>
              <w:t>A-B</w:t>
            </w:r>
            <w:r w:rsidRPr="0041608F">
              <w:rPr>
                <w:rStyle w:val="Bodytext1011pt"/>
                <w:bCs/>
              </w:rPr>
              <w:t>); min (A NTC</w:t>
            </w:r>
            <w:r w:rsidRPr="0041608F">
              <w:rPr>
                <w:rStyle w:val="Bodytext1011pt"/>
                <w:bCs/>
                <w:vertAlign w:val="subscript"/>
              </w:rPr>
              <w:t>B-A</w:t>
            </w:r>
            <w:r w:rsidRPr="0041608F">
              <w:rPr>
                <w:rStyle w:val="Bodytext1011pt"/>
                <w:bCs/>
              </w:rPr>
              <w:t>; B NTC</w:t>
            </w:r>
            <w:r w:rsidRPr="0041608F">
              <w:rPr>
                <w:rStyle w:val="Bodytext1011pt"/>
                <w:bCs/>
                <w:vertAlign w:val="subscript"/>
              </w:rPr>
              <w:t>B-A</w:t>
            </w:r>
            <w:r w:rsidRPr="0041608F">
              <w:rPr>
                <w:rStyle w:val="Bodytext1011pt"/>
                <w:bCs/>
              </w:rPr>
              <w:t>)</w:t>
            </w:r>
          </w:p>
        </w:tc>
        <w:tc>
          <w:tcPr>
            <w:tcW w:w="527" w:type="dxa"/>
          </w:tcPr>
          <w:p w14:paraId="567E7500" w14:textId="35148D8D" w:rsidR="00D523CB" w:rsidRPr="0041608F" w:rsidRDefault="00D523CB" w:rsidP="00D523CB">
            <w:pPr>
              <w:pStyle w:val="Bodytext22"/>
              <w:shd w:val="clear" w:color="auto" w:fill="auto"/>
              <w:tabs>
                <w:tab w:val="left" w:pos="567"/>
              </w:tabs>
              <w:spacing w:line="280" w:lineRule="exact"/>
              <w:ind w:firstLine="0"/>
              <w:rPr>
                <w:lang w:val="en-GB"/>
              </w:rPr>
            </w:pPr>
            <w:bookmarkStart w:id="89" w:name="_Ref157675437"/>
            <w:r w:rsidRPr="0041608F">
              <w:rPr>
                <w:lang w:val="en-GB"/>
              </w:rPr>
              <w:t>(</w:t>
            </w:r>
            <w:r w:rsidRPr="0041608F">
              <w:rPr>
                <w:lang w:val="en-GB"/>
              </w:rPr>
              <w:fldChar w:fldCharType="begin"/>
            </w:r>
            <w:r w:rsidRPr="0041608F">
              <w:rPr>
                <w:lang w:val="en-GB"/>
              </w:rPr>
              <w:instrText xml:space="preserve"> SEQ Equation \* ARABIC </w:instrText>
            </w:r>
            <w:r w:rsidRPr="0041608F">
              <w:rPr>
                <w:lang w:val="en-GB"/>
              </w:rPr>
              <w:fldChar w:fldCharType="separate"/>
            </w:r>
            <w:r w:rsidR="00D71607">
              <w:rPr>
                <w:noProof/>
                <w:lang w:val="en-GB"/>
              </w:rPr>
              <w:t>6</w:t>
            </w:r>
            <w:r w:rsidRPr="0041608F">
              <w:rPr>
                <w:lang w:val="en-GB"/>
              </w:rPr>
              <w:fldChar w:fldCharType="end"/>
            </w:r>
            <w:bookmarkEnd w:id="89"/>
            <w:r w:rsidRPr="0041608F">
              <w:rPr>
                <w:lang w:val="en-GB"/>
              </w:rPr>
              <w:t>)</w:t>
            </w:r>
          </w:p>
        </w:tc>
      </w:tr>
    </w:tbl>
    <w:p w14:paraId="14D96F72" w14:textId="3DEB8BDE" w:rsidR="00AF5A28" w:rsidRPr="0041608F" w:rsidRDefault="00AF5A28" w:rsidP="00AF5A28">
      <w:pPr>
        <w:pStyle w:val="Bodytext22"/>
        <w:shd w:val="clear" w:color="auto" w:fill="auto"/>
        <w:tabs>
          <w:tab w:val="left" w:pos="567"/>
        </w:tabs>
        <w:spacing w:after="0" w:line="280" w:lineRule="exact"/>
        <w:ind w:firstLine="0"/>
        <w:rPr>
          <w:rStyle w:val="Bodytext1011pt"/>
        </w:rPr>
      </w:pPr>
      <w:r w:rsidRPr="0041608F">
        <w:rPr>
          <w:rStyle w:val="Bodytext1011pt"/>
        </w:rPr>
        <w:t>where:</w:t>
      </w:r>
    </w:p>
    <w:p w14:paraId="00041442" w14:textId="23878679" w:rsidR="00AF5A28" w:rsidRPr="0041608F" w:rsidRDefault="00FF6BD0" w:rsidP="004C60FE">
      <w:pPr>
        <w:pStyle w:val="Bodytext22"/>
        <w:shd w:val="clear" w:color="auto" w:fill="auto"/>
        <w:tabs>
          <w:tab w:val="left" w:pos="567"/>
        </w:tabs>
        <w:spacing w:after="0" w:line="280" w:lineRule="exact"/>
        <w:ind w:firstLine="0"/>
        <w:rPr>
          <w:rStyle w:val="Bodytext1011pt"/>
        </w:rPr>
      </w:pPr>
      <w:r w:rsidRPr="0041608F">
        <w:rPr>
          <w:rStyle w:val="Bodytext1011pt"/>
          <w:b/>
          <w:bCs/>
        </w:rPr>
        <w:t>NTC</w:t>
      </w:r>
      <w:r w:rsidRPr="0041608F">
        <w:rPr>
          <w:rStyle w:val="Bodytext1011pt"/>
          <w:b/>
          <w:bCs/>
          <w:vertAlign w:val="subscript"/>
        </w:rPr>
        <w:t>A-B;</w:t>
      </w:r>
      <w:r w:rsidR="0093503C" w:rsidRPr="0041608F">
        <w:rPr>
          <w:rStyle w:val="Bodytext1011pt"/>
          <w:b/>
          <w:bCs/>
          <w:vertAlign w:val="subscript"/>
        </w:rPr>
        <w:t xml:space="preserve"> </w:t>
      </w:r>
      <w:r w:rsidRPr="0041608F">
        <w:rPr>
          <w:rStyle w:val="Bodytext1011pt"/>
          <w:b/>
          <w:bCs/>
          <w:vertAlign w:val="subscript"/>
        </w:rPr>
        <w:t xml:space="preserve">B-A </w:t>
      </w:r>
      <w:r w:rsidRPr="0041608F">
        <w:rPr>
          <w:rStyle w:val="Bodytext1011pt"/>
        </w:rPr>
        <w:t>– coordinated NTC value</w:t>
      </w:r>
      <w:r w:rsidR="00C11607" w:rsidRPr="0041608F">
        <w:rPr>
          <w:rStyle w:val="Bodytext1011pt"/>
        </w:rPr>
        <w:t>s</w:t>
      </w:r>
      <w:r w:rsidR="00030681" w:rsidRPr="0041608F">
        <w:rPr>
          <w:rStyle w:val="Bodytext1011pt"/>
        </w:rPr>
        <w:t xml:space="preserve"> according to formula </w:t>
      </w:r>
      <w:r w:rsidR="00656A95">
        <w:rPr>
          <w:rStyle w:val="Bodytext1011pt"/>
        </w:rPr>
        <w:fldChar w:fldCharType="begin"/>
      </w:r>
      <w:r w:rsidR="00656A95">
        <w:rPr>
          <w:rStyle w:val="Bodytext1011pt"/>
        </w:rPr>
        <w:instrText xml:space="preserve"> REF _Ref157675858 \h </w:instrText>
      </w:r>
      <w:r w:rsidR="00656A95">
        <w:rPr>
          <w:rStyle w:val="Bodytext1011pt"/>
        </w:rPr>
      </w:r>
      <w:r w:rsidR="00656A95">
        <w:rPr>
          <w:rStyle w:val="Bodytext1011pt"/>
        </w:rPr>
        <w:fldChar w:fldCharType="separate"/>
      </w:r>
      <w:r w:rsidR="00D71607" w:rsidRPr="0041608F">
        <w:rPr>
          <w:lang w:val="en-GB"/>
        </w:rPr>
        <w:t>(</w:t>
      </w:r>
      <w:r w:rsidR="00D71607">
        <w:rPr>
          <w:noProof/>
          <w:lang w:val="en-GB"/>
        </w:rPr>
        <w:t>5</w:t>
      </w:r>
      <w:r w:rsidR="00D71607" w:rsidRPr="00A66AD8">
        <w:rPr>
          <w:lang w:val="en-GB"/>
        </w:rPr>
        <w:t>)</w:t>
      </w:r>
      <w:r w:rsidR="00656A95">
        <w:rPr>
          <w:rStyle w:val="Bodytext1011pt"/>
        </w:rPr>
        <w:fldChar w:fldCharType="end"/>
      </w:r>
      <w:r w:rsidR="000C2F9D">
        <w:rPr>
          <w:rStyle w:val="Bodytext1011pt"/>
        </w:rPr>
        <w:t xml:space="preserve"> </w:t>
      </w:r>
      <w:r w:rsidR="00C11607" w:rsidRPr="0041608F">
        <w:rPr>
          <w:rStyle w:val="Bodytext1011pt"/>
        </w:rPr>
        <w:t xml:space="preserve">for each interconnection direction between area </w:t>
      </w:r>
      <w:r w:rsidR="00C11607" w:rsidRPr="0041608F">
        <w:rPr>
          <w:rStyle w:val="Bodytext1011pt"/>
          <w:sz w:val="20"/>
          <w:szCs w:val="20"/>
        </w:rPr>
        <w:t>A and</w:t>
      </w:r>
      <w:r w:rsidR="00C11607" w:rsidRPr="0041608F">
        <w:rPr>
          <w:rStyle w:val="Bodytext1011pt"/>
        </w:rPr>
        <w:t xml:space="preserve"> </w:t>
      </w:r>
      <w:proofErr w:type="gramStart"/>
      <w:r w:rsidR="00C11607" w:rsidRPr="0041608F">
        <w:rPr>
          <w:rStyle w:val="Bodytext1011pt"/>
          <w:sz w:val="20"/>
          <w:szCs w:val="20"/>
        </w:rPr>
        <w:t>B</w:t>
      </w:r>
      <w:r w:rsidR="004C60FE" w:rsidRPr="0041608F">
        <w:rPr>
          <w:rStyle w:val="Bodytext1011pt"/>
          <w:sz w:val="20"/>
          <w:szCs w:val="20"/>
        </w:rPr>
        <w:t>;</w:t>
      </w:r>
      <w:proofErr w:type="gramEnd"/>
    </w:p>
    <w:p w14:paraId="1D8107F6" w14:textId="3CC83982" w:rsidR="00133BAA" w:rsidRPr="00C16271" w:rsidRDefault="00133BAA" w:rsidP="00AF5A28">
      <w:pPr>
        <w:pStyle w:val="Bodytext22"/>
        <w:shd w:val="clear" w:color="auto" w:fill="auto"/>
        <w:tabs>
          <w:tab w:val="left" w:pos="567"/>
        </w:tabs>
        <w:spacing w:after="0" w:line="280" w:lineRule="exact"/>
        <w:ind w:firstLine="0"/>
        <w:rPr>
          <w:lang w:val="en-GB"/>
        </w:rPr>
      </w:pPr>
      <w:r w:rsidRPr="0041608F">
        <w:rPr>
          <w:rStyle w:val="Bodytext1011pt"/>
          <w:b/>
          <w:bCs/>
        </w:rPr>
        <w:t>A NTC</w:t>
      </w:r>
      <w:r w:rsidRPr="0041608F">
        <w:rPr>
          <w:rStyle w:val="Bodytext1011pt"/>
          <w:b/>
          <w:bCs/>
          <w:vertAlign w:val="subscript"/>
        </w:rPr>
        <w:t>A-B</w:t>
      </w:r>
      <w:r w:rsidRPr="0041608F">
        <w:rPr>
          <w:rStyle w:val="Bodytext1011pt"/>
          <w:b/>
          <w:bCs/>
        </w:rPr>
        <w:t>; A NTC</w:t>
      </w:r>
      <w:r w:rsidRPr="0041608F">
        <w:rPr>
          <w:rStyle w:val="Bodytext1011pt"/>
          <w:b/>
          <w:bCs/>
          <w:vertAlign w:val="subscript"/>
        </w:rPr>
        <w:t>B-A</w:t>
      </w:r>
      <w:r w:rsidRPr="0041608F">
        <w:rPr>
          <w:rStyle w:val="Bodytext1011pt"/>
          <w:vertAlign w:val="subscript"/>
        </w:rPr>
        <w:t xml:space="preserve"> </w:t>
      </w:r>
      <w:r w:rsidRPr="0041608F">
        <w:rPr>
          <w:rStyle w:val="Bodytext1011pt"/>
        </w:rPr>
        <w:t xml:space="preserve">– </w:t>
      </w:r>
      <w:r w:rsidR="00A42483" w:rsidRPr="0041608F">
        <w:rPr>
          <w:rStyle w:val="Bodytext1011pt"/>
        </w:rPr>
        <w:t>as calculated</w:t>
      </w:r>
      <w:r w:rsidR="002F5A0D">
        <w:rPr>
          <w:rStyle w:val="Bodytext1011pt"/>
        </w:rPr>
        <w:t xml:space="preserve"> by party A</w:t>
      </w:r>
      <w:r w:rsidR="00A42483" w:rsidRPr="0041608F">
        <w:rPr>
          <w:rStyle w:val="Bodytext1011pt"/>
        </w:rPr>
        <w:t xml:space="preserve"> according to </w:t>
      </w:r>
      <w:r w:rsidR="00030681" w:rsidRPr="00D8091E">
        <w:rPr>
          <w:rStyle w:val="Bodytext1011pt"/>
        </w:rPr>
        <w:t xml:space="preserve">formula </w:t>
      </w:r>
      <w:r w:rsidR="00E00777" w:rsidRPr="00D8091E">
        <w:rPr>
          <w:rStyle w:val="Bodytext1011pt"/>
        </w:rPr>
        <w:fldChar w:fldCharType="begin"/>
      </w:r>
      <w:r w:rsidR="00E00777" w:rsidRPr="00D8091E">
        <w:rPr>
          <w:rStyle w:val="Bodytext1011pt"/>
        </w:rPr>
        <w:instrText xml:space="preserve"> REF _Ref157675858 \h </w:instrText>
      </w:r>
      <w:r w:rsidR="00C16271">
        <w:rPr>
          <w:rStyle w:val="Bodytext1011pt"/>
        </w:rPr>
        <w:instrText xml:space="preserve"> \* MERGEFORMAT </w:instrText>
      </w:r>
      <w:r w:rsidR="00E00777" w:rsidRPr="00D8091E">
        <w:rPr>
          <w:rStyle w:val="Bodytext1011pt"/>
        </w:rPr>
      </w:r>
      <w:r w:rsidR="00E00777" w:rsidRPr="00D8091E">
        <w:rPr>
          <w:rStyle w:val="Bodytext1011pt"/>
        </w:rPr>
        <w:fldChar w:fldCharType="separate"/>
      </w:r>
      <w:r w:rsidR="00D71607" w:rsidRPr="0041608F">
        <w:rPr>
          <w:lang w:val="en-GB"/>
        </w:rPr>
        <w:t>(</w:t>
      </w:r>
      <w:r w:rsidR="00D71607">
        <w:rPr>
          <w:noProof/>
          <w:lang w:val="en-GB"/>
        </w:rPr>
        <w:t>5</w:t>
      </w:r>
      <w:r w:rsidR="00D71607" w:rsidRPr="00A66AD8">
        <w:rPr>
          <w:lang w:val="en-GB"/>
        </w:rPr>
        <w:t>)</w:t>
      </w:r>
      <w:r w:rsidR="00E00777" w:rsidRPr="00D8091E">
        <w:rPr>
          <w:rStyle w:val="Bodytext1011pt"/>
        </w:rPr>
        <w:fldChar w:fldCharType="end"/>
      </w:r>
      <w:r w:rsidRPr="00C16271">
        <w:rPr>
          <w:rStyle w:val="Bodytext1011pt"/>
        </w:rPr>
        <w:t>;</w:t>
      </w:r>
    </w:p>
    <w:p w14:paraId="68EF973F" w14:textId="2EDCCE68" w:rsidR="00FA3739" w:rsidRPr="0041608F" w:rsidRDefault="00FA3739" w:rsidP="00FA3739">
      <w:pPr>
        <w:pStyle w:val="Bodytext22"/>
        <w:shd w:val="clear" w:color="auto" w:fill="auto"/>
        <w:tabs>
          <w:tab w:val="left" w:pos="567"/>
        </w:tabs>
        <w:spacing w:after="0" w:line="280" w:lineRule="exact"/>
        <w:ind w:firstLine="0"/>
        <w:rPr>
          <w:lang w:val="en-GB"/>
        </w:rPr>
      </w:pPr>
      <w:r w:rsidRPr="00C16271">
        <w:rPr>
          <w:rStyle w:val="Bodytext1011pt"/>
          <w:b/>
          <w:bCs/>
        </w:rPr>
        <w:t>B NTC</w:t>
      </w:r>
      <w:r w:rsidRPr="00C16271">
        <w:rPr>
          <w:rStyle w:val="Bodytext1011pt"/>
          <w:b/>
          <w:bCs/>
          <w:vertAlign w:val="subscript"/>
        </w:rPr>
        <w:t>A-B</w:t>
      </w:r>
      <w:r w:rsidRPr="00C16271">
        <w:rPr>
          <w:rStyle w:val="Bodytext1011pt"/>
          <w:b/>
          <w:bCs/>
        </w:rPr>
        <w:t>; B NTC</w:t>
      </w:r>
      <w:r w:rsidRPr="00C16271">
        <w:rPr>
          <w:rStyle w:val="Bodytext1011pt"/>
          <w:b/>
          <w:bCs/>
          <w:vertAlign w:val="subscript"/>
        </w:rPr>
        <w:t>B-A</w:t>
      </w:r>
      <w:r w:rsidRPr="00C16271">
        <w:rPr>
          <w:rStyle w:val="Bodytext1011pt"/>
          <w:vertAlign w:val="subscript"/>
        </w:rPr>
        <w:t xml:space="preserve"> </w:t>
      </w:r>
      <w:r w:rsidRPr="00C16271">
        <w:rPr>
          <w:rStyle w:val="Bodytext1011pt"/>
        </w:rPr>
        <w:t xml:space="preserve">– </w:t>
      </w:r>
      <w:r w:rsidR="00A42483" w:rsidRPr="00C16271">
        <w:rPr>
          <w:rStyle w:val="Bodytext1011pt"/>
        </w:rPr>
        <w:t>as calculated</w:t>
      </w:r>
      <w:r w:rsidR="002F5A0D" w:rsidRPr="00C16271">
        <w:rPr>
          <w:rStyle w:val="Bodytext1011pt"/>
        </w:rPr>
        <w:t xml:space="preserve"> by party B</w:t>
      </w:r>
      <w:r w:rsidR="00A42483" w:rsidRPr="00C16271">
        <w:rPr>
          <w:rStyle w:val="Bodytext1011pt"/>
        </w:rPr>
        <w:t xml:space="preserve"> according </w:t>
      </w:r>
      <w:r w:rsidR="00A42483" w:rsidRPr="00D8091E">
        <w:rPr>
          <w:rStyle w:val="Bodytext1011pt"/>
        </w:rPr>
        <w:t xml:space="preserve">to </w:t>
      </w:r>
      <w:r w:rsidR="00030681" w:rsidRPr="00D8091E">
        <w:rPr>
          <w:rStyle w:val="Bodytext1011pt"/>
        </w:rPr>
        <w:t xml:space="preserve">formula </w:t>
      </w:r>
      <w:r w:rsidR="00E00777" w:rsidRPr="00D8091E">
        <w:rPr>
          <w:rStyle w:val="Bodytext1011pt"/>
        </w:rPr>
        <w:fldChar w:fldCharType="begin"/>
      </w:r>
      <w:r w:rsidR="00E00777" w:rsidRPr="00D8091E">
        <w:rPr>
          <w:rStyle w:val="Bodytext1011pt"/>
        </w:rPr>
        <w:instrText xml:space="preserve"> REF _Ref157675858 \h </w:instrText>
      </w:r>
      <w:r w:rsidR="00C16271">
        <w:rPr>
          <w:rStyle w:val="Bodytext1011pt"/>
        </w:rPr>
        <w:instrText xml:space="preserve"> \* MERGEFORMAT </w:instrText>
      </w:r>
      <w:r w:rsidR="00E00777" w:rsidRPr="00D8091E">
        <w:rPr>
          <w:rStyle w:val="Bodytext1011pt"/>
        </w:rPr>
      </w:r>
      <w:r w:rsidR="00E00777" w:rsidRPr="00D8091E">
        <w:rPr>
          <w:rStyle w:val="Bodytext1011pt"/>
        </w:rPr>
        <w:fldChar w:fldCharType="separate"/>
      </w:r>
      <w:r w:rsidR="00D71607" w:rsidRPr="0041608F">
        <w:rPr>
          <w:lang w:val="en-GB"/>
        </w:rPr>
        <w:t>(</w:t>
      </w:r>
      <w:r w:rsidR="00D71607">
        <w:rPr>
          <w:noProof/>
          <w:lang w:val="en-GB"/>
        </w:rPr>
        <w:t>5</w:t>
      </w:r>
      <w:r w:rsidR="00D71607" w:rsidRPr="00A66AD8">
        <w:rPr>
          <w:lang w:val="en-GB"/>
        </w:rPr>
        <w:t>)</w:t>
      </w:r>
      <w:r w:rsidR="00E00777" w:rsidRPr="00D8091E">
        <w:rPr>
          <w:rStyle w:val="Bodytext1011pt"/>
        </w:rPr>
        <w:fldChar w:fldCharType="end"/>
      </w:r>
      <w:r w:rsidR="00030681" w:rsidRPr="00D8091E">
        <w:rPr>
          <w:rStyle w:val="Bodytext1011pt"/>
        </w:rPr>
        <w:t xml:space="preserve"> </w:t>
      </w:r>
      <w:r w:rsidR="004C60FE" w:rsidRPr="00C16271">
        <w:rPr>
          <w:rStyle w:val="Bodytext1011pt"/>
        </w:rPr>
        <w:t>.</w:t>
      </w:r>
    </w:p>
    <w:p w14:paraId="1FCDEB0C" w14:textId="2E256121" w:rsidR="00022293" w:rsidRPr="0041608F" w:rsidRDefault="008752B4" w:rsidP="00B949DF">
      <w:pPr>
        <w:pStyle w:val="Heading1"/>
      </w:pPr>
      <w:bookmarkStart w:id="90" w:name="_Ref151043288"/>
      <w:bookmarkStart w:id="91" w:name="_Toc153355181"/>
      <w:bookmarkStart w:id="92" w:name="_Toc153355310"/>
      <w:bookmarkStart w:id="93" w:name="_Toc153355548"/>
      <w:bookmarkStart w:id="94" w:name="_Toc158275582"/>
      <w:r w:rsidRPr="0041608F">
        <w:t xml:space="preserve">COORDINATED </w:t>
      </w:r>
      <w:r w:rsidR="00022293" w:rsidRPr="0041608F">
        <w:t>NTC calculation principles for DC interconnectors</w:t>
      </w:r>
      <w:bookmarkEnd w:id="90"/>
      <w:bookmarkEnd w:id="91"/>
      <w:bookmarkEnd w:id="92"/>
      <w:bookmarkEnd w:id="93"/>
      <w:bookmarkEnd w:id="94"/>
    </w:p>
    <w:p w14:paraId="6063175E" w14:textId="77777777" w:rsidR="00E07209" w:rsidRPr="0041608F" w:rsidRDefault="00E07209" w:rsidP="00E07209">
      <w:pPr>
        <w:pStyle w:val="ListParagraph"/>
        <w:widowControl w:val="0"/>
        <w:numPr>
          <w:ilvl w:val="0"/>
          <w:numId w:val="8"/>
        </w:numPr>
        <w:tabs>
          <w:tab w:val="left" w:pos="567"/>
        </w:tabs>
        <w:spacing w:after="0" w:line="280" w:lineRule="exact"/>
        <w:contextualSpacing w:val="0"/>
        <w:jc w:val="both"/>
        <w:rPr>
          <w:rFonts w:eastAsia="Arial" w:cs="Arial"/>
          <w:b w:val="0"/>
          <w:vanish/>
          <w:lang w:val="en-GB"/>
        </w:rPr>
      </w:pPr>
    </w:p>
    <w:p w14:paraId="5A4C0513" w14:textId="408D283E" w:rsidR="00022293" w:rsidRPr="0041608F" w:rsidRDefault="005B25EA" w:rsidP="00E07209">
      <w:pPr>
        <w:pStyle w:val="Bodytext22"/>
        <w:numPr>
          <w:ilvl w:val="1"/>
          <w:numId w:val="8"/>
        </w:numPr>
        <w:shd w:val="clear" w:color="auto" w:fill="auto"/>
        <w:tabs>
          <w:tab w:val="left" w:pos="567"/>
        </w:tabs>
        <w:spacing w:after="0" w:line="280" w:lineRule="exact"/>
        <w:rPr>
          <w:lang w:val="en-GB"/>
        </w:rPr>
      </w:pPr>
      <w:r w:rsidRPr="0041608F">
        <w:rPr>
          <w:lang w:val="en-GB"/>
        </w:rPr>
        <w:t xml:space="preserve">CCC </w:t>
      </w:r>
      <w:r w:rsidR="00022293" w:rsidRPr="0041608F">
        <w:rPr>
          <w:lang w:val="en-GB"/>
        </w:rPr>
        <w:t xml:space="preserve">shall calculate NTC value for Baltic </w:t>
      </w:r>
      <w:r w:rsidR="00DD1694" w:rsidRPr="0041608F">
        <w:rPr>
          <w:lang w:val="en-GB"/>
        </w:rPr>
        <w:t>D</w:t>
      </w:r>
      <w:r w:rsidR="00022293" w:rsidRPr="0041608F">
        <w:rPr>
          <w:lang w:val="en-GB"/>
        </w:rPr>
        <w:t>C interconnectors</w:t>
      </w:r>
      <w:r w:rsidR="00DD1694" w:rsidRPr="0041608F">
        <w:rPr>
          <w:lang w:val="en-GB"/>
        </w:rPr>
        <w:t xml:space="preserve"> </w:t>
      </w:r>
      <w:r w:rsidR="005018FA" w:rsidRPr="0041608F">
        <w:rPr>
          <w:lang w:val="en-GB"/>
        </w:rPr>
        <w:t>using</w:t>
      </w:r>
      <w:r w:rsidR="00A1763A" w:rsidRPr="0041608F">
        <w:rPr>
          <w:lang w:val="en-GB"/>
        </w:rPr>
        <w:t xml:space="preserve"> formula </w:t>
      </w:r>
      <w:r w:rsidR="00CF0F98">
        <w:rPr>
          <w:lang w:val="en-GB"/>
        </w:rPr>
        <w:fldChar w:fldCharType="begin"/>
      </w:r>
      <w:r w:rsidR="00CF0F98">
        <w:rPr>
          <w:lang w:val="en-GB"/>
        </w:rPr>
        <w:instrText xml:space="preserve"> REF _Ref157675858 \h </w:instrText>
      </w:r>
      <w:r w:rsidR="00CF0F98">
        <w:rPr>
          <w:lang w:val="en-GB"/>
        </w:rPr>
      </w:r>
      <w:r w:rsidR="00CF0F98">
        <w:rPr>
          <w:lang w:val="en-GB"/>
        </w:rPr>
        <w:fldChar w:fldCharType="separate"/>
      </w:r>
      <w:r w:rsidR="00D71607" w:rsidRPr="0041608F">
        <w:rPr>
          <w:lang w:val="en-GB"/>
        </w:rPr>
        <w:t>(</w:t>
      </w:r>
      <w:r w:rsidR="00D71607">
        <w:rPr>
          <w:noProof/>
          <w:lang w:val="en-GB"/>
        </w:rPr>
        <w:t>5</w:t>
      </w:r>
      <w:r w:rsidR="00D71607" w:rsidRPr="00A66AD8">
        <w:rPr>
          <w:lang w:val="en-GB"/>
        </w:rPr>
        <w:t>)</w:t>
      </w:r>
      <w:r w:rsidR="00CF0F98">
        <w:rPr>
          <w:lang w:val="en-GB"/>
        </w:rPr>
        <w:fldChar w:fldCharType="end"/>
      </w:r>
      <w:r w:rsidR="00A1763A" w:rsidRPr="0041608F">
        <w:rPr>
          <w:lang w:val="en-GB"/>
        </w:rPr>
        <w:t xml:space="preserve"> considering</w:t>
      </w:r>
      <w:r w:rsidR="005018FA" w:rsidRPr="0041608F">
        <w:rPr>
          <w:lang w:val="en-GB"/>
        </w:rPr>
        <w:t xml:space="preserve"> </w:t>
      </w:r>
      <w:r w:rsidR="00A1763A" w:rsidRPr="0041608F">
        <w:rPr>
          <w:lang w:val="en-GB"/>
        </w:rPr>
        <w:t>input data</w:t>
      </w:r>
      <w:r w:rsidR="002D3182" w:rsidRPr="0041608F">
        <w:rPr>
          <w:lang w:val="en-GB"/>
        </w:rPr>
        <w:t xml:space="preserve"> provided</w:t>
      </w:r>
      <w:r w:rsidR="00A1763A" w:rsidRPr="0041608F">
        <w:rPr>
          <w:lang w:val="en-GB"/>
        </w:rPr>
        <w:t xml:space="preserve"> </w:t>
      </w:r>
      <w:r w:rsidR="000F73F9" w:rsidRPr="0041608F">
        <w:rPr>
          <w:lang w:val="en-GB"/>
        </w:rPr>
        <w:t>from TSOs</w:t>
      </w:r>
      <w:r w:rsidR="00661FA3" w:rsidRPr="0041608F">
        <w:rPr>
          <w:lang w:val="en-GB"/>
        </w:rPr>
        <w:t>.</w:t>
      </w:r>
    </w:p>
    <w:p w14:paraId="11E0B8B3" w14:textId="7A4D0CC5" w:rsidR="00661FA3" w:rsidRPr="0041608F" w:rsidRDefault="00661FA3" w:rsidP="00E07209">
      <w:pPr>
        <w:pStyle w:val="Bodytext22"/>
        <w:numPr>
          <w:ilvl w:val="1"/>
          <w:numId w:val="8"/>
        </w:numPr>
        <w:shd w:val="clear" w:color="auto" w:fill="auto"/>
        <w:tabs>
          <w:tab w:val="left" w:pos="567"/>
        </w:tabs>
        <w:spacing w:after="0" w:line="280" w:lineRule="exact"/>
        <w:rPr>
          <w:lang w:val="en-GB"/>
        </w:rPr>
      </w:pPr>
      <w:r w:rsidRPr="0041608F">
        <w:rPr>
          <w:lang w:val="en-GB"/>
        </w:rPr>
        <w:t>TRM value referenced in</w:t>
      </w:r>
      <w:r w:rsidR="005A1E0B">
        <w:rPr>
          <w:lang w:val="en-GB"/>
        </w:rPr>
        <w:t xml:space="preserve"> formula </w:t>
      </w:r>
      <w:r w:rsidR="005A1E0B">
        <w:rPr>
          <w:lang w:val="en-GB"/>
        </w:rPr>
        <w:fldChar w:fldCharType="begin"/>
      </w:r>
      <w:r w:rsidR="005A1E0B">
        <w:rPr>
          <w:lang w:val="en-GB"/>
        </w:rPr>
        <w:instrText xml:space="preserve"> REF _Ref157675858 \h </w:instrText>
      </w:r>
      <w:r w:rsidR="005A1E0B">
        <w:rPr>
          <w:lang w:val="en-GB"/>
        </w:rPr>
      </w:r>
      <w:r w:rsidR="005A1E0B">
        <w:rPr>
          <w:lang w:val="en-GB"/>
        </w:rPr>
        <w:fldChar w:fldCharType="separate"/>
      </w:r>
      <w:r w:rsidR="00D71607" w:rsidRPr="0041608F">
        <w:rPr>
          <w:lang w:val="en-GB"/>
        </w:rPr>
        <w:t>(</w:t>
      </w:r>
      <w:r w:rsidR="00D71607">
        <w:rPr>
          <w:noProof/>
          <w:lang w:val="en-GB"/>
        </w:rPr>
        <w:t>5</w:t>
      </w:r>
      <w:r w:rsidR="00D71607" w:rsidRPr="00A66AD8">
        <w:rPr>
          <w:lang w:val="en-GB"/>
        </w:rPr>
        <w:t>)</w:t>
      </w:r>
      <w:r w:rsidR="005A1E0B">
        <w:rPr>
          <w:lang w:val="en-GB"/>
        </w:rPr>
        <w:fldChar w:fldCharType="end"/>
      </w:r>
      <w:r w:rsidR="005A1E0B">
        <w:rPr>
          <w:lang w:val="en-GB"/>
        </w:rPr>
        <w:t xml:space="preserve"> </w:t>
      </w:r>
      <w:r w:rsidRPr="0041608F">
        <w:rPr>
          <w:lang w:val="en-GB"/>
        </w:rPr>
        <w:t xml:space="preserve">for DC interconnectors shall be equal to </w:t>
      </w:r>
      <w:r w:rsidR="001E0EEF" w:rsidRPr="0041608F">
        <w:rPr>
          <w:lang w:val="en-GB"/>
        </w:rPr>
        <w:t>0 MW.</w:t>
      </w:r>
    </w:p>
    <w:p w14:paraId="0DECB1BD" w14:textId="2C879BC9" w:rsidR="001E0EEF" w:rsidRPr="0041608F" w:rsidRDefault="001E0EEF" w:rsidP="00E07209">
      <w:pPr>
        <w:pStyle w:val="Bodytext22"/>
        <w:numPr>
          <w:ilvl w:val="1"/>
          <w:numId w:val="8"/>
        </w:numPr>
        <w:shd w:val="clear" w:color="auto" w:fill="auto"/>
        <w:tabs>
          <w:tab w:val="left" w:pos="567"/>
        </w:tabs>
        <w:spacing w:after="0" w:line="280" w:lineRule="exact"/>
        <w:rPr>
          <w:lang w:val="en-GB"/>
        </w:rPr>
      </w:pPr>
      <w:r w:rsidRPr="0041608F">
        <w:rPr>
          <w:lang w:val="en-GB"/>
        </w:rPr>
        <w:t xml:space="preserve">TTC calculation approach defined in Section </w:t>
      </w:r>
      <w:r w:rsidR="00EC6771" w:rsidRPr="0041608F">
        <w:rPr>
          <w:lang w:val="en-GB"/>
        </w:rPr>
        <w:fldChar w:fldCharType="begin"/>
      </w:r>
      <w:r w:rsidR="00EC6771" w:rsidRPr="0041608F">
        <w:rPr>
          <w:lang w:val="en-GB"/>
        </w:rPr>
        <w:instrText xml:space="preserve"> REF _Ref146027207 \r \h </w:instrText>
      </w:r>
      <w:r w:rsidR="003973C9" w:rsidRPr="0041608F">
        <w:rPr>
          <w:lang w:val="en-GB"/>
        </w:rPr>
        <w:instrText xml:space="preserve"> \* MERGEFORMAT </w:instrText>
      </w:r>
      <w:r w:rsidR="00EC6771" w:rsidRPr="0041608F">
        <w:rPr>
          <w:lang w:val="en-GB"/>
        </w:rPr>
      </w:r>
      <w:r w:rsidR="00EC6771" w:rsidRPr="0041608F">
        <w:rPr>
          <w:lang w:val="en-GB"/>
        </w:rPr>
        <w:fldChar w:fldCharType="separate"/>
      </w:r>
      <w:r w:rsidR="00D71607">
        <w:rPr>
          <w:lang w:val="en-GB"/>
        </w:rPr>
        <w:t>8</w:t>
      </w:r>
      <w:r w:rsidR="00EC6771" w:rsidRPr="0041608F">
        <w:rPr>
          <w:lang w:val="en-GB"/>
        </w:rPr>
        <w:fldChar w:fldCharType="end"/>
      </w:r>
      <w:r w:rsidRPr="0041608F">
        <w:rPr>
          <w:lang w:val="en-GB"/>
        </w:rPr>
        <w:t xml:space="preserve"> for DC interconnectors shall be applied by Capacity Calculator assigned by Baltic CCR</w:t>
      </w:r>
      <w:r w:rsidR="008D0BEF" w:rsidRPr="0041608F">
        <w:rPr>
          <w:lang w:val="en-GB"/>
        </w:rPr>
        <w:t xml:space="preserve">. </w:t>
      </w:r>
    </w:p>
    <w:p w14:paraId="213DD7F3" w14:textId="69703A72" w:rsidR="005A1E0B" w:rsidRDefault="00C42BC1" w:rsidP="005A1E0B">
      <w:pPr>
        <w:pStyle w:val="Bodytext22"/>
        <w:numPr>
          <w:ilvl w:val="1"/>
          <w:numId w:val="8"/>
        </w:numPr>
        <w:shd w:val="clear" w:color="auto" w:fill="auto"/>
        <w:tabs>
          <w:tab w:val="left" w:pos="567"/>
        </w:tabs>
        <w:spacing w:after="0" w:line="280" w:lineRule="exact"/>
        <w:rPr>
          <w:lang w:val="en-GB"/>
        </w:rPr>
      </w:pPr>
      <w:r w:rsidRPr="0041608F">
        <w:rPr>
          <w:lang w:val="en-GB"/>
        </w:rPr>
        <w:t xml:space="preserve">Coordinated capacity value shall be </w:t>
      </w:r>
      <w:r w:rsidR="008D2A00" w:rsidRPr="0041608F">
        <w:rPr>
          <w:lang w:val="en-GB"/>
        </w:rPr>
        <w:t xml:space="preserve">obtained by evaluating minimum value </w:t>
      </w:r>
      <w:r w:rsidR="007744D5" w:rsidRPr="0041608F">
        <w:rPr>
          <w:lang w:val="en-GB"/>
        </w:rPr>
        <w:t xml:space="preserve">according to principles defined in </w:t>
      </w:r>
      <w:r w:rsidR="007744D5" w:rsidRPr="0041608F">
        <w:rPr>
          <w:lang w:val="en-GB"/>
        </w:rPr>
        <w:fldChar w:fldCharType="begin"/>
      </w:r>
      <w:r w:rsidR="007744D5" w:rsidRPr="0041608F">
        <w:rPr>
          <w:lang w:val="en-GB"/>
        </w:rPr>
        <w:instrText xml:space="preserve"> REF _Ref146027139 \r \h  \* MERGEFORMAT </w:instrText>
      </w:r>
      <w:r w:rsidR="007744D5" w:rsidRPr="0041608F">
        <w:rPr>
          <w:lang w:val="en-GB"/>
        </w:rPr>
      </w:r>
      <w:r w:rsidR="007744D5" w:rsidRPr="0041608F">
        <w:rPr>
          <w:lang w:val="en-GB"/>
        </w:rPr>
        <w:fldChar w:fldCharType="separate"/>
      </w:r>
      <w:r w:rsidR="00D71607">
        <w:rPr>
          <w:lang w:val="en-GB"/>
        </w:rPr>
        <w:t>9.4</w:t>
      </w:r>
      <w:r w:rsidR="007744D5" w:rsidRPr="0041608F">
        <w:rPr>
          <w:lang w:val="en-GB"/>
        </w:rPr>
        <w:fldChar w:fldCharType="end"/>
      </w:r>
      <w:r w:rsidR="007744D5" w:rsidRPr="0041608F">
        <w:rPr>
          <w:lang w:val="en-GB"/>
        </w:rPr>
        <w:t xml:space="preserve"> and formula</w:t>
      </w:r>
      <w:r w:rsidR="00D774EE" w:rsidRPr="0041608F">
        <w:rPr>
          <w:lang w:val="en-GB"/>
        </w:rPr>
        <w:t xml:space="preserve"> </w:t>
      </w:r>
      <w:r w:rsidR="00F641CF" w:rsidRPr="0041608F">
        <w:rPr>
          <w:lang w:val="en-GB"/>
        </w:rPr>
        <w:fldChar w:fldCharType="begin"/>
      </w:r>
      <w:r w:rsidR="00F641CF" w:rsidRPr="0041608F">
        <w:rPr>
          <w:lang w:val="en-GB"/>
        </w:rPr>
        <w:instrText xml:space="preserve"> REF _Ref157675437 \h </w:instrText>
      </w:r>
      <w:r w:rsidR="00F641CF" w:rsidRPr="0041608F">
        <w:rPr>
          <w:lang w:val="en-GB"/>
        </w:rPr>
      </w:r>
      <w:r w:rsidR="00F641CF" w:rsidRPr="0041608F">
        <w:rPr>
          <w:lang w:val="en-GB"/>
        </w:rPr>
        <w:fldChar w:fldCharType="separate"/>
      </w:r>
      <w:r w:rsidR="00D71607" w:rsidRPr="0041608F">
        <w:rPr>
          <w:lang w:val="en-GB"/>
        </w:rPr>
        <w:t>(</w:t>
      </w:r>
      <w:r w:rsidR="00D71607">
        <w:rPr>
          <w:noProof/>
          <w:lang w:val="en-GB"/>
        </w:rPr>
        <w:t>6</w:t>
      </w:r>
      <w:r w:rsidR="00F641CF" w:rsidRPr="0041608F">
        <w:rPr>
          <w:lang w:val="en-GB"/>
        </w:rPr>
        <w:fldChar w:fldCharType="end"/>
      </w:r>
      <w:r w:rsidR="00F641CF" w:rsidRPr="0041608F">
        <w:rPr>
          <w:lang w:val="en-GB"/>
        </w:rPr>
        <w:t>).</w:t>
      </w:r>
    </w:p>
    <w:p w14:paraId="2C56DAAB" w14:textId="77777777" w:rsidR="00220AF2" w:rsidRPr="0041608F" w:rsidRDefault="00220AF2">
      <w:pPr>
        <w:pStyle w:val="Heading1"/>
      </w:pPr>
      <w:bookmarkStart w:id="95" w:name="_Toc140150009"/>
      <w:bookmarkStart w:id="96" w:name="_Toc140154064"/>
      <w:bookmarkStart w:id="97" w:name="_Toc140154327"/>
      <w:bookmarkStart w:id="98" w:name="_Toc140154474"/>
      <w:bookmarkStart w:id="99" w:name="_Toc146531995"/>
      <w:bookmarkStart w:id="100" w:name="_Toc146532602"/>
      <w:bookmarkStart w:id="101" w:name="_Toc153355182"/>
      <w:bookmarkStart w:id="102" w:name="_Toc153355311"/>
      <w:bookmarkStart w:id="103" w:name="_Toc153355549"/>
      <w:bookmarkStart w:id="104" w:name="_Toc158275583"/>
      <w:bookmarkEnd w:id="95"/>
      <w:bookmarkEnd w:id="96"/>
      <w:bookmarkEnd w:id="97"/>
      <w:bookmarkEnd w:id="98"/>
      <w:r w:rsidRPr="0041608F">
        <w:t>Total Transfer Capacity (TTC) Calculation for Lithuanian - Poland AC cross-borders interconnector</w:t>
      </w:r>
      <w:bookmarkStart w:id="105" w:name="_Ref144465832"/>
      <w:bookmarkEnd w:id="99"/>
      <w:bookmarkEnd w:id="100"/>
      <w:bookmarkEnd w:id="101"/>
      <w:bookmarkEnd w:id="102"/>
      <w:bookmarkEnd w:id="103"/>
      <w:bookmarkEnd w:id="104"/>
    </w:p>
    <w:p w14:paraId="15C05264" w14:textId="77777777" w:rsidR="007C3E55" w:rsidRPr="0041608F" w:rsidRDefault="007C3E55" w:rsidP="007C3E55">
      <w:pPr>
        <w:pStyle w:val="ListParagraph"/>
        <w:widowControl w:val="0"/>
        <w:numPr>
          <w:ilvl w:val="0"/>
          <w:numId w:val="21"/>
        </w:numPr>
        <w:tabs>
          <w:tab w:val="left" w:pos="709"/>
        </w:tabs>
        <w:contextualSpacing w:val="0"/>
        <w:jc w:val="both"/>
        <w:rPr>
          <w:b w:val="0"/>
          <w:bCs/>
          <w:vanish/>
          <w:lang w:val="en-GB"/>
        </w:rPr>
      </w:pPr>
    </w:p>
    <w:p w14:paraId="504B53A9" w14:textId="77777777" w:rsidR="007C3E55" w:rsidRPr="0041608F" w:rsidRDefault="007C3E55" w:rsidP="007C3E55">
      <w:pPr>
        <w:pStyle w:val="ListParagraph"/>
        <w:widowControl w:val="0"/>
        <w:numPr>
          <w:ilvl w:val="0"/>
          <w:numId w:val="21"/>
        </w:numPr>
        <w:tabs>
          <w:tab w:val="left" w:pos="709"/>
        </w:tabs>
        <w:contextualSpacing w:val="0"/>
        <w:jc w:val="both"/>
        <w:rPr>
          <w:b w:val="0"/>
          <w:bCs/>
          <w:vanish/>
          <w:lang w:val="en-GB"/>
        </w:rPr>
      </w:pPr>
    </w:p>
    <w:p w14:paraId="37FEC89B" w14:textId="77777777" w:rsidR="007C3E55" w:rsidRPr="0041608F" w:rsidRDefault="007C3E55" w:rsidP="007C3E55">
      <w:pPr>
        <w:pStyle w:val="ListParagraph"/>
        <w:widowControl w:val="0"/>
        <w:numPr>
          <w:ilvl w:val="0"/>
          <w:numId w:val="21"/>
        </w:numPr>
        <w:tabs>
          <w:tab w:val="left" w:pos="709"/>
        </w:tabs>
        <w:contextualSpacing w:val="0"/>
        <w:jc w:val="both"/>
        <w:rPr>
          <w:b w:val="0"/>
          <w:bCs/>
          <w:vanish/>
          <w:lang w:val="en-GB"/>
        </w:rPr>
      </w:pPr>
    </w:p>
    <w:p w14:paraId="1AAAD18C" w14:textId="77777777" w:rsidR="007C3E55" w:rsidRPr="0041608F" w:rsidRDefault="007C3E55" w:rsidP="007C3E55">
      <w:pPr>
        <w:pStyle w:val="ListParagraph"/>
        <w:widowControl w:val="0"/>
        <w:numPr>
          <w:ilvl w:val="0"/>
          <w:numId w:val="21"/>
        </w:numPr>
        <w:tabs>
          <w:tab w:val="left" w:pos="709"/>
        </w:tabs>
        <w:contextualSpacing w:val="0"/>
        <w:jc w:val="both"/>
        <w:rPr>
          <w:b w:val="0"/>
          <w:bCs/>
          <w:vanish/>
          <w:lang w:val="en-GB"/>
        </w:rPr>
      </w:pPr>
    </w:p>
    <w:p w14:paraId="75A59518" w14:textId="77777777" w:rsidR="007C3E55" w:rsidRPr="0041608F" w:rsidRDefault="007C3E55" w:rsidP="007C3E55">
      <w:pPr>
        <w:pStyle w:val="ListParagraph"/>
        <w:widowControl w:val="0"/>
        <w:numPr>
          <w:ilvl w:val="0"/>
          <w:numId w:val="21"/>
        </w:numPr>
        <w:tabs>
          <w:tab w:val="left" w:pos="709"/>
        </w:tabs>
        <w:contextualSpacing w:val="0"/>
        <w:jc w:val="both"/>
        <w:rPr>
          <w:b w:val="0"/>
          <w:bCs/>
          <w:vanish/>
          <w:lang w:val="en-GB"/>
        </w:rPr>
      </w:pPr>
    </w:p>
    <w:p w14:paraId="305FDDC2" w14:textId="77777777" w:rsidR="007C3E55" w:rsidRPr="0041608F" w:rsidRDefault="007C3E55" w:rsidP="007C3E55">
      <w:pPr>
        <w:pStyle w:val="ListParagraph"/>
        <w:widowControl w:val="0"/>
        <w:numPr>
          <w:ilvl w:val="0"/>
          <w:numId w:val="21"/>
        </w:numPr>
        <w:tabs>
          <w:tab w:val="left" w:pos="709"/>
        </w:tabs>
        <w:contextualSpacing w:val="0"/>
        <w:jc w:val="both"/>
        <w:rPr>
          <w:b w:val="0"/>
          <w:bCs/>
          <w:vanish/>
          <w:lang w:val="en-GB"/>
        </w:rPr>
      </w:pPr>
    </w:p>
    <w:p w14:paraId="5467D184" w14:textId="77777777" w:rsidR="007C3E55" w:rsidRPr="0041608F" w:rsidRDefault="007C3E55" w:rsidP="007C3E55">
      <w:pPr>
        <w:pStyle w:val="ListParagraph"/>
        <w:widowControl w:val="0"/>
        <w:numPr>
          <w:ilvl w:val="0"/>
          <w:numId w:val="21"/>
        </w:numPr>
        <w:tabs>
          <w:tab w:val="left" w:pos="709"/>
        </w:tabs>
        <w:contextualSpacing w:val="0"/>
        <w:jc w:val="both"/>
        <w:rPr>
          <w:b w:val="0"/>
          <w:bCs/>
          <w:vanish/>
          <w:lang w:val="en-GB"/>
        </w:rPr>
      </w:pPr>
    </w:p>
    <w:p w14:paraId="265D2333" w14:textId="77777777" w:rsidR="007C3E55" w:rsidRPr="0041608F" w:rsidRDefault="007C3E55" w:rsidP="007C3E55">
      <w:pPr>
        <w:pStyle w:val="ListParagraph"/>
        <w:widowControl w:val="0"/>
        <w:numPr>
          <w:ilvl w:val="0"/>
          <w:numId w:val="21"/>
        </w:numPr>
        <w:tabs>
          <w:tab w:val="left" w:pos="709"/>
        </w:tabs>
        <w:contextualSpacing w:val="0"/>
        <w:jc w:val="both"/>
        <w:rPr>
          <w:b w:val="0"/>
          <w:bCs/>
          <w:vanish/>
          <w:lang w:val="en-GB"/>
        </w:rPr>
      </w:pPr>
    </w:p>
    <w:p w14:paraId="760264D3" w14:textId="77777777" w:rsidR="007C3E55" w:rsidRPr="0041608F" w:rsidRDefault="007C3E55" w:rsidP="007C3E55">
      <w:pPr>
        <w:pStyle w:val="ListParagraph"/>
        <w:widowControl w:val="0"/>
        <w:numPr>
          <w:ilvl w:val="0"/>
          <w:numId w:val="21"/>
        </w:numPr>
        <w:tabs>
          <w:tab w:val="left" w:pos="709"/>
        </w:tabs>
        <w:contextualSpacing w:val="0"/>
        <w:jc w:val="both"/>
        <w:rPr>
          <w:b w:val="0"/>
          <w:bCs/>
          <w:vanish/>
          <w:lang w:val="en-GB"/>
        </w:rPr>
      </w:pPr>
    </w:p>
    <w:p w14:paraId="2094586E" w14:textId="77777777" w:rsidR="007C3E55" w:rsidRPr="0041608F" w:rsidRDefault="007C3E55" w:rsidP="007C3E55">
      <w:pPr>
        <w:pStyle w:val="ListParagraph"/>
        <w:widowControl w:val="0"/>
        <w:numPr>
          <w:ilvl w:val="0"/>
          <w:numId w:val="21"/>
        </w:numPr>
        <w:tabs>
          <w:tab w:val="left" w:pos="709"/>
        </w:tabs>
        <w:contextualSpacing w:val="0"/>
        <w:jc w:val="both"/>
        <w:rPr>
          <w:b w:val="0"/>
          <w:bCs/>
          <w:vanish/>
          <w:lang w:val="en-GB"/>
        </w:rPr>
      </w:pPr>
    </w:p>
    <w:p w14:paraId="3D7DC20F" w14:textId="17FE56F6" w:rsidR="00220AF2" w:rsidRPr="0041608F" w:rsidRDefault="00220AF2" w:rsidP="007C3E55">
      <w:pPr>
        <w:pStyle w:val="ListParagraph"/>
        <w:widowControl w:val="0"/>
        <w:numPr>
          <w:ilvl w:val="1"/>
          <w:numId w:val="21"/>
        </w:numPr>
        <w:tabs>
          <w:tab w:val="left" w:pos="709"/>
        </w:tabs>
        <w:contextualSpacing w:val="0"/>
        <w:jc w:val="both"/>
        <w:rPr>
          <w:rFonts w:eastAsiaTheme="majorEastAsia" w:cstheme="majorBidi"/>
          <w:b w:val="0"/>
          <w:bCs/>
          <w:szCs w:val="32"/>
          <w:lang w:val="en-GB"/>
        </w:rPr>
      </w:pPr>
      <w:r w:rsidRPr="0041608F">
        <w:rPr>
          <w:b w:val="0"/>
          <w:bCs/>
          <w:lang w:val="en-GB"/>
        </w:rPr>
        <w:t xml:space="preserve">While </w:t>
      </w:r>
      <w:r w:rsidRPr="0041608F">
        <w:rPr>
          <w:rFonts w:eastAsiaTheme="majorEastAsia" w:cstheme="majorBidi"/>
          <w:b w:val="0"/>
          <w:bCs/>
          <w:szCs w:val="32"/>
          <w:lang w:val="en-GB"/>
        </w:rPr>
        <w:t>calculating</w:t>
      </w:r>
      <w:r w:rsidRPr="0041608F">
        <w:rPr>
          <w:b w:val="0"/>
          <w:bCs/>
          <w:lang w:val="en-GB"/>
        </w:rPr>
        <w:t xml:space="preserve"> TTC, list of considered CNE and contingencies should be determined according to Section </w:t>
      </w:r>
      <w:r w:rsidR="008418B6" w:rsidRPr="0041608F">
        <w:rPr>
          <w:b w:val="0"/>
          <w:bCs/>
          <w:lang w:val="en-GB"/>
        </w:rPr>
        <w:fldChar w:fldCharType="begin"/>
      </w:r>
      <w:r w:rsidR="008418B6" w:rsidRPr="0041608F">
        <w:rPr>
          <w:b w:val="0"/>
          <w:bCs/>
          <w:lang w:val="en-GB"/>
        </w:rPr>
        <w:instrText xml:space="preserve"> REF _Ref146870301 \r \h </w:instrText>
      </w:r>
      <w:r w:rsidR="008418B6" w:rsidRPr="0041608F">
        <w:rPr>
          <w:b w:val="0"/>
          <w:bCs/>
          <w:lang w:val="en-GB"/>
        </w:rPr>
      </w:r>
      <w:r w:rsidR="008418B6" w:rsidRPr="0041608F">
        <w:rPr>
          <w:b w:val="0"/>
          <w:bCs/>
          <w:lang w:val="en-GB"/>
        </w:rPr>
        <w:fldChar w:fldCharType="separate"/>
      </w:r>
      <w:r w:rsidR="00D71607">
        <w:rPr>
          <w:b w:val="0"/>
          <w:bCs/>
          <w:lang w:val="en-GB"/>
        </w:rPr>
        <w:t>4</w:t>
      </w:r>
      <w:r w:rsidR="008418B6" w:rsidRPr="0041608F">
        <w:rPr>
          <w:b w:val="0"/>
          <w:bCs/>
          <w:lang w:val="en-GB"/>
        </w:rPr>
        <w:fldChar w:fldCharType="end"/>
      </w:r>
      <w:r w:rsidR="003973C9" w:rsidRPr="0041608F">
        <w:rPr>
          <w:b w:val="0"/>
          <w:bCs/>
          <w:lang w:val="en-GB"/>
        </w:rPr>
        <w:t>.</w:t>
      </w:r>
    </w:p>
    <w:p w14:paraId="1C8A7F23" w14:textId="77777777" w:rsidR="00220AF2" w:rsidRPr="0041608F" w:rsidRDefault="00220AF2" w:rsidP="00220AF2">
      <w:pPr>
        <w:pStyle w:val="ListParagraph"/>
        <w:widowControl w:val="0"/>
        <w:numPr>
          <w:ilvl w:val="1"/>
          <w:numId w:val="21"/>
        </w:numPr>
        <w:tabs>
          <w:tab w:val="left" w:pos="709"/>
        </w:tabs>
        <w:contextualSpacing w:val="0"/>
        <w:jc w:val="both"/>
        <w:rPr>
          <w:rFonts w:eastAsiaTheme="majorEastAsia" w:cstheme="majorBidi"/>
          <w:b w:val="0"/>
          <w:bCs/>
          <w:szCs w:val="32"/>
          <w:lang w:val="en-GB"/>
        </w:rPr>
      </w:pPr>
      <w:bookmarkStart w:id="106" w:name="_Ref138940354"/>
      <w:r w:rsidRPr="0041608F">
        <w:rPr>
          <w:rFonts w:eastAsiaTheme="majorEastAsia" w:cstheme="majorBidi"/>
          <w:b w:val="0"/>
          <w:bCs/>
          <w:szCs w:val="32"/>
          <w:lang w:val="en-GB"/>
        </w:rPr>
        <w:t>While calculating TTC and performing contingency analyses after applying of N-1 criteria following operational security limits shall be not exceeded:</w:t>
      </w:r>
      <w:bookmarkEnd w:id="106"/>
    </w:p>
    <w:p w14:paraId="083C1259" w14:textId="43728C0F" w:rsidR="00220AF2" w:rsidRPr="0041608F" w:rsidRDefault="00220AF2" w:rsidP="00220AF2">
      <w:pPr>
        <w:pStyle w:val="ListParagraph"/>
        <w:widowControl w:val="0"/>
        <w:numPr>
          <w:ilvl w:val="2"/>
          <w:numId w:val="21"/>
        </w:numPr>
        <w:tabs>
          <w:tab w:val="left" w:pos="709"/>
        </w:tabs>
        <w:contextualSpacing w:val="0"/>
        <w:jc w:val="both"/>
        <w:rPr>
          <w:b w:val="0"/>
          <w:bCs/>
          <w:lang w:val="en-GB"/>
        </w:rPr>
      </w:pPr>
      <w:bookmarkStart w:id="107" w:name="_Ref138942852"/>
      <w:r w:rsidRPr="0041608F">
        <w:rPr>
          <w:rFonts w:eastAsiaTheme="majorEastAsia" w:cstheme="majorBidi"/>
          <w:b w:val="0"/>
          <w:bCs/>
          <w:szCs w:val="32"/>
          <w:lang w:val="en-GB"/>
        </w:rPr>
        <w:t>Permanently allowed thermal limits, that correspond to the relevant ambient temperature, of network elements, i.e. the maximum amount of electric current that a given network element can conduct without sustaining damage or being in violation of safety requirements</w:t>
      </w:r>
      <w:bookmarkEnd w:id="107"/>
      <w:r w:rsidR="003973C9" w:rsidRPr="0041608F">
        <w:rPr>
          <w:rFonts w:eastAsiaTheme="majorEastAsia" w:cstheme="majorBidi"/>
          <w:b w:val="0"/>
          <w:bCs/>
          <w:szCs w:val="32"/>
          <w:lang w:val="en-GB"/>
        </w:rPr>
        <w:t xml:space="preserve">. </w:t>
      </w:r>
    </w:p>
    <w:p w14:paraId="03988F64" w14:textId="77777777" w:rsidR="00220AF2" w:rsidRPr="0041608F" w:rsidRDefault="00220AF2" w:rsidP="00220AF2">
      <w:pPr>
        <w:pStyle w:val="ListParagraph"/>
        <w:widowControl w:val="0"/>
        <w:numPr>
          <w:ilvl w:val="2"/>
          <w:numId w:val="21"/>
        </w:numPr>
        <w:tabs>
          <w:tab w:val="left" w:pos="709"/>
        </w:tabs>
        <w:contextualSpacing w:val="0"/>
        <w:jc w:val="both"/>
        <w:rPr>
          <w:b w:val="0"/>
          <w:bCs/>
          <w:lang w:val="en-GB"/>
        </w:rPr>
      </w:pPr>
      <w:r w:rsidRPr="0041608F">
        <w:rPr>
          <w:rFonts w:eastAsiaTheme="majorEastAsia" w:cstheme="majorBidi"/>
          <w:b w:val="0"/>
          <w:bCs/>
          <w:szCs w:val="32"/>
          <w:lang w:val="en-GB"/>
        </w:rPr>
        <w:t xml:space="preserve">Voltage and load stability limits in network nodes, i.e. maximum and minimum voltage levels permitted at given network node </w:t>
      </w:r>
      <w:proofErr w:type="gramStart"/>
      <w:r w:rsidRPr="0041608F">
        <w:rPr>
          <w:rFonts w:eastAsiaTheme="majorEastAsia" w:cstheme="majorBidi"/>
          <w:b w:val="0"/>
          <w:bCs/>
          <w:szCs w:val="32"/>
          <w:lang w:val="en-GB"/>
        </w:rPr>
        <w:t>in order to</w:t>
      </w:r>
      <w:proofErr w:type="gramEnd"/>
      <w:r w:rsidRPr="0041608F">
        <w:rPr>
          <w:rFonts w:eastAsiaTheme="majorEastAsia" w:cstheme="majorBidi"/>
          <w:b w:val="0"/>
          <w:bCs/>
          <w:szCs w:val="32"/>
          <w:lang w:val="en-GB"/>
        </w:rPr>
        <w:t xml:space="preserve"> prevent equipment damage or voltage collapse respectively. </w:t>
      </w:r>
    </w:p>
    <w:p w14:paraId="0EC1A581" w14:textId="77777777" w:rsidR="00220AF2" w:rsidRPr="0041608F" w:rsidRDefault="00220AF2" w:rsidP="00220AF2">
      <w:pPr>
        <w:pStyle w:val="ListParagraph"/>
        <w:widowControl w:val="0"/>
        <w:numPr>
          <w:ilvl w:val="2"/>
          <w:numId w:val="21"/>
        </w:numPr>
        <w:tabs>
          <w:tab w:val="left" w:pos="709"/>
        </w:tabs>
        <w:contextualSpacing w:val="0"/>
        <w:jc w:val="both"/>
        <w:rPr>
          <w:b w:val="0"/>
          <w:bCs/>
          <w:lang w:val="en-GB"/>
        </w:rPr>
      </w:pPr>
      <w:bookmarkStart w:id="108" w:name="_Ref138942776"/>
      <w:r w:rsidRPr="0041608F">
        <w:rPr>
          <w:rFonts w:eastAsiaTheme="majorEastAsia" w:cstheme="majorBidi"/>
          <w:b w:val="0"/>
          <w:bCs/>
          <w:szCs w:val="32"/>
          <w:lang w:val="en-GB"/>
        </w:rPr>
        <w:t>Dynamic stability limits including:</w:t>
      </w:r>
      <w:bookmarkEnd w:id="108"/>
    </w:p>
    <w:p w14:paraId="35F705DA" w14:textId="77777777" w:rsidR="00220AF2" w:rsidRPr="0041608F" w:rsidRDefault="00220AF2" w:rsidP="00220AF2">
      <w:pPr>
        <w:pStyle w:val="Bodytext22"/>
        <w:numPr>
          <w:ilvl w:val="0"/>
          <w:numId w:val="20"/>
        </w:numPr>
        <w:tabs>
          <w:tab w:val="left" w:pos="567"/>
        </w:tabs>
        <w:spacing w:line="240" w:lineRule="auto"/>
        <w:rPr>
          <w:lang w:val="en-GB"/>
        </w:rPr>
      </w:pPr>
      <w:r w:rsidRPr="0041608F">
        <w:rPr>
          <w:lang w:val="en-GB"/>
        </w:rPr>
        <w:t xml:space="preserve"> transient stability.</w:t>
      </w:r>
    </w:p>
    <w:p w14:paraId="60A85AAE" w14:textId="46E9ACC9" w:rsidR="00220AF2" w:rsidRPr="0041608F" w:rsidRDefault="00220AF2" w:rsidP="00220AF2">
      <w:pPr>
        <w:pStyle w:val="Bodytext22"/>
        <w:numPr>
          <w:ilvl w:val="0"/>
          <w:numId w:val="20"/>
        </w:numPr>
        <w:tabs>
          <w:tab w:val="left" w:pos="567"/>
        </w:tabs>
        <w:spacing w:line="240" w:lineRule="auto"/>
        <w:rPr>
          <w:lang w:val="en-GB"/>
        </w:rPr>
      </w:pPr>
      <w:r w:rsidRPr="0041608F">
        <w:rPr>
          <w:lang w:val="en-GB"/>
        </w:rPr>
        <w:t xml:space="preserve"> </w:t>
      </w:r>
      <w:bookmarkStart w:id="109" w:name="_Ref138942759"/>
      <w:r w:rsidRPr="0041608F">
        <w:rPr>
          <w:lang w:val="en-GB"/>
        </w:rPr>
        <w:t xml:space="preserve">small signal stability (see further description in paragraph </w:t>
      </w:r>
      <w:r w:rsidRPr="0041608F">
        <w:rPr>
          <w:lang w:val="en-GB"/>
        </w:rPr>
        <w:fldChar w:fldCharType="begin"/>
      </w:r>
      <w:r w:rsidRPr="0041608F">
        <w:rPr>
          <w:lang w:val="en-GB"/>
        </w:rPr>
        <w:instrText xml:space="preserve"> REF _Ref138942812 \r \h  \* MERGEFORMAT </w:instrText>
      </w:r>
      <w:r w:rsidRPr="0041608F">
        <w:rPr>
          <w:lang w:val="en-GB"/>
        </w:rPr>
      </w:r>
      <w:r w:rsidRPr="0041608F">
        <w:rPr>
          <w:lang w:val="en-GB"/>
        </w:rPr>
        <w:fldChar w:fldCharType="separate"/>
      </w:r>
      <w:r w:rsidR="00D71607">
        <w:rPr>
          <w:lang w:val="en-GB"/>
        </w:rPr>
        <w:t>11.3</w:t>
      </w:r>
      <w:r w:rsidRPr="0041608F">
        <w:rPr>
          <w:lang w:val="en-GB"/>
        </w:rPr>
        <w:fldChar w:fldCharType="end"/>
      </w:r>
      <w:r w:rsidRPr="0041608F">
        <w:rPr>
          <w:lang w:val="en-GB"/>
        </w:rPr>
        <w:t>).</w:t>
      </w:r>
      <w:bookmarkEnd w:id="109"/>
      <w:r w:rsidRPr="0041608F">
        <w:rPr>
          <w:lang w:val="en-GB"/>
        </w:rPr>
        <w:t xml:space="preserve"> </w:t>
      </w:r>
    </w:p>
    <w:p w14:paraId="52AC6D5A" w14:textId="62F38C3A" w:rsidR="00B917BB" w:rsidRPr="0041608F" w:rsidRDefault="00B917BB" w:rsidP="00B917BB">
      <w:pPr>
        <w:pStyle w:val="ListParagraph"/>
        <w:widowControl w:val="0"/>
        <w:numPr>
          <w:ilvl w:val="2"/>
          <w:numId w:val="21"/>
        </w:numPr>
        <w:tabs>
          <w:tab w:val="left" w:pos="709"/>
        </w:tabs>
        <w:jc w:val="both"/>
        <w:rPr>
          <w:rFonts w:eastAsiaTheme="majorEastAsia" w:cstheme="majorBidi"/>
          <w:b w:val="0"/>
          <w:bCs/>
          <w:lang w:val="en-GB"/>
        </w:rPr>
      </w:pPr>
      <w:bookmarkStart w:id="110" w:name="_Ref147496686"/>
      <w:bookmarkStart w:id="111" w:name="_Ref146528847"/>
      <w:bookmarkStart w:id="112" w:name="_Ref138943085"/>
      <w:r w:rsidRPr="0041608F">
        <w:rPr>
          <w:rFonts w:eastAsiaTheme="majorEastAsia" w:cstheme="majorBidi"/>
          <w:b w:val="0"/>
          <w:bCs/>
          <w:lang w:val="en-GB"/>
        </w:rPr>
        <w:t xml:space="preserve">Frequency stability limit is assessed based on commonly agreed and coordinated availability of frequency support measures between Baltic TSOs. Measure </w:t>
      </w:r>
      <w:r w:rsidRPr="0041608F">
        <w:rPr>
          <w:rFonts w:eastAsiaTheme="majorEastAsia" w:cstheme="majorBidi"/>
          <w:b w:val="0"/>
          <w:bCs/>
          <w:lang w:val="en-GB"/>
        </w:rPr>
        <w:fldChar w:fldCharType="begin"/>
      </w:r>
      <w:r w:rsidRPr="0041608F">
        <w:rPr>
          <w:rFonts w:eastAsiaTheme="majorEastAsia" w:cstheme="majorBidi"/>
          <w:b w:val="0"/>
          <w:bCs/>
          <w:lang w:val="en-GB"/>
        </w:rPr>
        <w:instrText xml:space="preserve"> REF _Ref147496686 \r \h </w:instrText>
      </w:r>
      <w:r w:rsidR="007D4C73" w:rsidRPr="0041608F">
        <w:rPr>
          <w:rFonts w:eastAsiaTheme="majorEastAsia" w:cstheme="majorBidi"/>
          <w:b w:val="0"/>
          <w:bCs/>
          <w:lang w:val="en-GB"/>
        </w:rPr>
        <w:instrText xml:space="preserve"> \* MERGEFORMAT </w:instrText>
      </w:r>
      <w:r w:rsidRPr="0041608F">
        <w:rPr>
          <w:rFonts w:eastAsiaTheme="majorEastAsia" w:cstheme="majorBidi"/>
          <w:b w:val="0"/>
          <w:bCs/>
          <w:lang w:val="en-GB"/>
        </w:rPr>
      </w:r>
      <w:r w:rsidRPr="0041608F">
        <w:rPr>
          <w:rFonts w:eastAsiaTheme="majorEastAsia" w:cstheme="majorBidi"/>
          <w:b w:val="0"/>
          <w:bCs/>
          <w:lang w:val="en-GB"/>
        </w:rPr>
        <w:fldChar w:fldCharType="separate"/>
      </w:r>
      <w:r w:rsidR="00D71607">
        <w:rPr>
          <w:rFonts w:eastAsiaTheme="majorEastAsia" w:cstheme="majorBidi"/>
          <w:b w:val="0"/>
          <w:bCs/>
          <w:lang w:val="en-GB"/>
        </w:rPr>
        <w:t>11.2.4</w:t>
      </w:r>
      <w:r w:rsidRPr="0041608F">
        <w:rPr>
          <w:rFonts w:eastAsiaTheme="majorEastAsia" w:cstheme="majorBidi"/>
          <w:b w:val="0"/>
          <w:bCs/>
          <w:lang w:val="en-GB"/>
        </w:rPr>
        <w:fldChar w:fldCharType="end"/>
      </w:r>
      <w:r w:rsidRPr="0041608F">
        <w:rPr>
          <w:rFonts w:eastAsiaTheme="majorEastAsia" w:cstheme="majorBidi"/>
          <w:b w:val="0"/>
          <w:bCs/>
          <w:lang w:val="en-GB"/>
        </w:rPr>
        <w:t xml:space="preserve">.ii is agreed between relevant Baltic TSOs, Swedish TSO and Finnish TSO.  The respective values in both directions </w:t>
      </w:r>
      <w:r w:rsidR="00462EBE" w:rsidRPr="0041608F">
        <w:rPr>
          <w:rFonts w:eastAsiaTheme="majorEastAsia" w:cstheme="majorBidi"/>
          <w:b w:val="0"/>
          <w:bCs/>
          <w:lang w:val="en-GB"/>
        </w:rPr>
        <w:t xml:space="preserve">are </w:t>
      </w:r>
      <w:r w:rsidRPr="0041608F">
        <w:rPr>
          <w:rFonts w:eastAsiaTheme="majorEastAsia" w:cstheme="majorBidi"/>
          <w:b w:val="0"/>
          <w:bCs/>
          <w:lang w:val="en-GB"/>
        </w:rPr>
        <w:t xml:space="preserve">calculated by Lithuanian TSO </w:t>
      </w:r>
      <w:proofErr w:type="gramStart"/>
      <w:r w:rsidRPr="0041608F">
        <w:rPr>
          <w:rFonts w:eastAsiaTheme="majorEastAsia" w:cstheme="majorBidi"/>
          <w:b w:val="0"/>
          <w:bCs/>
          <w:lang w:val="en-GB"/>
        </w:rPr>
        <w:t>taking into account</w:t>
      </w:r>
      <w:proofErr w:type="gramEnd"/>
      <w:r w:rsidRPr="0041608F">
        <w:rPr>
          <w:rFonts w:eastAsiaTheme="majorEastAsia" w:cstheme="majorBidi"/>
          <w:b w:val="0"/>
          <w:bCs/>
          <w:lang w:val="en-GB"/>
        </w:rPr>
        <w:t xml:space="preserve"> the following commonly agreed and coordinated measures/parameters:</w:t>
      </w:r>
      <w:bookmarkEnd w:id="110"/>
    </w:p>
    <w:p w14:paraId="3BEBEC8A" w14:textId="77777777" w:rsidR="00B917BB" w:rsidRPr="0041608F" w:rsidRDefault="00B917BB" w:rsidP="00B917BB">
      <w:pPr>
        <w:pStyle w:val="ListParagraph"/>
        <w:tabs>
          <w:tab w:val="left" w:pos="709"/>
        </w:tabs>
        <w:ind w:left="0"/>
        <w:rPr>
          <w:rFonts w:eastAsiaTheme="majorEastAsia" w:cstheme="majorBidi"/>
          <w:b w:val="0"/>
          <w:bCs/>
          <w:szCs w:val="32"/>
          <w:lang w:val="en-GB"/>
        </w:rPr>
      </w:pPr>
    </w:p>
    <w:p w14:paraId="64DE319D" w14:textId="77777777" w:rsidR="00B917BB" w:rsidRPr="0041608F" w:rsidRDefault="00B917BB" w:rsidP="00B917BB">
      <w:pPr>
        <w:pStyle w:val="ListParagraph"/>
        <w:widowControl w:val="0"/>
        <w:numPr>
          <w:ilvl w:val="0"/>
          <w:numId w:val="22"/>
        </w:numPr>
        <w:tabs>
          <w:tab w:val="left" w:pos="567"/>
          <w:tab w:val="left" w:pos="709"/>
        </w:tabs>
        <w:spacing w:before="240"/>
        <w:ind w:left="1077" w:hanging="357"/>
        <w:jc w:val="both"/>
        <w:rPr>
          <w:b w:val="0"/>
          <w:bCs/>
          <w:lang w:val="en-GB"/>
        </w:rPr>
      </w:pPr>
      <w:r w:rsidRPr="0041608F">
        <w:rPr>
          <w:b w:val="0"/>
          <w:bCs/>
          <w:lang w:val="en-GB"/>
        </w:rPr>
        <w:t>Forecasted inertia level in BSPS.</w:t>
      </w:r>
    </w:p>
    <w:p w14:paraId="3B2238D0" w14:textId="77777777" w:rsidR="00B917BB" w:rsidRPr="0041608F" w:rsidRDefault="00B917BB" w:rsidP="00B917BB">
      <w:pPr>
        <w:pStyle w:val="Bodytext22"/>
        <w:numPr>
          <w:ilvl w:val="0"/>
          <w:numId w:val="22"/>
        </w:numPr>
        <w:tabs>
          <w:tab w:val="left" w:pos="567"/>
        </w:tabs>
        <w:spacing w:line="240" w:lineRule="auto"/>
        <w:ind w:hanging="357"/>
        <w:rPr>
          <w:lang w:val="en-GB"/>
        </w:rPr>
      </w:pPr>
      <w:bookmarkStart w:id="113" w:name="_Ref147496680"/>
      <w:r w:rsidRPr="0041608F">
        <w:rPr>
          <w:lang w:val="en-GB"/>
        </w:rPr>
        <w:t>Available fast frequency response settings on HVDC links in BSPS.</w:t>
      </w:r>
      <w:bookmarkEnd w:id="113"/>
    </w:p>
    <w:p w14:paraId="2AEA692B" w14:textId="77777777" w:rsidR="00B917BB" w:rsidRPr="0041608F" w:rsidRDefault="00B917BB" w:rsidP="00B917BB">
      <w:pPr>
        <w:pStyle w:val="Bodytext22"/>
        <w:numPr>
          <w:ilvl w:val="0"/>
          <w:numId w:val="22"/>
        </w:numPr>
        <w:tabs>
          <w:tab w:val="left" w:pos="567"/>
        </w:tabs>
        <w:spacing w:line="240" w:lineRule="auto"/>
        <w:ind w:hanging="357"/>
        <w:rPr>
          <w:lang w:val="en-GB"/>
        </w:rPr>
      </w:pPr>
      <w:r w:rsidRPr="0041608F">
        <w:rPr>
          <w:lang w:val="en-GB"/>
        </w:rPr>
        <w:t xml:space="preserve">Forecasted available fast frequency reserves amount provided by Battery Energy Storage Systems (BESS) in BSPS. </w:t>
      </w:r>
    </w:p>
    <w:p w14:paraId="7DD155C8" w14:textId="77777777" w:rsidR="00B917BB" w:rsidRPr="0041608F" w:rsidRDefault="00B917BB" w:rsidP="00B917BB">
      <w:pPr>
        <w:pStyle w:val="Bodytext22"/>
        <w:numPr>
          <w:ilvl w:val="0"/>
          <w:numId w:val="22"/>
        </w:numPr>
        <w:tabs>
          <w:tab w:val="left" w:pos="567"/>
        </w:tabs>
        <w:spacing w:line="240" w:lineRule="auto"/>
        <w:ind w:hanging="357"/>
        <w:rPr>
          <w:lang w:val="en-GB"/>
        </w:rPr>
      </w:pPr>
      <w:r w:rsidRPr="0041608F">
        <w:rPr>
          <w:lang w:val="en-GB"/>
        </w:rPr>
        <w:lastRenderedPageBreak/>
        <w:t>Disconnection of AC interconnection with CESA shall not cause rate of change of frequency (ROCOF) greater than 1 Hz/s and activation of load shedding in BSPS.</w:t>
      </w:r>
    </w:p>
    <w:p w14:paraId="5D97E460" w14:textId="19A63837" w:rsidR="00220AF2" w:rsidRPr="0041608F" w:rsidRDefault="00220AF2" w:rsidP="00220AF2">
      <w:pPr>
        <w:pStyle w:val="ListParagraph"/>
        <w:widowControl w:val="0"/>
        <w:numPr>
          <w:ilvl w:val="1"/>
          <w:numId w:val="21"/>
        </w:numPr>
        <w:tabs>
          <w:tab w:val="left" w:pos="709"/>
        </w:tabs>
        <w:spacing w:before="0"/>
        <w:jc w:val="both"/>
        <w:rPr>
          <w:b w:val="0"/>
          <w:bCs/>
          <w:lang w:val="en-GB"/>
        </w:rPr>
      </w:pPr>
      <w:bookmarkStart w:id="114" w:name="_Ref138942812"/>
      <w:bookmarkStart w:id="115" w:name="_Ref134172320"/>
      <w:bookmarkEnd w:id="111"/>
      <w:bookmarkEnd w:id="112"/>
      <w:r w:rsidRPr="0041608F">
        <w:rPr>
          <w:rFonts w:eastAsiaTheme="majorEastAsia" w:cstheme="majorBidi"/>
          <w:b w:val="0"/>
          <w:bCs/>
          <w:lang w:val="en-GB"/>
        </w:rPr>
        <w:t xml:space="preserve">TTC values for relevant direction calculated considering small signal operational security stability limits (according </w:t>
      </w:r>
      <w:r w:rsidRPr="0041608F">
        <w:rPr>
          <w:rFonts w:eastAsiaTheme="majorEastAsia" w:cstheme="majorBidi"/>
          <w:b w:val="0"/>
          <w:bCs/>
          <w:lang w:val="en-GB"/>
        </w:rPr>
        <w:fldChar w:fldCharType="begin"/>
      </w:r>
      <w:r w:rsidRPr="0041608F">
        <w:rPr>
          <w:rFonts w:eastAsiaTheme="majorEastAsia" w:cstheme="majorBidi"/>
          <w:b w:val="0"/>
          <w:bCs/>
          <w:lang w:val="en-GB"/>
        </w:rPr>
        <w:instrText xml:space="preserve"> REF _Ref138942776 \r \h  \* MERGEFORMAT </w:instrText>
      </w:r>
      <w:r w:rsidRPr="0041608F">
        <w:rPr>
          <w:rFonts w:eastAsiaTheme="majorEastAsia" w:cstheme="majorBidi"/>
          <w:b w:val="0"/>
          <w:bCs/>
          <w:lang w:val="en-GB"/>
        </w:rPr>
      </w:r>
      <w:r w:rsidRPr="0041608F">
        <w:rPr>
          <w:rFonts w:eastAsiaTheme="majorEastAsia" w:cstheme="majorBidi"/>
          <w:b w:val="0"/>
          <w:bCs/>
          <w:lang w:val="en-GB"/>
        </w:rPr>
        <w:fldChar w:fldCharType="separate"/>
      </w:r>
      <w:r w:rsidR="00D71607">
        <w:rPr>
          <w:rFonts w:eastAsiaTheme="majorEastAsia" w:cstheme="majorBidi"/>
          <w:b w:val="0"/>
          <w:bCs/>
          <w:lang w:val="en-GB"/>
        </w:rPr>
        <w:t>11.2.3</w:t>
      </w:r>
      <w:r w:rsidRPr="0041608F">
        <w:rPr>
          <w:rFonts w:eastAsiaTheme="majorEastAsia" w:cstheme="majorBidi"/>
          <w:b w:val="0"/>
          <w:bCs/>
          <w:lang w:val="en-GB"/>
        </w:rPr>
        <w:fldChar w:fldCharType="end"/>
      </w:r>
      <w:r w:rsidRPr="0041608F">
        <w:rPr>
          <w:rFonts w:eastAsiaTheme="majorEastAsia" w:cstheme="majorBidi"/>
          <w:b w:val="0"/>
          <w:bCs/>
          <w:lang w:val="en-GB"/>
        </w:rPr>
        <w:t>.</w:t>
      </w:r>
      <w:r w:rsidRPr="0041608F">
        <w:rPr>
          <w:rFonts w:eastAsiaTheme="majorEastAsia" w:cstheme="majorBidi"/>
          <w:b w:val="0"/>
          <w:bCs/>
          <w:lang w:val="en-GB"/>
        </w:rPr>
        <w:fldChar w:fldCharType="begin"/>
      </w:r>
      <w:r w:rsidRPr="0041608F">
        <w:rPr>
          <w:rFonts w:eastAsiaTheme="majorEastAsia" w:cstheme="majorBidi"/>
          <w:b w:val="0"/>
          <w:bCs/>
          <w:lang w:val="en-GB"/>
        </w:rPr>
        <w:instrText xml:space="preserve"> REF _Ref138942759 \r \h  \* MERGEFORMAT </w:instrText>
      </w:r>
      <w:r w:rsidRPr="0041608F">
        <w:rPr>
          <w:rFonts w:eastAsiaTheme="majorEastAsia" w:cstheme="majorBidi"/>
          <w:b w:val="0"/>
          <w:bCs/>
          <w:lang w:val="en-GB"/>
        </w:rPr>
      </w:r>
      <w:r w:rsidRPr="0041608F">
        <w:rPr>
          <w:rFonts w:eastAsiaTheme="majorEastAsia" w:cstheme="majorBidi"/>
          <w:b w:val="0"/>
          <w:bCs/>
          <w:lang w:val="en-GB"/>
        </w:rPr>
        <w:fldChar w:fldCharType="separate"/>
      </w:r>
      <w:r w:rsidR="00D71607">
        <w:rPr>
          <w:rFonts w:eastAsiaTheme="majorEastAsia" w:cstheme="majorBidi"/>
          <w:b w:val="0"/>
          <w:bCs/>
          <w:lang w:val="en-GB"/>
        </w:rPr>
        <w:t>ii</w:t>
      </w:r>
      <w:r w:rsidRPr="0041608F">
        <w:rPr>
          <w:rFonts w:eastAsiaTheme="majorEastAsia" w:cstheme="majorBidi"/>
          <w:b w:val="0"/>
          <w:bCs/>
          <w:lang w:val="en-GB"/>
        </w:rPr>
        <w:fldChar w:fldCharType="end"/>
      </w:r>
      <w:r w:rsidRPr="0041608F">
        <w:rPr>
          <w:rFonts w:eastAsiaTheme="majorEastAsia" w:cstheme="majorBidi"/>
          <w:b w:val="0"/>
          <w:bCs/>
          <w:lang w:val="en-GB"/>
        </w:rPr>
        <w:t>) shall be defined  by applying following approach:</w:t>
      </w:r>
      <w:bookmarkEnd w:id="114"/>
      <w:r w:rsidRPr="0041608F">
        <w:rPr>
          <w:rFonts w:eastAsiaTheme="majorEastAsia" w:cstheme="majorBidi"/>
          <w:b w:val="0"/>
          <w:bCs/>
          <w:lang w:val="en-GB"/>
        </w:rPr>
        <w:t xml:space="preserve"> </w:t>
      </w:r>
    </w:p>
    <w:p w14:paraId="27211F8D" w14:textId="77777777" w:rsidR="00220AF2" w:rsidRPr="0041608F" w:rsidRDefault="00220AF2" w:rsidP="00220AF2">
      <w:pPr>
        <w:pStyle w:val="ListParagraph"/>
        <w:tabs>
          <w:tab w:val="left" w:pos="709"/>
        </w:tabs>
        <w:ind w:left="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0"/>
        <w:gridCol w:w="826"/>
      </w:tblGrid>
      <w:tr w:rsidR="00220AF2" w:rsidRPr="0041608F" w14:paraId="56BC8F52" w14:textId="77777777" w:rsidTr="000F73F9">
        <w:tc>
          <w:tcPr>
            <w:tcW w:w="8926" w:type="dxa"/>
          </w:tcPr>
          <w:p w14:paraId="3CC4348C" w14:textId="77777777" w:rsidR="00220AF2" w:rsidRPr="0041608F" w:rsidRDefault="00220AF2" w:rsidP="000F73F9">
            <w:pPr>
              <w:pStyle w:val="ListParagraph"/>
              <w:tabs>
                <w:tab w:val="left" w:pos="709"/>
              </w:tabs>
              <w:ind w:left="0"/>
              <w:rPr>
                <w:b w:val="0"/>
                <w:bCs/>
                <w:lang w:val="en-GB"/>
              </w:rPr>
            </w:pPr>
            <w:r w:rsidRPr="0041608F">
              <w:rPr>
                <w:b w:val="0"/>
                <w:bCs/>
                <w:lang w:val="en-GB"/>
              </w:rPr>
              <w:t>TTC</w:t>
            </w:r>
            <w:r w:rsidRPr="0041608F">
              <w:rPr>
                <w:b w:val="0"/>
                <w:bCs/>
                <w:i/>
                <w:iCs/>
                <w:vertAlign w:val="subscript"/>
                <w:lang w:val="en-GB"/>
              </w:rPr>
              <w:t>SS</w:t>
            </w:r>
            <w:r w:rsidRPr="0041608F">
              <w:rPr>
                <w:b w:val="0"/>
                <w:bCs/>
                <w:vertAlign w:val="subscript"/>
                <w:lang w:val="en-GB"/>
              </w:rPr>
              <w:t>(PL&gt;LT)</w:t>
            </w:r>
            <w:r w:rsidRPr="0041608F">
              <w:rPr>
                <w:b w:val="0"/>
                <w:bCs/>
                <w:lang w:val="en-GB"/>
              </w:rPr>
              <w:t xml:space="preserve"> = min (TTC</w:t>
            </w:r>
            <w:r w:rsidRPr="0041608F">
              <w:rPr>
                <w:b w:val="0"/>
                <w:bCs/>
                <w:vertAlign w:val="subscript"/>
                <w:lang w:val="en-GB"/>
              </w:rPr>
              <w:t>1(PL&gt;LT)</w:t>
            </w:r>
            <w:r w:rsidRPr="0041608F">
              <w:rPr>
                <w:b w:val="0"/>
                <w:bCs/>
                <w:lang w:val="en-GB"/>
              </w:rPr>
              <w:t>; TTC</w:t>
            </w:r>
            <w:r w:rsidRPr="0041608F">
              <w:rPr>
                <w:b w:val="0"/>
                <w:bCs/>
                <w:vertAlign w:val="subscript"/>
                <w:lang w:val="en-GB"/>
              </w:rPr>
              <w:t>2(PL&gt;LT)</w:t>
            </w:r>
            <w:proofErr w:type="gramStart"/>
            <w:r w:rsidRPr="0041608F">
              <w:rPr>
                <w:b w:val="0"/>
                <w:bCs/>
                <w:lang w:val="en-GB"/>
              </w:rPr>
              <w:t>);  TTC</w:t>
            </w:r>
            <w:r w:rsidRPr="0041608F">
              <w:rPr>
                <w:b w:val="0"/>
                <w:bCs/>
                <w:i/>
                <w:iCs/>
                <w:vertAlign w:val="subscript"/>
                <w:lang w:val="en-GB"/>
              </w:rPr>
              <w:t>SS</w:t>
            </w:r>
            <w:proofErr w:type="gramEnd"/>
            <w:r w:rsidRPr="0041608F">
              <w:rPr>
                <w:b w:val="0"/>
                <w:bCs/>
                <w:vertAlign w:val="subscript"/>
                <w:lang w:val="en-GB"/>
              </w:rPr>
              <w:t>(LT&gt;PL)</w:t>
            </w:r>
            <w:r w:rsidRPr="0041608F">
              <w:rPr>
                <w:b w:val="0"/>
                <w:bCs/>
                <w:lang w:val="en-GB"/>
              </w:rPr>
              <w:t xml:space="preserve"> = min (TTC</w:t>
            </w:r>
            <w:r w:rsidRPr="0041608F">
              <w:rPr>
                <w:b w:val="0"/>
                <w:bCs/>
                <w:vertAlign w:val="subscript"/>
                <w:lang w:val="en-GB"/>
              </w:rPr>
              <w:t>1(LT&gt;PL)</w:t>
            </w:r>
            <w:r w:rsidRPr="0041608F">
              <w:rPr>
                <w:b w:val="0"/>
                <w:bCs/>
                <w:lang w:val="en-GB"/>
              </w:rPr>
              <w:t>; TTC</w:t>
            </w:r>
            <w:r w:rsidRPr="0041608F">
              <w:rPr>
                <w:b w:val="0"/>
                <w:bCs/>
                <w:vertAlign w:val="subscript"/>
                <w:lang w:val="en-GB"/>
              </w:rPr>
              <w:t>2(LT&gt;PL)</w:t>
            </w:r>
            <w:r w:rsidRPr="0041608F">
              <w:rPr>
                <w:b w:val="0"/>
                <w:bCs/>
                <w:lang w:val="en-GB"/>
              </w:rPr>
              <w:t>)</w:t>
            </w:r>
            <w:r w:rsidRPr="0041608F">
              <w:rPr>
                <w:b w:val="0"/>
                <w:bCs/>
                <w:i/>
                <w:iCs/>
                <w:lang w:val="en-GB"/>
              </w:rPr>
              <w:t xml:space="preserve">    </w:t>
            </w:r>
          </w:p>
        </w:tc>
        <w:tc>
          <w:tcPr>
            <w:tcW w:w="826" w:type="dxa"/>
          </w:tcPr>
          <w:p w14:paraId="4E20ADE8" w14:textId="3523ED9D" w:rsidR="00220AF2" w:rsidRPr="0041608F" w:rsidRDefault="00220AF2" w:rsidP="000F73F9">
            <w:pPr>
              <w:pStyle w:val="ListParagraph"/>
              <w:tabs>
                <w:tab w:val="left" w:pos="709"/>
              </w:tabs>
              <w:ind w:left="0"/>
              <w:jc w:val="right"/>
              <w:rPr>
                <w:b w:val="0"/>
                <w:bCs/>
                <w:lang w:val="en-GB"/>
              </w:rPr>
            </w:pPr>
            <w:r w:rsidRPr="0041608F">
              <w:rPr>
                <w:b w:val="0"/>
                <w:bCs/>
                <w:lang w:val="en-GB"/>
              </w:rPr>
              <w:t>(</w:t>
            </w:r>
            <w:r w:rsidRPr="0041608F">
              <w:rPr>
                <w:b w:val="0"/>
                <w:bCs/>
                <w:lang w:val="en-GB"/>
              </w:rPr>
              <w:fldChar w:fldCharType="begin"/>
            </w:r>
            <w:r w:rsidRPr="0041608F">
              <w:rPr>
                <w:b w:val="0"/>
                <w:bCs/>
                <w:lang w:val="en-GB"/>
              </w:rPr>
              <w:instrText xml:space="preserve"> SEQ Equation \* ARABIC </w:instrText>
            </w:r>
            <w:r w:rsidRPr="0041608F">
              <w:rPr>
                <w:b w:val="0"/>
                <w:bCs/>
                <w:lang w:val="en-GB"/>
              </w:rPr>
              <w:fldChar w:fldCharType="separate"/>
            </w:r>
            <w:r w:rsidR="00D71607">
              <w:rPr>
                <w:b w:val="0"/>
                <w:bCs/>
                <w:noProof/>
                <w:lang w:val="en-GB"/>
              </w:rPr>
              <w:t>7</w:t>
            </w:r>
            <w:r w:rsidRPr="0041608F">
              <w:rPr>
                <w:b w:val="0"/>
                <w:bCs/>
                <w:lang w:val="en-GB"/>
              </w:rPr>
              <w:fldChar w:fldCharType="end"/>
            </w:r>
            <w:r w:rsidRPr="0041608F">
              <w:rPr>
                <w:b w:val="0"/>
                <w:bCs/>
                <w:lang w:val="en-GB"/>
              </w:rPr>
              <w:t>)</w:t>
            </w:r>
          </w:p>
        </w:tc>
      </w:tr>
    </w:tbl>
    <w:p w14:paraId="1AD3282A" w14:textId="211EBC73" w:rsidR="00220AF2" w:rsidRPr="0041608F" w:rsidRDefault="00220AF2" w:rsidP="00220AF2">
      <w:pPr>
        <w:rPr>
          <w:lang w:val="en-GB"/>
        </w:rPr>
      </w:pPr>
      <w:r w:rsidRPr="0041608F">
        <w:rPr>
          <w:lang w:val="en-GB"/>
        </w:rPr>
        <w:t>Where:</w:t>
      </w:r>
    </w:p>
    <w:p w14:paraId="31B891E6" w14:textId="77777777" w:rsidR="00220AF2" w:rsidRPr="0041608F" w:rsidRDefault="00220AF2" w:rsidP="00220AF2">
      <w:pPr>
        <w:pStyle w:val="Bodytext22"/>
        <w:tabs>
          <w:tab w:val="left" w:pos="567"/>
        </w:tabs>
        <w:spacing w:line="240" w:lineRule="auto"/>
        <w:ind w:firstLine="0"/>
        <w:rPr>
          <w:lang w:val="en-GB"/>
        </w:rPr>
      </w:pPr>
      <w:r w:rsidRPr="0041608F">
        <w:rPr>
          <w:b/>
          <w:bCs/>
          <w:lang w:val="en-GB"/>
        </w:rPr>
        <w:t>TTC</w:t>
      </w:r>
      <w:r w:rsidRPr="0041608F">
        <w:rPr>
          <w:b/>
          <w:bCs/>
          <w:i/>
          <w:iCs/>
          <w:vertAlign w:val="subscript"/>
          <w:lang w:val="en-GB"/>
        </w:rPr>
        <w:t>SS</w:t>
      </w:r>
      <w:r w:rsidRPr="0041608F">
        <w:rPr>
          <w:b/>
          <w:bCs/>
          <w:vertAlign w:val="subscript"/>
          <w:lang w:val="en-GB"/>
        </w:rPr>
        <w:t>(PL&gt;LT)</w:t>
      </w:r>
      <w:r w:rsidRPr="0041608F">
        <w:rPr>
          <w:b/>
          <w:bCs/>
          <w:lang w:val="en-GB"/>
        </w:rPr>
        <w:t>; TTC</w:t>
      </w:r>
      <w:r w:rsidRPr="0041608F">
        <w:rPr>
          <w:b/>
          <w:bCs/>
          <w:i/>
          <w:iCs/>
          <w:vertAlign w:val="subscript"/>
          <w:lang w:val="en-GB"/>
        </w:rPr>
        <w:t>SS</w:t>
      </w:r>
      <w:r w:rsidRPr="0041608F">
        <w:rPr>
          <w:b/>
          <w:bCs/>
          <w:vertAlign w:val="subscript"/>
          <w:lang w:val="en-GB"/>
        </w:rPr>
        <w:t>(LT&gt;PL)</w:t>
      </w:r>
      <w:r w:rsidRPr="0041608F">
        <w:rPr>
          <w:b/>
          <w:bCs/>
          <w:i/>
          <w:iCs/>
          <w:vertAlign w:val="subscript"/>
          <w:lang w:val="en-GB"/>
        </w:rPr>
        <w:t xml:space="preserve"> </w:t>
      </w:r>
      <w:r w:rsidRPr="0041608F">
        <w:rPr>
          <w:lang w:val="en-GB"/>
        </w:rPr>
        <w:t>– Total Transfer Capacity considering dynamic small signal stability limits.</w:t>
      </w:r>
    </w:p>
    <w:p w14:paraId="10C1F8B4" w14:textId="77777777" w:rsidR="00220AF2" w:rsidRPr="0041608F" w:rsidRDefault="00220AF2" w:rsidP="00220AF2">
      <w:pPr>
        <w:pStyle w:val="Bodytext22"/>
        <w:tabs>
          <w:tab w:val="left" w:pos="567"/>
        </w:tabs>
        <w:spacing w:after="60" w:line="240" w:lineRule="auto"/>
        <w:ind w:firstLine="0"/>
        <w:rPr>
          <w:rFonts w:eastAsia="Courier New" w:cs="Courier New"/>
          <w:lang w:val="en-GB"/>
        </w:rPr>
      </w:pPr>
      <w:r w:rsidRPr="0041608F">
        <w:rPr>
          <w:rFonts w:eastAsia="Courier New" w:cs="Courier New"/>
          <w:b/>
          <w:bCs/>
          <w:lang w:val="en-GB"/>
        </w:rPr>
        <w:t>TTC</w:t>
      </w:r>
      <w:r w:rsidRPr="0041608F">
        <w:rPr>
          <w:rFonts w:eastAsia="Courier New" w:cs="Courier New"/>
          <w:b/>
          <w:bCs/>
          <w:vertAlign w:val="subscript"/>
          <w:lang w:val="en-GB"/>
        </w:rPr>
        <w:t>1</w:t>
      </w:r>
      <w:r w:rsidRPr="0041608F">
        <w:rPr>
          <w:b/>
          <w:bCs/>
          <w:vertAlign w:val="subscript"/>
          <w:lang w:val="en-GB"/>
        </w:rPr>
        <w:t>(PL&gt;LT)</w:t>
      </w:r>
      <w:r w:rsidRPr="0041608F">
        <w:rPr>
          <w:b/>
          <w:bCs/>
          <w:lang w:val="en-GB"/>
        </w:rPr>
        <w:t xml:space="preserve">; </w:t>
      </w:r>
      <w:r w:rsidRPr="0041608F">
        <w:rPr>
          <w:rFonts w:eastAsia="Courier New" w:cs="Courier New"/>
          <w:b/>
          <w:bCs/>
          <w:lang w:val="en-GB"/>
        </w:rPr>
        <w:t>TTC</w:t>
      </w:r>
      <w:r w:rsidRPr="0041608F">
        <w:rPr>
          <w:rFonts w:eastAsia="Courier New" w:cs="Courier New"/>
          <w:b/>
          <w:bCs/>
          <w:vertAlign w:val="subscript"/>
          <w:lang w:val="en-GB"/>
        </w:rPr>
        <w:t>1</w:t>
      </w:r>
      <w:r w:rsidRPr="0041608F">
        <w:rPr>
          <w:b/>
          <w:bCs/>
          <w:vertAlign w:val="subscript"/>
          <w:lang w:val="en-GB"/>
        </w:rPr>
        <w:t>(LT&gt;PL)</w:t>
      </w:r>
      <w:r w:rsidRPr="0041608F">
        <w:rPr>
          <w:rFonts w:eastAsia="Courier New" w:cs="Courier New"/>
          <w:vertAlign w:val="subscript"/>
          <w:lang w:val="en-GB"/>
        </w:rPr>
        <w:t xml:space="preserve"> </w:t>
      </w:r>
      <w:r w:rsidRPr="0041608F">
        <w:rPr>
          <w:lang w:val="en-GB"/>
        </w:rPr>
        <w:t>–</w:t>
      </w:r>
      <w:r w:rsidRPr="0041608F">
        <w:rPr>
          <w:rFonts w:eastAsia="Courier New" w:cs="Courier New"/>
          <w:lang w:val="en-GB"/>
        </w:rPr>
        <w:t xml:space="preserve"> small signal stability limit with N-1 line outages evaluation </w:t>
      </w:r>
      <w:r w:rsidRPr="0041608F">
        <w:rPr>
          <w:lang w:val="en-GB"/>
        </w:rPr>
        <w:t>in directions to PL&gt;LT and LT&gt;PL</w:t>
      </w:r>
      <w:r w:rsidRPr="0041608F">
        <w:rPr>
          <w:rFonts w:eastAsia="Courier New" w:cs="Courier New"/>
          <w:lang w:val="en-GB"/>
        </w:rPr>
        <w:t>.</w:t>
      </w:r>
    </w:p>
    <w:p w14:paraId="7C6EC430" w14:textId="47F9D8E2" w:rsidR="00220AF2" w:rsidRPr="0041608F" w:rsidRDefault="00220AF2" w:rsidP="00220AF2">
      <w:pPr>
        <w:tabs>
          <w:tab w:val="left" w:pos="709"/>
        </w:tabs>
        <w:spacing w:after="60"/>
        <w:rPr>
          <w:color w:val="000000" w:themeColor="text1"/>
          <w:lang w:val="en-GB"/>
        </w:rPr>
      </w:pPr>
      <w:r w:rsidRPr="0041608F">
        <w:rPr>
          <w:b/>
          <w:bCs/>
          <w:lang w:val="en-GB"/>
        </w:rPr>
        <w:t>TTC</w:t>
      </w:r>
      <w:r w:rsidRPr="0041608F">
        <w:rPr>
          <w:b/>
          <w:bCs/>
          <w:vertAlign w:val="subscript"/>
          <w:lang w:val="en-GB"/>
        </w:rPr>
        <w:t>2(PL&gt;LT)</w:t>
      </w:r>
      <w:r w:rsidRPr="0041608F">
        <w:rPr>
          <w:b/>
          <w:bCs/>
          <w:lang w:val="en-GB"/>
        </w:rPr>
        <w:t>; TTC</w:t>
      </w:r>
      <w:r w:rsidRPr="0041608F">
        <w:rPr>
          <w:b/>
          <w:bCs/>
          <w:vertAlign w:val="subscript"/>
          <w:lang w:val="en-GB"/>
        </w:rPr>
        <w:t>2(LT&gt;PL)</w:t>
      </w:r>
      <w:r w:rsidRPr="0041608F">
        <w:rPr>
          <w:lang w:val="en-GB"/>
        </w:rPr>
        <w:t xml:space="preserve"> – security limit based on small signal stability criteria without N-1 line outages evaluation</w:t>
      </w:r>
      <w:r w:rsidRPr="0041608F">
        <w:rPr>
          <w:rFonts w:eastAsiaTheme="majorEastAsia" w:cstheme="majorBidi"/>
          <w:lang w:val="en-GB"/>
        </w:rPr>
        <w:t xml:space="preserve"> shall</w:t>
      </w:r>
      <w:r w:rsidRPr="0041608F">
        <w:rPr>
          <w:lang w:val="en-GB"/>
        </w:rPr>
        <w:t xml:space="preserve"> be calculated considering security limits</w:t>
      </w:r>
      <w:r w:rsidR="007A7D2B" w:rsidRPr="0041608F">
        <w:rPr>
          <w:lang w:val="en-GB"/>
        </w:rPr>
        <w:t xml:space="preserve"> based </w:t>
      </w:r>
      <w:r w:rsidRPr="0041608F">
        <w:rPr>
          <w:lang w:val="en-GB"/>
        </w:rPr>
        <w:t xml:space="preserve">on small signal stability criteria and possible loss of </w:t>
      </w:r>
      <w:r w:rsidRPr="0041608F">
        <w:rPr>
          <w:b/>
          <w:bCs/>
          <w:lang w:val="en-GB"/>
        </w:rPr>
        <w:t xml:space="preserve">biggest infeed in Baltic PS </w:t>
      </w:r>
      <w:r w:rsidRPr="0041608F">
        <w:rPr>
          <w:lang w:val="en-GB"/>
        </w:rPr>
        <w:t>in directions to PL&gt;LT and LT&gt;PL.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gridCol w:w="685"/>
      </w:tblGrid>
      <w:tr w:rsidR="00220AF2" w:rsidRPr="0041608F" w14:paraId="55573182" w14:textId="77777777" w:rsidTr="000F73F9">
        <w:tc>
          <w:tcPr>
            <w:tcW w:w="9067" w:type="dxa"/>
          </w:tcPr>
          <w:p w14:paraId="274D4C3D" w14:textId="77777777" w:rsidR="00220AF2" w:rsidRPr="0041608F" w:rsidRDefault="00220AF2" w:rsidP="000F73F9">
            <w:pPr>
              <w:tabs>
                <w:tab w:val="left" w:pos="709"/>
              </w:tabs>
              <w:jc w:val="center"/>
              <w:rPr>
                <w:lang w:val="en-GB"/>
              </w:rPr>
            </w:pPr>
            <w:r w:rsidRPr="0041608F">
              <w:rPr>
                <w:lang w:val="en-GB"/>
              </w:rPr>
              <w:t>TTC</w:t>
            </w:r>
            <w:r w:rsidRPr="0041608F">
              <w:rPr>
                <w:vertAlign w:val="subscript"/>
                <w:lang w:val="en-GB"/>
              </w:rPr>
              <w:t xml:space="preserve">2(PL&gt;LT) </w:t>
            </w:r>
            <w:r w:rsidRPr="0041608F">
              <w:rPr>
                <w:lang w:val="en-GB"/>
              </w:rPr>
              <w:t>= TTC</w:t>
            </w:r>
            <w:r w:rsidRPr="0041608F">
              <w:rPr>
                <w:vertAlign w:val="subscript"/>
                <w:lang w:val="en-GB"/>
              </w:rPr>
              <w:t>0</w:t>
            </w:r>
            <w:r w:rsidRPr="0041608F">
              <w:rPr>
                <w:iCs/>
                <w:vertAlign w:val="subscript"/>
                <w:lang w:val="en-GB"/>
              </w:rPr>
              <w:t>(</w:t>
            </w:r>
            <w:r w:rsidRPr="0041608F">
              <w:rPr>
                <w:vertAlign w:val="subscript"/>
                <w:lang w:val="en-GB"/>
              </w:rPr>
              <w:t>PL</w:t>
            </w:r>
            <w:r w:rsidRPr="0041608F">
              <w:rPr>
                <w:iCs/>
                <w:vertAlign w:val="subscript"/>
                <w:lang w:val="en-GB"/>
              </w:rPr>
              <w:t>&gt;</w:t>
            </w:r>
            <w:r w:rsidRPr="0041608F">
              <w:rPr>
                <w:vertAlign w:val="subscript"/>
                <w:lang w:val="en-GB"/>
              </w:rPr>
              <w:t>LT</w:t>
            </w:r>
            <w:r w:rsidRPr="0041608F">
              <w:rPr>
                <w:iCs/>
                <w:vertAlign w:val="subscript"/>
                <w:lang w:val="en-GB"/>
              </w:rPr>
              <w:t>)</w:t>
            </w:r>
            <w:r w:rsidRPr="0041608F">
              <w:rPr>
                <w:lang w:val="en-GB"/>
              </w:rPr>
              <w:t xml:space="preserve"> – </w:t>
            </w:r>
            <w:proofErr w:type="spellStart"/>
            <w:proofErr w:type="gramStart"/>
            <w:r w:rsidRPr="0041608F">
              <w:rPr>
                <w:lang w:val="en-GB"/>
              </w:rPr>
              <w:t>MaxInf</w:t>
            </w:r>
            <w:proofErr w:type="spellEnd"/>
            <w:r w:rsidRPr="0041608F">
              <w:rPr>
                <w:lang w:val="en-GB"/>
              </w:rPr>
              <w:t xml:space="preserve">;   </w:t>
            </w:r>
            <w:proofErr w:type="gramEnd"/>
            <w:r w:rsidRPr="0041608F">
              <w:rPr>
                <w:lang w:val="en-GB"/>
              </w:rPr>
              <w:t xml:space="preserve">  TTC</w:t>
            </w:r>
            <w:r w:rsidRPr="0041608F">
              <w:rPr>
                <w:vertAlign w:val="subscript"/>
                <w:lang w:val="en-GB"/>
              </w:rPr>
              <w:t>2(LT&gt;PL)</w:t>
            </w:r>
            <w:r w:rsidRPr="0041608F">
              <w:rPr>
                <w:lang w:val="en-GB"/>
              </w:rPr>
              <w:t xml:space="preserve"> = TTC</w:t>
            </w:r>
            <w:r w:rsidRPr="0041608F">
              <w:rPr>
                <w:vertAlign w:val="subscript"/>
                <w:lang w:val="en-GB"/>
              </w:rPr>
              <w:t>0</w:t>
            </w:r>
            <w:r w:rsidRPr="0041608F">
              <w:rPr>
                <w:iCs/>
                <w:vertAlign w:val="subscript"/>
                <w:lang w:val="en-GB"/>
              </w:rPr>
              <w:t>(</w:t>
            </w:r>
            <w:r w:rsidRPr="0041608F">
              <w:rPr>
                <w:vertAlign w:val="subscript"/>
                <w:lang w:val="en-GB"/>
              </w:rPr>
              <w:t>LT</w:t>
            </w:r>
            <w:r w:rsidRPr="0041608F">
              <w:rPr>
                <w:iCs/>
                <w:vertAlign w:val="subscript"/>
                <w:lang w:val="en-GB"/>
              </w:rPr>
              <w:t>&gt;</w:t>
            </w:r>
            <w:r w:rsidRPr="0041608F">
              <w:rPr>
                <w:vertAlign w:val="subscript"/>
                <w:lang w:val="en-GB"/>
              </w:rPr>
              <w:t>PL</w:t>
            </w:r>
            <w:r w:rsidRPr="0041608F">
              <w:rPr>
                <w:iCs/>
                <w:vertAlign w:val="subscript"/>
                <w:lang w:val="en-GB"/>
              </w:rPr>
              <w:t>)</w:t>
            </w:r>
            <w:r w:rsidRPr="0041608F">
              <w:rPr>
                <w:lang w:val="en-GB"/>
              </w:rPr>
              <w:t xml:space="preserve"> – </w:t>
            </w:r>
            <w:proofErr w:type="spellStart"/>
            <w:r w:rsidRPr="0041608F">
              <w:rPr>
                <w:lang w:val="en-GB"/>
              </w:rPr>
              <w:t>MaxDem</w:t>
            </w:r>
            <w:proofErr w:type="spellEnd"/>
          </w:p>
        </w:tc>
        <w:tc>
          <w:tcPr>
            <w:tcW w:w="685" w:type="dxa"/>
          </w:tcPr>
          <w:p w14:paraId="5B7291FB" w14:textId="39DCBF14" w:rsidR="00220AF2" w:rsidRPr="0041608F" w:rsidRDefault="00220AF2" w:rsidP="000F73F9">
            <w:pPr>
              <w:tabs>
                <w:tab w:val="left" w:pos="709"/>
              </w:tabs>
              <w:jc w:val="right"/>
              <w:rPr>
                <w:lang w:val="en-GB"/>
              </w:rPr>
            </w:pPr>
            <w:bookmarkStart w:id="116" w:name="_Ref153271212"/>
            <w:r w:rsidRPr="0041608F">
              <w:rPr>
                <w:lang w:val="en-GB"/>
              </w:rPr>
              <w:t>(</w:t>
            </w:r>
            <w:r w:rsidRPr="0041608F">
              <w:rPr>
                <w:lang w:val="en-GB"/>
              </w:rPr>
              <w:fldChar w:fldCharType="begin"/>
            </w:r>
            <w:r w:rsidRPr="0041608F">
              <w:rPr>
                <w:lang w:val="en-GB"/>
              </w:rPr>
              <w:instrText xml:space="preserve"> SEQ Equation \* ARABIC </w:instrText>
            </w:r>
            <w:r w:rsidRPr="0041608F">
              <w:rPr>
                <w:lang w:val="en-GB"/>
              </w:rPr>
              <w:fldChar w:fldCharType="separate"/>
            </w:r>
            <w:r w:rsidR="00D71607">
              <w:rPr>
                <w:noProof/>
                <w:lang w:val="en-GB"/>
              </w:rPr>
              <w:t>8</w:t>
            </w:r>
            <w:r w:rsidRPr="0041608F">
              <w:rPr>
                <w:noProof/>
                <w:lang w:val="en-GB"/>
              </w:rPr>
              <w:fldChar w:fldCharType="end"/>
            </w:r>
            <w:r w:rsidRPr="0041608F">
              <w:rPr>
                <w:lang w:val="en-GB"/>
              </w:rPr>
              <w:t>)</w:t>
            </w:r>
            <w:bookmarkEnd w:id="116"/>
          </w:p>
        </w:tc>
      </w:tr>
    </w:tbl>
    <w:p w14:paraId="0D133494" w14:textId="77777777" w:rsidR="00220AF2" w:rsidRPr="0041608F" w:rsidRDefault="00220AF2" w:rsidP="00220AF2">
      <w:pPr>
        <w:spacing w:before="240"/>
        <w:rPr>
          <w:rFonts w:eastAsiaTheme="majorEastAsia" w:cstheme="majorBidi"/>
          <w:szCs w:val="32"/>
          <w:lang w:val="en-GB"/>
        </w:rPr>
      </w:pPr>
      <w:r w:rsidRPr="0041608F">
        <w:rPr>
          <w:rFonts w:eastAsiaTheme="majorEastAsia" w:cstheme="majorBidi"/>
          <w:szCs w:val="32"/>
          <w:lang w:val="en-GB"/>
        </w:rPr>
        <w:t>Where:</w:t>
      </w:r>
    </w:p>
    <w:p w14:paraId="34D4B7E8" w14:textId="25B131BA" w:rsidR="00220AF2" w:rsidRPr="0041608F" w:rsidRDefault="00220AF2" w:rsidP="00220AF2">
      <w:pPr>
        <w:spacing w:after="60"/>
        <w:rPr>
          <w:lang w:val="en-GB"/>
        </w:rPr>
      </w:pPr>
      <w:r w:rsidRPr="0041608F">
        <w:rPr>
          <w:rFonts w:eastAsiaTheme="majorEastAsia" w:cstheme="majorBidi"/>
          <w:b/>
          <w:bCs/>
          <w:lang w:val="en-GB"/>
        </w:rPr>
        <w:t>TTC</w:t>
      </w:r>
      <w:r w:rsidRPr="0041608F">
        <w:rPr>
          <w:rFonts w:eastAsiaTheme="majorEastAsia" w:cstheme="majorBidi"/>
          <w:b/>
          <w:bCs/>
          <w:vertAlign w:val="subscript"/>
          <w:lang w:val="en-GB"/>
        </w:rPr>
        <w:t>0</w:t>
      </w:r>
      <w:r w:rsidRPr="0041608F">
        <w:rPr>
          <w:b/>
          <w:bCs/>
          <w:vertAlign w:val="subscript"/>
          <w:lang w:val="en-GB"/>
        </w:rPr>
        <w:t>(PL&gt;LT)</w:t>
      </w:r>
      <w:r w:rsidRPr="0041608F">
        <w:rPr>
          <w:rFonts w:eastAsiaTheme="majorEastAsia" w:cstheme="majorBidi"/>
          <w:lang w:val="en-GB"/>
        </w:rPr>
        <w:t xml:space="preserve">; </w:t>
      </w:r>
      <w:r w:rsidRPr="0041608F">
        <w:rPr>
          <w:rFonts w:eastAsiaTheme="majorEastAsia" w:cstheme="majorBidi"/>
          <w:b/>
          <w:bCs/>
          <w:lang w:val="en-GB"/>
        </w:rPr>
        <w:t>TTC</w:t>
      </w:r>
      <w:r w:rsidRPr="0041608F">
        <w:rPr>
          <w:rFonts w:eastAsiaTheme="majorEastAsia" w:cstheme="majorBidi"/>
          <w:b/>
          <w:bCs/>
          <w:vertAlign w:val="subscript"/>
          <w:lang w:val="en-GB"/>
        </w:rPr>
        <w:t>0</w:t>
      </w:r>
      <w:r w:rsidRPr="0041608F">
        <w:rPr>
          <w:b/>
          <w:bCs/>
          <w:vertAlign w:val="subscript"/>
          <w:lang w:val="en-GB"/>
        </w:rPr>
        <w:t>(LT&gt;PL)</w:t>
      </w:r>
      <w:r w:rsidRPr="0041608F">
        <w:rPr>
          <w:rFonts w:eastAsiaTheme="majorEastAsia" w:cstheme="majorBidi"/>
          <w:lang w:val="en-GB"/>
        </w:rPr>
        <w:t xml:space="preserve"> </w:t>
      </w:r>
      <w:r w:rsidRPr="0041608F">
        <w:rPr>
          <w:lang w:val="en-GB"/>
        </w:rPr>
        <w:t>–</w:t>
      </w:r>
      <w:r w:rsidRPr="0041608F">
        <w:rPr>
          <w:rFonts w:eastAsiaTheme="majorEastAsia" w:cstheme="majorBidi"/>
          <w:lang w:val="en-GB"/>
        </w:rPr>
        <w:t xml:space="preserve"> small signal stability limit without </w:t>
      </w:r>
      <w:r w:rsidRPr="0041608F">
        <w:rPr>
          <w:lang w:val="en-GB"/>
        </w:rPr>
        <w:t>N-</w:t>
      </w:r>
      <w:proofErr w:type="gramStart"/>
      <w:r w:rsidRPr="0041608F">
        <w:rPr>
          <w:lang w:val="en-GB"/>
        </w:rPr>
        <w:t>1</w:t>
      </w:r>
      <w:r w:rsidR="005905B2" w:rsidRPr="0041608F">
        <w:rPr>
          <w:lang w:val="en-GB"/>
        </w:rPr>
        <w:t xml:space="preserve"> </w:t>
      </w:r>
      <w:r w:rsidRPr="0041608F">
        <w:rPr>
          <w:lang w:val="en-GB"/>
        </w:rPr>
        <w:t>line</w:t>
      </w:r>
      <w:proofErr w:type="gramEnd"/>
      <w:r w:rsidRPr="0041608F">
        <w:rPr>
          <w:lang w:val="en-GB"/>
        </w:rPr>
        <w:t xml:space="preserve"> outages for direction PL&gt;LT and LT&gt;PL.</w:t>
      </w:r>
    </w:p>
    <w:p w14:paraId="5FA00437" w14:textId="77777777" w:rsidR="00220AF2" w:rsidRPr="0041608F" w:rsidRDefault="00220AF2" w:rsidP="00220AF2">
      <w:pPr>
        <w:rPr>
          <w:lang w:val="en-GB"/>
        </w:rPr>
      </w:pPr>
      <w:proofErr w:type="spellStart"/>
      <w:r w:rsidRPr="0041608F">
        <w:rPr>
          <w:b/>
          <w:lang w:val="en-GB"/>
        </w:rPr>
        <w:t>MaxInf</w:t>
      </w:r>
      <w:proofErr w:type="spellEnd"/>
      <w:r w:rsidRPr="0041608F">
        <w:rPr>
          <w:bCs/>
          <w:lang w:val="en-GB"/>
        </w:rPr>
        <w:t xml:space="preserve"> </w:t>
      </w:r>
      <w:r w:rsidRPr="0041608F">
        <w:rPr>
          <w:lang w:val="en-GB"/>
        </w:rPr>
        <w:t>- biggest N-1 infeed disconnection in BSPS.</w:t>
      </w:r>
    </w:p>
    <w:p w14:paraId="18CE9005" w14:textId="77777777" w:rsidR="00220AF2" w:rsidRPr="0041608F" w:rsidRDefault="00220AF2" w:rsidP="00220AF2">
      <w:pPr>
        <w:rPr>
          <w:rFonts w:eastAsiaTheme="majorEastAsia" w:cstheme="majorBidi"/>
          <w:lang w:val="en-GB"/>
        </w:rPr>
      </w:pPr>
      <w:proofErr w:type="spellStart"/>
      <w:r w:rsidRPr="0041608F">
        <w:rPr>
          <w:rFonts w:eastAsiaTheme="majorEastAsia" w:cstheme="majorBidi"/>
          <w:b/>
          <w:bCs/>
          <w:lang w:val="en-GB"/>
        </w:rPr>
        <w:t>MaxDem</w:t>
      </w:r>
      <w:proofErr w:type="spellEnd"/>
      <w:r w:rsidRPr="0041608F">
        <w:rPr>
          <w:rFonts w:eastAsiaTheme="majorEastAsia" w:cstheme="majorBidi"/>
          <w:lang w:val="en-GB"/>
        </w:rPr>
        <w:t xml:space="preserve"> - biggest N-1 demand disconnection in BSPS.</w:t>
      </w:r>
    </w:p>
    <w:p w14:paraId="4777C1B8" w14:textId="339EE562" w:rsidR="00220AF2" w:rsidRPr="0041608F" w:rsidRDefault="00220AF2" w:rsidP="00220AF2">
      <w:pPr>
        <w:pStyle w:val="ListParagraph"/>
        <w:widowControl w:val="0"/>
        <w:numPr>
          <w:ilvl w:val="1"/>
          <w:numId w:val="21"/>
        </w:numPr>
        <w:tabs>
          <w:tab w:val="left" w:pos="709"/>
        </w:tabs>
        <w:spacing w:before="0" w:after="240"/>
        <w:jc w:val="both"/>
        <w:rPr>
          <w:b w:val="0"/>
          <w:bCs/>
          <w:lang w:val="en-GB"/>
        </w:rPr>
      </w:pPr>
      <w:bookmarkStart w:id="117" w:name="_Ref146528941"/>
      <w:r w:rsidRPr="0041608F">
        <w:rPr>
          <w:rFonts w:eastAsiaTheme="majorEastAsia" w:cstheme="majorBidi"/>
          <w:b w:val="0"/>
          <w:bCs/>
          <w:lang w:val="en-GB"/>
        </w:rPr>
        <w:t xml:space="preserve">The hourly values of matched TTC according to Operational security limits defined in </w:t>
      </w:r>
      <w:r w:rsidRPr="0041608F">
        <w:rPr>
          <w:rFonts w:eastAsiaTheme="majorEastAsia" w:cstheme="majorBidi"/>
          <w:b w:val="0"/>
          <w:bCs/>
          <w:lang w:val="en-GB"/>
        </w:rPr>
        <w:fldChar w:fldCharType="begin"/>
      </w:r>
      <w:r w:rsidRPr="0041608F">
        <w:rPr>
          <w:rFonts w:eastAsiaTheme="majorEastAsia" w:cstheme="majorBidi"/>
          <w:b w:val="0"/>
          <w:bCs/>
          <w:lang w:val="en-GB"/>
        </w:rPr>
        <w:instrText xml:space="preserve"> REF _Ref138942852 \r \h  \* MERGEFORMAT </w:instrText>
      </w:r>
      <w:r w:rsidRPr="0041608F">
        <w:rPr>
          <w:rFonts w:eastAsiaTheme="majorEastAsia" w:cstheme="majorBidi"/>
          <w:b w:val="0"/>
          <w:bCs/>
          <w:lang w:val="en-GB"/>
        </w:rPr>
      </w:r>
      <w:r w:rsidRPr="0041608F">
        <w:rPr>
          <w:rFonts w:eastAsiaTheme="majorEastAsia" w:cstheme="majorBidi"/>
          <w:b w:val="0"/>
          <w:bCs/>
          <w:lang w:val="en-GB"/>
        </w:rPr>
        <w:fldChar w:fldCharType="separate"/>
      </w:r>
      <w:r w:rsidR="00D71607">
        <w:rPr>
          <w:rFonts w:eastAsiaTheme="majorEastAsia" w:cstheme="majorBidi"/>
          <w:b w:val="0"/>
          <w:bCs/>
          <w:lang w:val="en-GB"/>
        </w:rPr>
        <w:t>11.2.1</w:t>
      </w:r>
      <w:r w:rsidRPr="0041608F">
        <w:rPr>
          <w:rFonts w:eastAsiaTheme="majorEastAsia" w:cstheme="majorBidi"/>
          <w:b w:val="0"/>
          <w:bCs/>
          <w:lang w:val="en-GB"/>
        </w:rPr>
        <w:fldChar w:fldCharType="end"/>
      </w:r>
      <w:r w:rsidRPr="0041608F">
        <w:rPr>
          <w:rFonts w:eastAsiaTheme="majorEastAsia" w:cstheme="majorBidi"/>
          <w:b w:val="0"/>
          <w:bCs/>
          <w:lang w:val="en-GB"/>
        </w:rPr>
        <w:t xml:space="preserve"> -</w:t>
      </w:r>
      <w:r w:rsidRPr="0041608F">
        <w:rPr>
          <w:rFonts w:eastAsiaTheme="majorEastAsia" w:cstheme="majorBidi"/>
          <w:b w:val="0"/>
          <w:bCs/>
          <w:lang w:val="en-GB"/>
        </w:rPr>
        <w:fldChar w:fldCharType="begin"/>
      </w:r>
      <w:r w:rsidRPr="0041608F">
        <w:rPr>
          <w:rFonts w:eastAsiaTheme="majorEastAsia" w:cstheme="majorBidi"/>
          <w:b w:val="0"/>
          <w:bCs/>
          <w:lang w:val="en-GB"/>
        </w:rPr>
        <w:instrText xml:space="preserve"> REF _Ref138942776 \r \h  \* MERGEFORMAT </w:instrText>
      </w:r>
      <w:r w:rsidRPr="0041608F">
        <w:rPr>
          <w:rFonts w:eastAsiaTheme="majorEastAsia" w:cstheme="majorBidi"/>
          <w:b w:val="0"/>
          <w:bCs/>
          <w:lang w:val="en-GB"/>
        </w:rPr>
      </w:r>
      <w:r w:rsidRPr="0041608F">
        <w:rPr>
          <w:rFonts w:eastAsiaTheme="majorEastAsia" w:cstheme="majorBidi"/>
          <w:b w:val="0"/>
          <w:bCs/>
          <w:lang w:val="en-GB"/>
        </w:rPr>
        <w:fldChar w:fldCharType="separate"/>
      </w:r>
      <w:r w:rsidR="00D71607">
        <w:rPr>
          <w:rFonts w:eastAsiaTheme="majorEastAsia" w:cstheme="majorBidi"/>
          <w:b w:val="0"/>
          <w:bCs/>
          <w:lang w:val="en-GB"/>
        </w:rPr>
        <w:t>11.2.3</w:t>
      </w:r>
      <w:r w:rsidRPr="0041608F">
        <w:rPr>
          <w:rFonts w:eastAsiaTheme="majorEastAsia" w:cstheme="majorBidi"/>
          <w:b w:val="0"/>
          <w:bCs/>
          <w:lang w:val="en-GB"/>
        </w:rPr>
        <w:fldChar w:fldCharType="end"/>
      </w:r>
      <w:r w:rsidRPr="0041608F">
        <w:rPr>
          <w:rFonts w:eastAsiaTheme="majorEastAsia" w:cstheme="majorBidi"/>
          <w:b w:val="0"/>
          <w:bCs/>
          <w:lang w:val="en-GB"/>
        </w:rPr>
        <w:t xml:space="preserve"> in direction to Lithuania are calculated according to the following formula:</w:t>
      </w:r>
      <w:bookmarkEnd w:id="115"/>
      <w:bookmarkEnd w:id="117"/>
    </w:p>
    <w:p w14:paraId="584F88A2" w14:textId="77777777" w:rsidR="00220AF2" w:rsidRPr="0041608F" w:rsidRDefault="00220AF2" w:rsidP="00220AF2">
      <w:pPr>
        <w:pStyle w:val="ListParagraph"/>
        <w:tabs>
          <w:tab w:val="left" w:pos="709"/>
        </w:tabs>
        <w:spacing w:after="240"/>
        <w:ind w:left="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gridCol w:w="685"/>
      </w:tblGrid>
      <w:tr w:rsidR="00220AF2" w:rsidRPr="0041608F" w14:paraId="345C4141" w14:textId="77777777" w:rsidTr="00277CB5">
        <w:tc>
          <w:tcPr>
            <w:tcW w:w="9067" w:type="dxa"/>
          </w:tcPr>
          <w:p w14:paraId="7E39920E" w14:textId="77777777" w:rsidR="00220AF2" w:rsidRPr="0041608F" w:rsidRDefault="00220AF2" w:rsidP="000F73F9">
            <w:pPr>
              <w:pStyle w:val="ListParagraph"/>
              <w:tabs>
                <w:tab w:val="left" w:pos="709"/>
              </w:tabs>
              <w:ind w:left="0"/>
              <w:rPr>
                <w:b w:val="0"/>
                <w:bCs/>
                <w:lang w:val="en-GB"/>
              </w:rPr>
            </w:pPr>
            <w:r w:rsidRPr="0041608F">
              <w:rPr>
                <w:b w:val="0"/>
                <w:bCs/>
                <w:lang w:val="en-GB"/>
              </w:rPr>
              <w:t>TTC</w:t>
            </w:r>
            <w:r w:rsidRPr="0041608F">
              <w:rPr>
                <w:b w:val="0"/>
                <w:bCs/>
                <w:vertAlign w:val="subscript"/>
                <w:lang w:val="en-GB"/>
              </w:rPr>
              <w:t>PL&gt;LT</w:t>
            </w:r>
            <w:r w:rsidRPr="0041608F">
              <w:rPr>
                <w:b w:val="0"/>
                <w:bCs/>
                <w:lang w:val="en-GB"/>
              </w:rPr>
              <w:t xml:space="preserve"> = min (PL TTC</w:t>
            </w:r>
            <w:r w:rsidRPr="0041608F">
              <w:rPr>
                <w:b w:val="0"/>
                <w:bCs/>
                <w:i/>
                <w:iCs/>
                <w:vertAlign w:val="subscript"/>
                <w:lang w:val="en-GB"/>
              </w:rPr>
              <w:t>SS</w:t>
            </w:r>
            <w:r w:rsidRPr="0041608F">
              <w:rPr>
                <w:b w:val="0"/>
                <w:bCs/>
                <w:vertAlign w:val="subscript"/>
                <w:lang w:val="en-GB"/>
              </w:rPr>
              <w:t>(PL&gt;LT)</w:t>
            </w:r>
            <w:r w:rsidRPr="0041608F">
              <w:rPr>
                <w:b w:val="0"/>
                <w:bCs/>
                <w:lang w:val="en-GB"/>
              </w:rPr>
              <w:t>; LT TTC</w:t>
            </w:r>
            <w:r w:rsidRPr="0041608F">
              <w:rPr>
                <w:b w:val="0"/>
                <w:bCs/>
                <w:i/>
                <w:iCs/>
                <w:vertAlign w:val="subscript"/>
                <w:lang w:val="en-GB"/>
              </w:rPr>
              <w:t>SS</w:t>
            </w:r>
            <w:r w:rsidRPr="0041608F">
              <w:rPr>
                <w:b w:val="0"/>
                <w:bCs/>
                <w:vertAlign w:val="subscript"/>
                <w:lang w:val="en-GB"/>
              </w:rPr>
              <w:t>(PL&gt;LT)</w:t>
            </w:r>
            <w:r w:rsidRPr="0041608F">
              <w:rPr>
                <w:b w:val="0"/>
                <w:bCs/>
                <w:lang w:val="en-GB"/>
              </w:rPr>
              <w:t>; TTC</w:t>
            </w:r>
            <w:r w:rsidRPr="0041608F">
              <w:rPr>
                <w:b w:val="0"/>
                <w:bCs/>
                <w:i/>
                <w:iCs/>
                <w:vertAlign w:val="subscript"/>
                <w:lang w:val="en-GB"/>
              </w:rPr>
              <w:t>(</w:t>
            </w:r>
            <w:r w:rsidRPr="0041608F">
              <w:rPr>
                <w:b w:val="0"/>
                <w:bCs/>
                <w:vertAlign w:val="subscript"/>
                <w:lang w:val="en-GB"/>
              </w:rPr>
              <w:t>PL&gt;</w:t>
            </w:r>
            <w:proofErr w:type="gramStart"/>
            <w:r w:rsidRPr="0041608F">
              <w:rPr>
                <w:b w:val="0"/>
                <w:bCs/>
                <w:vertAlign w:val="subscript"/>
                <w:lang w:val="en-GB"/>
              </w:rPr>
              <w:t>LT</w:t>
            </w:r>
            <w:r w:rsidRPr="0041608F">
              <w:rPr>
                <w:b w:val="0"/>
                <w:bCs/>
                <w:i/>
                <w:iCs/>
                <w:vertAlign w:val="subscript"/>
                <w:lang w:val="en-GB"/>
              </w:rPr>
              <w:t>)</w:t>
            </w:r>
            <w:r w:rsidRPr="0041608F">
              <w:rPr>
                <w:b w:val="0"/>
                <w:bCs/>
                <w:vertAlign w:val="subscript"/>
                <w:lang w:val="en-GB"/>
              </w:rPr>
              <w:t>(</w:t>
            </w:r>
            <w:proofErr w:type="gramEnd"/>
            <w:r w:rsidRPr="0041608F">
              <w:rPr>
                <w:b w:val="0"/>
                <w:bCs/>
                <w:vertAlign w:val="subscript"/>
                <w:lang w:val="en-GB"/>
              </w:rPr>
              <w:t>F)</w:t>
            </w:r>
            <w:r w:rsidRPr="0041608F">
              <w:rPr>
                <w:b w:val="0"/>
                <w:bCs/>
                <w:lang w:val="en-GB"/>
              </w:rPr>
              <w:t>)</w:t>
            </w:r>
            <w:r w:rsidRPr="0041608F">
              <w:rPr>
                <w:b w:val="0"/>
                <w:bCs/>
                <w:lang w:val="en-GB"/>
              </w:rPr>
              <w:tab/>
            </w:r>
          </w:p>
        </w:tc>
        <w:tc>
          <w:tcPr>
            <w:tcW w:w="685" w:type="dxa"/>
          </w:tcPr>
          <w:p w14:paraId="01A50FD0" w14:textId="5BCBB3A4" w:rsidR="00220AF2" w:rsidRPr="0041608F" w:rsidRDefault="00220AF2" w:rsidP="00277CB5">
            <w:pPr>
              <w:pStyle w:val="ListParagraph"/>
              <w:tabs>
                <w:tab w:val="left" w:pos="709"/>
              </w:tabs>
              <w:ind w:left="0"/>
              <w:rPr>
                <w:b w:val="0"/>
                <w:bCs/>
                <w:lang w:val="en-GB"/>
              </w:rPr>
            </w:pPr>
            <w:bookmarkStart w:id="118" w:name="_Ref146639040"/>
            <w:r w:rsidRPr="0041608F">
              <w:rPr>
                <w:rStyle w:val="Bodytext2SmallCaps"/>
                <w:b w:val="0"/>
                <w:bCs/>
              </w:rPr>
              <w:t>(</w:t>
            </w:r>
            <w:r w:rsidRPr="0041608F">
              <w:rPr>
                <w:rStyle w:val="Bodytext2SmallCaps"/>
                <w:b w:val="0"/>
                <w:bCs/>
              </w:rPr>
              <w:fldChar w:fldCharType="begin"/>
            </w:r>
            <w:r w:rsidRPr="0041608F">
              <w:rPr>
                <w:rStyle w:val="Bodytext2SmallCaps"/>
                <w:b w:val="0"/>
                <w:bCs/>
              </w:rPr>
              <w:instrText xml:space="preserve"> SEQ Equation \* ARABIC </w:instrText>
            </w:r>
            <w:r w:rsidRPr="0041608F">
              <w:rPr>
                <w:rStyle w:val="Bodytext2SmallCaps"/>
                <w:b w:val="0"/>
                <w:bCs/>
              </w:rPr>
              <w:fldChar w:fldCharType="separate"/>
            </w:r>
            <w:r w:rsidR="00D71607">
              <w:rPr>
                <w:rStyle w:val="Bodytext2SmallCaps"/>
                <w:b w:val="0"/>
                <w:bCs/>
                <w:noProof/>
              </w:rPr>
              <w:t>9</w:t>
            </w:r>
            <w:r w:rsidRPr="0041608F">
              <w:rPr>
                <w:rStyle w:val="Bodytext2SmallCaps"/>
                <w:b w:val="0"/>
                <w:bCs/>
              </w:rPr>
              <w:fldChar w:fldCharType="end"/>
            </w:r>
            <w:r w:rsidRPr="0041608F">
              <w:rPr>
                <w:rStyle w:val="Bodytext2SmallCaps"/>
                <w:b w:val="0"/>
                <w:bCs/>
              </w:rPr>
              <w:t>)</w:t>
            </w:r>
            <w:bookmarkEnd w:id="118"/>
          </w:p>
        </w:tc>
      </w:tr>
    </w:tbl>
    <w:p w14:paraId="52403846" w14:textId="77777777" w:rsidR="00220AF2" w:rsidRPr="0041608F" w:rsidRDefault="00220AF2" w:rsidP="00220AF2">
      <w:pPr>
        <w:suppressAutoHyphens/>
        <w:rPr>
          <w:spacing w:val="-3"/>
          <w:lang w:val="en-GB"/>
        </w:rPr>
      </w:pPr>
      <w:r w:rsidRPr="0041608F">
        <w:rPr>
          <w:spacing w:val="-3"/>
          <w:lang w:val="en-GB"/>
        </w:rPr>
        <w:t>where:</w:t>
      </w:r>
    </w:p>
    <w:p w14:paraId="04BBBCB9" w14:textId="1BA455FF" w:rsidR="00220AF2" w:rsidRPr="0041608F" w:rsidRDefault="00220AF2" w:rsidP="00220AF2">
      <w:pPr>
        <w:suppressAutoHyphens/>
        <w:rPr>
          <w:lang w:val="en-GB"/>
        </w:rPr>
      </w:pPr>
      <w:r w:rsidRPr="0041608F">
        <w:rPr>
          <w:b/>
          <w:bCs/>
          <w:spacing w:val="-3"/>
          <w:lang w:val="en-GB"/>
        </w:rPr>
        <w:t>PL TTC</w:t>
      </w:r>
      <w:r w:rsidRPr="0041608F">
        <w:rPr>
          <w:b/>
          <w:bCs/>
          <w:spacing w:val="-3"/>
          <w:vertAlign w:val="subscript"/>
          <w:lang w:val="en-GB"/>
        </w:rPr>
        <w:t>SS(PL&gt;LT)</w:t>
      </w:r>
      <w:r w:rsidRPr="0041608F">
        <w:rPr>
          <w:spacing w:val="-3"/>
          <w:vertAlign w:val="subscript"/>
          <w:lang w:val="en-GB"/>
        </w:rPr>
        <w:t xml:space="preserve"> </w:t>
      </w:r>
      <w:r w:rsidRPr="0041608F">
        <w:rPr>
          <w:spacing w:val="-3"/>
          <w:lang w:val="en-GB"/>
        </w:rPr>
        <w:t xml:space="preserve">– TTC between LT and PL bidding areas in direction to Lithuania, determined by PL TSO, considering Operational security limits defined in </w:t>
      </w:r>
      <w:r w:rsidRPr="0041608F">
        <w:rPr>
          <w:lang w:val="en-GB"/>
        </w:rPr>
        <w:fldChar w:fldCharType="begin"/>
      </w:r>
      <w:r w:rsidRPr="0041608F">
        <w:rPr>
          <w:lang w:val="en-GB"/>
        </w:rPr>
        <w:instrText xml:space="preserve"> REF _Ref138942852 \r \h  \* MERGEFORMAT </w:instrText>
      </w:r>
      <w:r w:rsidRPr="0041608F">
        <w:rPr>
          <w:lang w:val="en-GB"/>
        </w:rPr>
      </w:r>
      <w:r w:rsidRPr="0041608F">
        <w:rPr>
          <w:lang w:val="en-GB"/>
        </w:rPr>
        <w:fldChar w:fldCharType="separate"/>
      </w:r>
      <w:r w:rsidR="00D71607">
        <w:rPr>
          <w:lang w:val="en-GB"/>
        </w:rPr>
        <w:t>11.2.1</w:t>
      </w:r>
      <w:r w:rsidRPr="0041608F">
        <w:rPr>
          <w:lang w:val="en-GB"/>
        </w:rPr>
        <w:fldChar w:fldCharType="end"/>
      </w:r>
      <w:r w:rsidRPr="0041608F">
        <w:rPr>
          <w:lang w:val="en-GB"/>
        </w:rPr>
        <w:t xml:space="preserve"> - </w:t>
      </w:r>
      <w:r w:rsidRPr="0041608F">
        <w:rPr>
          <w:lang w:val="en-GB"/>
        </w:rPr>
        <w:fldChar w:fldCharType="begin"/>
      </w:r>
      <w:r w:rsidRPr="0041608F">
        <w:rPr>
          <w:lang w:val="en-GB"/>
        </w:rPr>
        <w:instrText xml:space="preserve"> REF _Ref138942776 \r \h  \* MERGEFORMAT </w:instrText>
      </w:r>
      <w:r w:rsidRPr="0041608F">
        <w:rPr>
          <w:lang w:val="en-GB"/>
        </w:rPr>
      </w:r>
      <w:r w:rsidRPr="0041608F">
        <w:rPr>
          <w:lang w:val="en-GB"/>
        </w:rPr>
        <w:fldChar w:fldCharType="separate"/>
      </w:r>
      <w:r w:rsidR="00D71607">
        <w:rPr>
          <w:lang w:val="en-GB"/>
        </w:rPr>
        <w:t>11.2.3</w:t>
      </w:r>
      <w:r w:rsidRPr="0041608F">
        <w:rPr>
          <w:lang w:val="en-GB"/>
        </w:rPr>
        <w:fldChar w:fldCharType="end"/>
      </w:r>
      <w:r w:rsidRPr="0041608F">
        <w:rPr>
          <w:lang w:val="en-GB"/>
        </w:rPr>
        <w:t xml:space="preserve"> and </w:t>
      </w:r>
      <w:r w:rsidRPr="0041608F">
        <w:rPr>
          <w:lang w:val="en-GB"/>
        </w:rPr>
        <w:fldChar w:fldCharType="begin"/>
      </w:r>
      <w:r w:rsidRPr="0041608F">
        <w:rPr>
          <w:lang w:val="en-GB"/>
        </w:rPr>
        <w:instrText xml:space="preserve"> REF _Ref138942812 \r \h </w:instrText>
      </w:r>
      <w:r w:rsidRPr="0041608F">
        <w:rPr>
          <w:lang w:val="en-GB"/>
        </w:rPr>
      </w:r>
      <w:r w:rsidRPr="0041608F">
        <w:rPr>
          <w:lang w:val="en-GB"/>
        </w:rPr>
        <w:fldChar w:fldCharType="separate"/>
      </w:r>
      <w:r w:rsidR="00D71607">
        <w:rPr>
          <w:lang w:val="en-GB"/>
        </w:rPr>
        <w:t>11.3</w:t>
      </w:r>
      <w:r w:rsidRPr="0041608F">
        <w:rPr>
          <w:lang w:val="en-GB"/>
        </w:rPr>
        <w:fldChar w:fldCharType="end"/>
      </w:r>
      <w:r w:rsidRPr="0041608F">
        <w:rPr>
          <w:spacing w:val="-3"/>
          <w:lang w:val="en-GB"/>
        </w:rPr>
        <w:t>.</w:t>
      </w:r>
    </w:p>
    <w:p w14:paraId="3143B490" w14:textId="76AE7A61" w:rsidR="00220AF2" w:rsidRPr="0041608F" w:rsidRDefault="00220AF2" w:rsidP="00220AF2">
      <w:pPr>
        <w:suppressAutoHyphens/>
        <w:rPr>
          <w:spacing w:val="-3"/>
          <w:lang w:val="en-GB"/>
        </w:rPr>
      </w:pPr>
      <w:r w:rsidRPr="0041608F">
        <w:rPr>
          <w:b/>
          <w:bCs/>
          <w:spacing w:val="-3"/>
          <w:lang w:val="en-GB"/>
        </w:rPr>
        <w:t>LT TTC</w:t>
      </w:r>
      <w:r w:rsidRPr="0041608F">
        <w:rPr>
          <w:b/>
          <w:bCs/>
          <w:spacing w:val="-3"/>
          <w:vertAlign w:val="subscript"/>
          <w:lang w:val="en-GB"/>
        </w:rPr>
        <w:t>SS(PL&gt;LT)</w:t>
      </w:r>
      <w:r w:rsidRPr="0041608F">
        <w:rPr>
          <w:bCs/>
          <w:spacing w:val="-3"/>
          <w:vertAlign w:val="subscript"/>
          <w:lang w:val="en-GB"/>
        </w:rPr>
        <w:t xml:space="preserve"> </w:t>
      </w:r>
      <w:r w:rsidRPr="0041608F">
        <w:rPr>
          <w:bCs/>
          <w:spacing w:val="-3"/>
          <w:lang w:val="en-GB"/>
        </w:rPr>
        <w:t xml:space="preserve">– </w:t>
      </w:r>
      <w:r w:rsidRPr="0041608F">
        <w:rPr>
          <w:spacing w:val="-3"/>
          <w:lang w:val="en-GB"/>
        </w:rPr>
        <w:t>TTC between LT and PL bidding areas in direction to Lithuania, determined by LT TSO</w:t>
      </w:r>
      <w:r w:rsidRPr="0041608F">
        <w:rPr>
          <w:bCs/>
          <w:spacing w:val="-3"/>
          <w:lang w:val="en-GB"/>
        </w:rPr>
        <w:t xml:space="preserve">, </w:t>
      </w:r>
      <w:r w:rsidRPr="0041608F">
        <w:rPr>
          <w:spacing w:val="-3"/>
          <w:lang w:val="en-GB"/>
        </w:rPr>
        <w:t xml:space="preserve">considering Operational security limits defined in </w:t>
      </w:r>
      <w:r w:rsidRPr="0041608F">
        <w:rPr>
          <w:lang w:val="en-GB"/>
        </w:rPr>
        <w:fldChar w:fldCharType="begin"/>
      </w:r>
      <w:r w:rsidRPr="0041608F">
        <w:rPr>
          <w:lang w:val="en-GB"/>
        </w:rPr>
        <w:instrText xml:space="preserve"> REF _Ref138942852 \r \h  \* MERGEFORMAT </w:instrText>
      </w:r>
      <w:r w:rsidRPr="0041608F">
        <w:rPr>
          <w:lang w:val="en-GB"/>
        </w:rPr>
      </w:r>
      <w:r w:rsidRPr="0041608F">
        <w:rPr>
          <w:lang w:val="en-GB"/>
        </w:rPr>
        <w:fldChar w:fldCharType="separate"/>
      </w:r>
      <w:r w:rsidR="00D71607">
        <w:rPr>
          <w:lang w:val="en-GB"/>
        </w:rPr>
        <w:t>11.2.1</w:t>
      </w:r>
      <w:r w:rsidRPr="0041608F">
        <w:rPr>
          <w:lang w:val="en-GB"/>
        </w:rPr>
        <w:fldChar w:fldCharType="end"/>
      </w:r>
      <w:r w:rsidRPr="0041608F">
        <w:rPr>
          <w:lang w:val="en-GB"/>
        </w:rPr>
        <w:t xml:space="preserve"> - </w:t>
      </w:r>
      <w:r w:rsidRPr="0041608F">
        <w:rPr>
          <w:lang w:val="en-GB"/>
        </w:rPr>
        <w:fldChar w:fldCharType="begin"/>
      </w:r>
      <w:r w:rsidRPr="0041608F">
        <w:rPr>
          <w:lang w:val="en-GB"/>
        </w:rPr>
        <w:instrText xml:space="preserve"> REF _Ref138942776 \r \h  \* MERGEFORMAT </w:instrText>
      </w:r>
      <w:r w:rsidRPr="0041608F">
        <w:rPr>
          <w:lang w:val="en-GB"/>
        </w:rPr>
      </w:r>
      <w:r w:rsidRPr="0041608F">
        <w:rPr>
          <w:lang w:val="en-GB"/>
        </w:rPr>
        <w:fldChar w:fldCharType="separate"/>
      </w:r>
      <w:r w:rsidR="00D71607">
        <w:rPr>
          <w:lang w:val="en-GB"/>
        </w:rPr>
        <w:t>11.2.3</w:t>
      </w:r>
      <w:r w:rsidRPr="0041608F">
        <w:rPr>
          <w:lang w:val="en-GB"/>
        </w:rPr>
        <w:fldChar w:fldCharType="end"/>
      </w:r>
      <w:r w:rsidRPr="0041608F">
        <w:rPr>
          <w:lang w:val="en-GB"/>
        </w:rPr>
        <w:t xml:space="preserve"> and </w:t>
      </w:r>
      <w:r w:rsidRPr="0041608F">
        <w:rPr>
          <w:lang w:val="en-GB"/>
        </w:rPr>
        <w:fldChar w:fldCharType="begin"/>
      </w:r>
      <w:r w:rsidRPr="0041608F">
        <w:rPr>
          <w:lang w:val="en-GB"/>
        </w:rPr>
        <w:instrText xml:space="preserve"> REF _Ref138942812 \r \h </w:instrText>
      </w:r>
      <w:r w:rsidRPr="0041608F">
        <w:rPr>
          <w:lang w:val="en-GB"/>
        </w:rPr>
      </w:r>
      <w:r w:rsidRPr="0041608F">
        <w:rPr>
          <w:lang w:val="en-GB"/>
        </w:rPr>
        <w:fldChar w:fldCharType="separate"/>
      </w:r>
      <w:r w:rsidR="00D71607">
        <w:rPr>
          <w:lang w:val="en-GB"/>
        </w:rPr>
        <w:t>11.3</w:t>
      </w:r>
      <w:r w:rsidRPr="0041608F">
        <w:rPr>
          <w:lang w:val="en-GB"/>
        </w:rPr>
        <w:fldChar w:fldCharType="end"/>
      </w:r>
      <w:r w:rsidRPr="0041608F">
        <w:rPr>
          <w:lang w:val="en-GB"/>
        </w:rPr>
        <w:t xml:space="preserve">. </w:t>
      </w:r>
    </w:p>
    <w:p w14:paraId="0D72CA5D" w14:textId="0CB89014" w:rsidR="00220AF2" w:rsidRPr="0041608F" w:rsidRDefault="00220AF2" w:rsidP="00220AF2">
      <w:pPr>
        <w:suppressAutoHyphens/>
        <w:rPr>
          <w:bCs/>
          <w:lang w:val="en-GB"/>
        </w:rPr>
      </w:pPr>
      <w:r w:rsidRPr="0041608F">
        <w:rPr>
          <w:b/>
          <w:spacing w:val="-3"/>
          <w:lang w:val="en-GB"/>
        </w:rPr>
        <w:t>TTC</w:t>
      </w:r>
      <w:r w:rsidRPr="0041608F">
        <w:rPr>
          <w:b/>
          <w:spacing w:val="-3"/>
          <w:vertAlign w:val="subscript"/>
          <w:lang w:val="en-GB"/>
        </w:rPr>
        <w:t>(PL&gt;</w:t>
      </w:r>
      <w:proofErr w:type="gramStart"/>
      <w:r w:rsidRPr="0041608F">
        <w:rPr>
          <w:b/>
          <w:spacing w:val="-3"/>
          <w:vertAlign w:val="subscript"/>
          <w:lang w:val="en-GB"/>
        </w:rPr>
        <w:t>LT)(</w:t>
      </w:r>
      <w:proofErr w:type="gramEnd"/>
      <w:r w:rsidRPr="0041608F">
        <w:rPr>
          <w:b/>
          <w:spacing w:val="-3"/>
          <w:vertAlign w:val="subscript"/>
          <w:lang w:val="en-GB"/>
        </w:rPr>
        <w:t xml:space="preserve">F) </w:t>
      </w:r>
      <w:r w:rsidRPr="0041608F">
        <w:rPr>
          <w:lang w:val="en-GB"/>
        </w:rPr>
        <w:t xml:space="preserve">– </w:t>
      </w:r>
      <w:r w:rsidRPr="0041608F">
        <w:rPr>
          <w:spacing w:val="-3"/>
          <w:lang w:val="en-GB"/>
        </w:rPr>
        <w:t xml:space="preserve">TTC of Lithuania-Poland Cross-Border interconnection in direction to Lithuania calculated </w:t>
      </w:r>
      <w:r w:rsidRPr="0041608F">
        <w:rPr>
          <w:lang w:val="en-GB"/>
        </w:rPr>
        <w:t xml:space="preserve">by Lithuanian TSO considering </w:t>
      </w:r>
      <w:r w:rsidRPr="0041608F">
        <w:rPr>
          <w:spacing w:val="-3"/>
          <w:lang w:val="en-GB"/>
        </w:rPr>
        <w:t>frequency stability limits</w:t>
      </w:r>
      <w:r w:rsidRPr="0041608F">
        <w:rPr>
          <w:lang w:val="en-GB"/>
        </w:rPr>
        <w:t xml:space="preserve"> as in </w:t>
      </w:r>
      <w:r w:rsidRPr="0041608F">
        <w:rPr>
          <w:lang w:val="en-GB"/>
        </w:rPr>
        <w:fldChar w:fldCharType="begin"/>
      </w:r>
      <w:r w:rsidRPr="0041608F">
        <w:rPr>
          <w:lang w:val="en-GB"/>
        </w:rPr>
        <w:instrText xml:space="preserve"> REF _Ref146528847 \r \h </w:instrText>
      </w:r>
      <w:r w:rsidRPr="0041608F">
        <w:rPr>
          <w:lang w:val="en-GB"/>
        </w:rPr>
      </w:r>
      <w:r w:rsidRPr="0041608F">
        <w:rPr>
          <w:lang w:val="en-GB"/>
        </w:rPr>
        <w:fldChar w:fldCharType="separate"/>
      </w:r>
      <w:r w:rsidR="00D71607">
        <w:rPr>
          <w:lang w:val="en-GB"/>
        </w:rPr>
        <w:t>11.2.4</w:t>
      </w:r>
      <w:r w:rsidRPr="0041608F">
        <w:rPr>
          <w:lang w:val="en-GB"/>
        </w:rPr>
        <w:fldChar w:fldCharType="end"/>
      </w:r>
      <w:r w:rsidRPr="0041608F">
        <w:rPr>
          <w:lang w:val="en-GB"/>
        </w:rPr>
        <w:t>.</w:t>
      </w:r>
    </w:p>
    <w:p w14:paraId="07CA014B" w14:textId="288BB3A7" w:rsidR="00220AF2" w:rsidRPr="0041608F" w:rsidRDefault="00220AF2" w:rsidP="00220AF2">
      <w:pPr>
        <w:pStyle w:val="ListParagraph"/>
        <w:widowControl w:val="0"/>
        <w:numPr>
          <w:ilvl w:val="1"/>
          <w:numId w:val="21"/>
        </w:numPr>
        <w:tabs>
          <w:tab w:val="left" w:pos="709"/>
        </w:tabs>
        <w:spacing w:before="0"/>
        <w:jc w:val="both"/>
        <w:rPr>
          <w:b w:val="0"/>
          <w:bCs/>
          <w:lang w:val="en-GB"/>
        </w:rPr>
      </w:pPr>
      <w:bookmarkStart w:id="119" w:name="_Ref153271510"/>
      <w:r w:rsidRPr="0041608F">
        <w:rPr>
          <w:rFonts w:eastAsiaTheme="majorEastAsia" w:cstheme="majorBidi"/>
          <w:b w:val="0"/>
          <w:bCs/>
          <w:lang w:val="en-GB"/>
        </w:rPr>
        <w:t xml:space="preserve">The hourly values of matched TTC according to Operational security limits defined in </w:t>
      </w:r>
      <w:r w:rsidRPr="0041608F">
        <w:rPr>
          <w:rFonts w:eastAsiaTheme="majorEastAsia" w:cstheme="majorBidi"/>
          <w:b w:val="0"/>
          <w:bCs/>
          <w:lang w:val="en-GB"/>
        </w:rPr>
        <w:fldChar w:fldCharType="begin"/>
      </w:r>
      <w:r w:rsidRPr="0041608F">
        <w:rPr>
          <w:rFonts w:eastAsiaTheme="majorEastAsia" w:cstheme="majorBidi"/>
          <w:b w:val="0"/>
          <w:bCs/>
          <w:lang w:val="en-GB"/>
        </w:rPr>
        <w:instrText xml:space="preserve"> REF _Ref138942852 \r \h  \* MERGEFORMAT </w:instrText>
      </w:r>
      <w:r w:rsidRPr="0041608F">
        <w:rPr>
          <w:rFonts w:eastAsiaTheme="majorEastAsia" w:cstheme="majorBidi"/>
          <w:b w:val="0"/>
          <w:bCs/>
          <w:lang w:val="en-GB"/>
        </w:rPr>
      </w:r>
      <w:r w:rsidRPr="0041608F">
        <w:rPr>
          <w:rFonts w:eastAsiaTheme="majorEastAsia" w:cstheme="majorBidi"/>
          <w:b w:val="0"/>
          <w:bCs/>
          <w:lang w:val="en-GB"/>
        </w:rPr>
        <w:fldChar w:fldCharType="separate"/>
      </w:r>
      <w:r w:rsidR="00D71607">
        <w:rPr>
          <w:rFonts w:eastAsiaTheme="majorEastAsia" w:cstheme="majorBidi"/>
          <w:b w:val="0"/>
          <w:bCs/>
          <w:lang w:val="en-GB"/>
        </w:rPr>
        <w:t>11.2.1</w:t>
      </w:r>
      <w:r w:rsidRPr="0041608F">
        <w:rPr>
          <w:rFonts w:eastAsiaTheme="majorEastAsia" w:cstheme="majorBidi"/>
          <w:b w:val="0"/>
          <w:bCs/>
          <w:lang w:val="en-GB"/>
        </w:rPr>
        <w:fldChar w:fldCharType="end"/>
      </w:r>
      <w:r w:rsidRPr="0041608F">
        <w:rPr>
          <w:rFonts w:eastAsiaTheme="majorEastAsia" w:cstheme="majorBidi"/>
          <w:b w:val="0"/>
          <w:bCs/>
          <w:lang w:val="en-GB"/>
        </w:rPr>
        <w:t xml:space="preserve"> - </w:t>
      </w:r>
      <w:r w:rsidRPr="0041608F">
        <w:rPr>
          <w:rFonts w:eastAsiaTheme="majorEastAsia" w:cstheme="majorBidi"/>
          <w:b w:val="0"/>
          <w:bCs/>
          <w:lang w:val="en-GB"/>
        </w:rPr>
        <w:fldChar w:fldCharType="begin"/>
      </w:r>
      <w:r w:rsidRPr="0041608F">
        <w:rPr>
          <w:rFonts w:eastAsiaTheme="majorEastAsia" w:cstheme="majorBidi"/>
          <w:b w:val="0"/>
          <w:bCs/>
          <w:lang w:val="en-GB"/>
        </w:rPr>
        <w:instrText xml:space="preserve"> REF _Ref138942776 \r \h  \* MERGEFORMAT </w:instrText>
      </w:r>
      <w:r w:rsidRPr="0041608F">
        <w:rPr>
          <w:rFonts w:eastAsiaTheme="majorEastAsia" w:cstheme="majorBidi"/>
          <w:b w:val="0"/>
          <w:bCs/>
          <w:lang w:val="en-GB"/>
        </w:rPr>
      </w:r>
      <w:r w:rsidRPr="0041608F">
        <w:rPr>
          <w:rFonts w:eastAsiaTheme="majorEastAsia" w:cstheme="majorBidi"/>
          <w:b w:val="0"/>
          <w:bCs/>
          <w:lang w:val="en-GB"/>
        </w:rPr>
        <w:fldChar w:fldCharType="separate"/>
      </w:r>
      <w:r w:rsidR="00D71607">
        <w:rPr>
          <w:rFonts w:eastAsiaTheme="majorEastAsia" w:cstheme="majorBidi"/>
          <w:b w:val="0"/>
          <w:bCs/>
          <w:lang w:val="en-GB"/>
        </w:rPr>
        <w:t>11.2.3</w:t>
      </w:r>
      <w:r w:rsidRPr="0041608F">
        <w:rPr>
          <w:rFonts w:eastAsiaTheme="majorEastAsia" w:cstheme="majorBidi"/>
          <w:b w:val="0"/>
          <w:bCs/>
          <w:lang w:val="en-GB"/>
        </w:rPr>
        <w:fldChar w:fldCharType="end"/>
      </w:r>
      <w:r w:rsidRPr="0041608F">
        <w:rPr>
          <w:rFonts w:eastAsiaTheme="majorEastAsia" w:cstheme="majorBidi"/>
          <w:b w:val="0"/>
          <w:bCs/>
          <w:lang w:val="en-GB"/>
        </w:rPr>
        <w:t xml:space="preserve"> in directions to Poland are calculated according to the following formula:</w:t>
      </w:r>
      <w:bookmarkEnd w:id="119"/>
    </w:p>
    <w:p w14:paraId="6BA053DD" w14:textId="77777777" w:rsidR="00220AF2" w:rsidRPr="0041608F" w:rsidRDefault="00220AF2" w:rsidP="00220AF2">
      <w:pPr>
        <w:pStyle w:val="ListParagraph"/>
        <w:tabs>
          <w:tab w:val="left" w:pos="709"/>
        </w:tabs>
        <w:ind w:left="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gridCol w:w="685"/>
      </w:tblGrid>
      <w:tr w:rsidR="00220AF2" w:rsidRPr="0041608F" w14:paraId="76F3F8D7" w14:textId="77777777" w:rsidTr="000F73F9">
        <w:tc>
          <w:tcPr>
            <w:tcW w:w="9067" w:type="dxa"/>
          </w:tcPr>
          <w:p w14:paraId="00BE3947" w14:textId="77777777" w:rsidR="00220AF2" w:rsidRPr="0041608F" w:rsidRDefault="00220AF2" w:rsidP="000F73F9">
            <w:pPr>
              <w:pStyle w:val="ListParagraph"/>
              <w:tabs>
                <w:tab w:val="left" w:pos="709"/>
              </w:tabs>
              <w:ind w:left="0"/>
              <w:rPr>
                <w:b w:val="0"/>
                <w:bCs/>
                <w:lang w:val="en-GB"/>
              </w:rPr>
            </w:pPr>
            <w:r w:rsidRPr="0041608F">
              <w:rPr>
                <w:b w:val="0"/>
                <w:bCs/>
                <w:lang w:val="en-GB"/>
              </w:rPr>
              <w:t>TTC</w:t>
            </w:r>
            <w:r w:rsidRPr="0041608F">
              <w:rPr>
                <w:b w:val="0"/>
                <w:bCs/>
                <w:vertAlign w:val="subscript"/>
                <w:lang w:val="en-GB"/>
              </w:rPr>
              <w:t>LT&gt;PL</w:t>
            </w:r>
            <w:r w:rsidRPr="0041608F">
              <w:rPr>
                <w:b w:val="0"/>
                <w:bCs/>
                <w:lang w:val="en-GB"/>
              </w:rPr>
              <w:t xml:space="preserve"> = min (PL TTC</w:t>
            </w:r>
            <w:r w:rsidRPr="0041608F">
              <w:rPr>
                <w:b w:val="0"/>
                <w:bCs/>
                <w:i/>
                <w:iCs/>
                <w:vertAlign w:val="subscript"/>
                <w:lang w:val="en-GB"/>
              </w:rPr>
              <w:t>SS</w:t>
            </w:r>
            <w:r w:rsidRPr="0041608F">
              <w:rPr>
                <w:b w:val="0"/>
                <w:bCs/>
                <w:vertAlign w:val="subscript"/>
                <w:lang w:val="en-GB"/>
              </w:rPr>
              <w:t>(LT&gt;PL)</w:t>
            </w:r>
            <w:r w:rsidRPr="0041608F">
              <w:rPr>
                <w:b w:val="0"/>
                <w:bCs/>
                <w:lang w:val="en-GB"/>
              </w:rPr>
              <w:t>; LT TTC</w:t>
            </w:r>
            <w:r w:rsidRPr="0041608F">
              <w:rPr>
                <w:b w:val="0"/>
                <w:bCs/>
                <w:i/>
                <w:iCs/>
                <w:vertAlign w:val="subscript"/>
                <w:lang w:val="en-GB"/>
              </w:rPr>
              <w:t>SS</w:t>
            </w:r>
            <w:r w:rsidRPr="0041608F">
              <w:rPr>
                <w:b w:val="0"/>
                <w:bCs/>
                <w:vertAlign w:val="subscript"/>
                <w:lang w:val="en-GB"/>
              </w:rPr>
              <w:t>(LT&gt;PL)</w:t>
            </w:r>
            <w:r w:rsidRPr="0041608F">
              <w:rPr>
                <w:b w:val="0"/>
                <w:bCs/>
                <w:lang w:val="en-GB"/>
              </w:rPr>
              <w:t xml:space="preserve">; </w:t>
            </w:r>
            <w:r w:rsidRPr="0041608F">
              <w:rPr>
                <w:b w:val="0"/>
                <w:bCs/>
                <w:spacing w:val="-3"/>
                <w:lang w:val="en-GB"/>
              </w:rPr>
              <w:t>TTC</w:t>
            </w:r>
            <w:r w:rsidRPr="0041608F">
              <w:rPr>
                <w:b w:val="0"/>
                <w:bCs/>
                <w:i/>
                <w:iCs/>
                <w:spacing w:val="-3"/>
                <w:vertAlign w:val="subscript"/>
                <w:lang w:val="en-GB"/>
              </w:rPr>
              <w:t>(</w:t>
            </w:r>
            <w:r w:rsidRPr="0041608F">
              <w:rPr>
                <w:b w:val="0"/>
                <w:bCs/>
                <w:spacing w:val="-3"/>
                <w:vertAlign w:val="subscript"/>
                <w:lang w:val="en-GB"/>
              </w:rPr>
              <w:t>LT&gt;</w:t>
            </w:r>
            <w:proofErr w:type="gramStart"/>
            <w:r w:rsidRPr="0041608F">
              <w:rPr>
                <w:b w:val="0"/>
                <w:bCs/>
                <w:spacing w:val="-3"/>
                <w:vertAlign w:val="subscript"/>
                <w:lang w:val="en-GB"/>
              </w:rPr>
              <w:t>PL</w:t>
            </w:r>
            <w:r w:rsidRPr="0041608F">
              <w:rPr>
                <w:b w:val="0"/>
                <w:bCs/>
                <w:i/>
                <w:iCs/>
                <w:spacing w:val="-3"/>
                <w:vertAlign w:val="subscript"/>
                <w:lang w:val="en-GB"/>
              </w:rPr>
              <w:t>)</w:t>
            </w:r>
            <w:r w:rsidRPr="0041608F">
              <w:rPr>
                <w:b w:val="0"/>
                <w:bCs/>
                <w:spacing w:val="-3"/>
                <w:vertAlign w:val="subscript"/>
                <w:lang w:val="en-GB"/>
              </w:rPr>
              <w:t>(</w:t>
            </w:r>
            <w:proofErr w:type="gramEnd"/>
            <w:r w:rsidRPr="0041608F">
              <w:rPr>
                <w:b w:val="0"/>
                <w:bCs/>
                <w:spacing w:val="-3"/>
                <w:vertAlign w:val="subscript"/>
                <w:lang w:val="en-GB"/>
              </w:rPr>
              <w:t>F)</w:t>
            </w:r>
            <w:r w:rsidRPr="0041608F">
              <w:rPr>
                <w:b w:val="0"/>
                <w:bCs/>
                <w:lang w:val="en-GB"/>
              </w:rPr>
              <w:t>)</w:t>
            </w:r>
          </w:p>
        </w:tc>
        <w:tc>
          <w:tcPr>
            <w:tcW w:w="685" w:type="dxa"/>
          </w:tcPr>
          <w:p w14:paraId="1CA8132A" w14:textId="75147C11" w:rsidR="00220AF2" w:rsidRPr="0041608F" w:rsidRDefault="00220AF2" w:rsidP="000F73F9">
            <w:pPr>
              <w:pStyle w:val="ListParagraph"/>
              <w:tabs>
                <w:tab w:val="left" w:pos="709"/>
              </w:tabs>
              <w:ind w:left="0"/>
              <w:jc w:val="right"/>
              <w:rPr>
                <w:b w:val="0"/>
                <w:bCs/>
                <w:lang w:val="en-GB"/>
              </w:rPr>
            </w:pPr>
            <w:bookmarkStart w:id="120" w:name="_Ref146639337"/>
            <w:r w:rsidRPr="0041608F">
              <w:rPr>
                <w:rStyle w:val="Bodytext2SmallCaps"/>
                <w:b w:val="0"/>
                <w:bCs/>
              </w:rPr>
              <w:t>(</w:t>
            </w:r>
            <w:r w:rsidRPr="0041608F">
              <w:rPr>
                <w:rStyle w:val="Bodytext2SmallCaps"/>
                <w:b w:val="0"/>
                <w:bCs/>
              </w:rPr>
              <w:fldChar w:fldCharType="begin"/>
            </w:r>
            <w:r w:rsidRPr="0041608F">
              <w:rPr>
                <w:rStyle w:val="Bodytext2SmallCaps"/>
                <w:b w:val="0"/>
                <w:bCs/>
              </w:rPr>
              <w:instrText xml:space="preserve"> SEQ Equation \* ARABIC </w:instrText>
            </w:r>
            <w:r w:rsidRPr="0041608F">
              <w:rPr>
                <w:rStyle w:val="Bodytext2SmallCaps"/>
                <w:b w:val="0"/>
                <w:bCs/>
              </w:rPr>
              <w:fldChar w:fldCharType="separate"/>
            </w:r>
            <w:r w:rsidR="00D71607">
              <w:rPr>
                <w:rStyle w:val="Bodytext2SmallCaps"/>
                <w:b w:val="0"/>
                <w:bCs/>
                <w:noProof/>
              </w:rPr>
              <w:t>10</w:t>
            </w:r>
            <w:r w:rsidRPr="0041608F">
              <w:rPr>
                <w:rStyle w:val="Bodytext2SmallCaps"/>
                <w:b w:val="0"/>
                <w:bCs/>
              </w:rPr>
              <w:fldChar w:fldCharType="end"/>
            </w:r>
            <w:r w:rsidRPr="0041608F">
              <w:rPr>
                <w:rStyle w:val="Bodytext2SmallCaps"/>
                <w:b w:val="0"/>
                <w:bCs/>
              </w:rPr>
              <w:t>)</w:t>
            </w:r>
            <w:bookmarkEnd w:id="120"/>
          </w:p>
        </w:tc>
      </w:tr>
    </w:tbl>
    <w:p w14:paraId="089E397F" w14:textId="77777777" w:rsidR="00220AF2" w:rsidRPr="0041608F" w:rsidRDefault="00220AF2" w:rsidP="00220AF2">
      <w:pPr>
        <w:suppressAutoHyphens/>
        <w:rPr>
          <w:spacing w:val="-3"/>
          <w:lang w:val="en-GB"/>
        </w:rPr>
      </w:pPr>
      <w:r w:rsidRPr="0041608F">
        <w:rPr>
          <w:spacing w:val="-3"/>
          <w:lang w:val="en-GB"/>
        </w:rPr>
        <w:t>where:</w:t>
      </w:r>
    </w:p>
    <w:p w14:paraId="39106FDD" w14:textId="77004601" w:rsidR="00220AF2" w:rsidRPr="0041608F" w:rsidRDefault="00220AF2" w:rsidP="00220AF2">
      <w:pPr>
        <w:suppressAutoHyphens/>
        <w:rPr>
          <w:lang w:val="en-GB"/>
        </w:rPr>
      </w:pPr>
      <w:r w:rsidRPr="0041608F">
        <w:rPr>
          <w:b/>
          <w:bCs/>
          <w:spacing w:val="-3"/>
          <w:lang w:val="en-GB"/>
        </w:rPr>
        <w:t>PL TTC</w:t>
      </w:r>
      <w:r w:rsidRPr="0041608F">
        <w:rPr>
          <w:b/>
          <w:bCs/>
          <w:spacing w:val="-3"/>
          <w:vertAlign w:val="subscript"/>
          <w:lang w:val="en-GB"/>
        </w:rPr>
        <w:t>SS(LT&gt;PL)</w:t>
      </w:r>
      <w:r w:rsidRPr="0041608F">
        <w:rPr>
          <w:spacing w:val="-3"/>
          <w:lang w:val="en-GB"/>
        </w:rPr>
        <w:t xml:space="preserve"> – TTC between LT and PL bidding areas in direction to Poland, determined by PL TSO, considering Operational security limits defined in </w:t>
      </w:r>
      <w:r w:rsidRPr="0041608F">
        <w:rPr>
          <w:lang w:val="en-GB"/>
        </w:rPr>
        <w:fldChar w:fldCharType="begin"/>
      </w:r>
      <w:r w:rsidRPr="0041608F">
        <w:rPr>
          <w:lang w:val="en-GB"/>
        </w:rPr>
        <w:instrText xml:space="preserve"> REF _Ref138942852 \r \h  \* MERGEFORMAT </w:instrText>
      </w:r>
      <w:r w:rsidRPr="0041608F">
        <w:rPr>
          <w:lang w:val="en-GB"/>
        </w:rPr>
      </w:r>
      <w:r w:rsidRPr="0041608F">
        <w:rPr>
          <w:lang w:val="en-GB"/>
        </w:rPr>
        <w:fldChar w:fldCharType="separate"/>
      </w:r>
      <w:r w:rsidR="00D71607">
        <w:rPr>
          <w:lang w:val="en-GB"/>
        </w:rPr>
        <w:t>11.2.1</w:t>
      </w:r>
      <w:r w:rsidRPr="0041608F">
        <w:rPr>
          <w:lang w:val="en-GB"/>
        </w:rPr>
        <w:fldChar w:fldCharType="end"/>
      </w:r>
      <w:r w:rsidRPr="0041608F">
        <w:rPr>
          <w:lang w:val="en-GB"/>
        </w:rPr>
        <w:t xml:space="preserve"> - </w:t>
      </w:r>
      <w:r w:rsidRPr="0041608F">
        <w:rPr>
          <w:lang w:val="en-GB"/>
        </w:rPr>
        <w:fldChar w:fldCharType="begin"/>
      </w:r>
      <w:r w:rsidRPr="0041608F">
        <w:rPr>
          <w:lang w:val="en-GB"/>
        </w:rPr>
        <w:instrText xml:space="preserve"> REF _Ref138942776 \r \h  \* MERGEFORMAT </w:instrText>
      </w:r>
      <w:r w:rsidRPr="0041608F">
        <w:rPr>
          <w:lang w:val="en-GB"/>
        </w:rPr>
      </w:r>
      <w:r w:rsidRPr="0041608F">
        <w:rPr>
          <w:lang w:val="en-GB"/>
        </w:rPr>
        <w:fldChar w:fldCharType="separate"/>
      </w:r>
      <w:r w:rsidR="00D71607">
        <w:rPr>
          <w:lang w:val="en-GB"/>
        </w:rPr>
        <w:t>11.2.3</w:t>
      </w:r>
      <w:r w:rsidRPr="0041608F">
        <w:rPr>
          <w:lang w:val="en-GB"/>
        </w:rPr>
        <w:fldChar w:fldCharType="end"/>
      </w:r>
      <w:r w:rsidRPr="0041608F">
        <w:rPr>
          <w:lang w:val="en-GB"/>
        </w:rPr>
        <w:t xml:space="preserve"> and </w:t>
      </w:r>
      <w:r w:rsidRPr="0041608F">
        <w:rPr>
          <w:lang w:val="en-GB"/>
        </w:rPr>
        <w:fldChar w:fldCharType="begin"/>
      </w:r>
      <w:r w:rsidRPr="0041608F">
        <w:rPr>
          <w:lang w:val="en-GB"/>
        </w:rPr>
        <w:instrText xml:space="preserve"> REF _Ref138942812 \r \h </w:instrText>
      </w:r>
      <w:r w:rsidRPr="0041608F">
        <w:rPr>
          <w:lang w:val="en-GB"/>
        </w:rPr>
      </w:r>
      <w:r w:rsidRPr="0041608F">
        <w:rPr>
          <w:lang w:val="en-GB"/>
        </w:rPr>
        <w:fldChar w:fldCharType="separate"/>
      </w:r>
      <w:r w:rsidR="00D71607">
        <w:rPr>
          <w:lang w:val="en-GB"/>
        </w:rPr>
        <w:t>11.3</w:t>
      </w:r>
      <w:r w:rsidRPr="0041608F">
        <w:rPr>
          <w:lang w:val="en-GB"/>
        </w:rPr>
        <w:fldChar w:fldCharType="end"/>
      </w:r>
      <w:r w:rsidRPr="0041608F">
        <w:rPr>
          <w:lang w:val="en-GB"/>
        </w:rPr>
        <w:t>.</w:t>
      </w:r>
    </w:p>
    <w:p w14:paraId="46A04A00" w14:textId="64F65C61" w:rsidR="00220AF2" w:rsidRPr="0041608F" w:rsidRDefault="00220AF2" w:rsidP="00220AF2">
      <w:pPr>
        <w:suppressAutoHyphens/>
        <w:rPr>
          <w:spacing w:val="-3"/>
          <w:lang w:val="en-GB"/>
        </w:rPr>
      </w:pPr>
      <w:r w:rsidRPr="0041608F">
        <w:rPr>
          <w:b/>
          <w:bCs/>
          <w:spacing w:val="-3"/>
          <w:lang w:val="en-GB"/>
        </w:rPr>
        <w:t>LT TTC</w:t>
      </w:r>
      <w:r w:rsidRPr="0041608F">
        <w:rPr>
          <w:b/>
          <w:bCs/>
          <w:spacing w:val="-3"/>
          <w:vertAlign w:val="subscript"/>
          <w:lang w:val="en-GB"/>
        </w:rPr>
        <w:t>SS(LT&gt;PL)</w:t>
      </w:r>
      <w:r w:rsidRPr="0041608F">
        <w:rPr>
          <w:spacing w:val="-3"/>
          <w:lang w:val="en-GB"/>
        </w:rPr>
        <w:t xml:space="preserve"> – TTC between LT and PL bidding areas in direction to Poland, determined by LT TSO, considering Operational security limits defined in </w:t>
      </w:r>
      <w:r w:rsidRPr="0041608F">
        <w:rPr>
          <w:lang w:val="en-GB"/>
        </w:rPr>
        <w:fldChar w:fldCharType="begin"/>
      </w:r>
      <w:r w:rsidRPr="0041608F">
        <w:rPr>
          <w:lang w:val="en-GB"/>
        </w:rPr>
        <w:instrText xml:space="preserve"> REF _Ref138942852 \r \h  \* MERGEFORMAT </w:instrText>
      </w:r>
      <w:r w:rsidRPr="0041608F">
        <w:rPr>
          <w:lang w:val="en-GB"/>
        </w:rPr>
      </w:r>
      <w:r w:rsidRPr="0041608F">
        <w:rPr>
          <w:lang w:val="en-GB"/>
        </w:rPr>
        <w:fldChar w:fldCharType="separate"/>
      </w:r>
      <w:r w:rsidR="00D71607">
        <w:rPr>
          <w:lang w:val="en-GB"/>
        </w:rPr>
        <w:t>11.2.1</w:t>
      </w:r>
      <w:r w:rsidRPr="0041608F">
        <w:rPr>
          <w:lang w:val="en-GB"/>
        </w:rPr>
        <w:fldChar w:fldCharType="end"/>
      </w:r>
      <w:r w:rsidRPr="0041608F">
        <w:rPr>
          <w:lang w:val="en-GB"/>
        </w:rPr>
        <w:t xml:space="preserve"> - </w:t>
      </w:r>
      <w:r w:rsidRPr="0041608F">
        <w:rPr>
          <w:lang w:val="en-GB"/>
        </w:rPr>
        <w:fldChar w:fldCharType="begin"/>
      </w:r>
      <w:r w:rsidRPr="0041608F">
        <w:rPr>
          <w:lang w:val="en-GB"/>
        </w:rPr>
        <w:instrText xml:space="preserve"> REF _Ref138942776 \r \h  \* MERGEFORMAT </w:instrText>
      </w:r>
      <w:r w:rsidRPr="0041608F">
        <w:rPr>
          <w:lang w:val="en-GB"/>
        </w:rPr>
      </w:r>
      <w:r w:rsidRPr="0041608F">
        <w:rPr>
          <w:lang w:val="en-GB"/>
        </w:rPr>
        <w:fldChar w:fldCharType="separate"/>
      </w:r>
      <w:r w:rsidR="00D71607">
        <w:rPr>
          <w:lang w:val="en-GB"/>
        </w:rPr>
        <w:t>11.2.3</w:t>
      </w:r>
      <w:r w:rsidRPr="0041608F">
        <w:rPr>
          <w:lang w:val="en-GB"/>
        </w:rPr>
        <w:fldChar w:fldCharType="end"/>
      </w:r>
      <w:r w:rsidRPr="0041608F">
        <w:rPr>
          <w:lang w:val="en-GB"/>
        </w:rPr>
        <w:t xml:space="preserve"> and </w:t>
      </w:r>
      <w:r w:rsidRPr="0041608F">
        <w:rPr>
          <w:lang w:val="en-GB"/>
        </w:rPr>
        <w:fldChar w:fldCharType="begin"/>
      </w:r>
      <w:r w:rsidRPr="0041608F">
        <w:rPr>
          <w:lang w:val="en-GB"/>
        </w:rPr>
        <w:instrText xml:space="preserve"> REF _Ref138942812 \r \h </w:instrText>
      </w:r>
      <w:r w:rsidRPr="0041608F">
        <w:rPr>
          <w:lang w:val="en-GB"/>
        </w:rPr>
      </w:r>
      <w:r w:rsidRPr="0041608F">
        <w:rPr>
          <w:lang w:val="en-GB"/>
        </w:rPr>
        <w:fldChar w:fldCharType="separate"/>
      </w:r>
      <w:r w:rsidR="00D71607">
        <w:rPr>
          <w:lang w:val="en-GB"/>
        </w:rPr>
        <w:t>11.3</w:t>
      </w:r>
      <w:r w:rsidRPr="0041608F">
        <w:rPr>
          <w:lang w:val="en-GB"/>
        </w:rPr>
        <w:fldChar w:fldCharType="end"/>
      </w:r>
      <w:r w:rsidRPr="0041608F">
        <w:rPr>
          <w:lang w:val="en-GB"/>
        </w:rPr>
        <w:t>.</w:t>
      </w:r>
    </w:p>
    <w:p w14:paraId="0E43BE3D" w14:textId="53F756EE" w:rsidR="00220AF2" w:rsidRPr="0041608F" w:rsidRDefault="00220AF2" w:rsidP="00220AF2">
      <w:pPr>
        <w:suppressAutoHyphens/>
        <w:rPr>
          <w:lang w:val="en-GB"/>
        </w:rPr>
      </w:pPr>
      <w:r w:rsidRPr="0041608F">
        <w:rPr>
          <w:b/>
          <w:spacing w:val="-3"/>
          <w:lang w:val="en-GB"/>
        </w:rPr>
        <w:t>TTC</w:t>
      </w:r>
      <w:r w:rsidRPr="0041608F">
        <w:rPr>
          <w:b/>
          <w:spacing w:val="-3"/>
          <w:vertAlign w:val="subscript"/>
          <w:lang w:val="en-GB"/>
        </w:rPr>
        <w:t>(LT&gt;</w:t>
      </w:r>
      <w:proofErr w:type="gramStart"/>
      <w:r w:rsidRPr="0041608F">
        <w:rPr>
          <w:b/>
          <w:spacing w:val="-3"/>
          <w:vertAlign w:val="subscript"/>
          <w:lang w:val="en-GB"/>
        </w:rPr>
        <w:t>PL)(</w:t>
      </w:r>
      <w:proofErr w:type="gramEnd"/>
      <w:r w:rsidRPr="0041608F">
        <w:rPr>
          <w:b/>
          <w:spacing w:val="-3"/>
          <w:vertAlign w:val="subscript"/>
          <w:lang w:val="en-GB"/>
        </w:rPr>
        <w:t xml:space="preserve">F) </w:t>
      </w:r>
      <w:r w:rsidRPr="0041608F">
        <w:rPr>
          <w:lang w:val="en-GB"/>
        </w:rPr>
        <w:t xml:space="preserve">– </w:t>
      </w:r>
      <w:r w:rsidRPr="0041608F">
        <w:rPr>
          <w:spacing w:val="-3"/>
          <w:lang w:val="en-GB"/>
        </w:rPr>
        <w:t xml:space="preserve">TTC of Lithuania-Poland Cross-Border interconnection in direction to Poland calculated </w:t>
      </w:r>
      <w:r w:rsidRPr="0041608F">
        <w:rPr>
          <w:lang w:val="en-GB"/>
        </w:rPr>
        <w:t>by Lithuanian TSO considering</w:t>
      </w:r>
      <w:r w:rsidRPr="0041608F">
        <w:rPr>
          <w:spacing w:val="-3"/>
          <w:lang w:val="en-GB"/>
        </w:rPr>
        <w:t xml:space="preserve"> frequency stability limits</w:t>
      </w:r>
      <w:r w:rsidRPr="0041608F">
        <w:rPr>
          <w:lang w:val="en-GB"/>
        </w:rPr>
        <w:t xml:space="preserve"> as in </w:t>
      </w:r>
      <w:r w:rsidRPr="0041608F">
        <w:rPr>
          <w:spacing w:val="-3"/>
          <w:lang w:val="en-GB"/>
        </w:rPr>
        <w:fldChar w:fldCharType="begin"/>
      </w:r>
      <w:r w:rsidRPr="0041608F">
        <w:rPr>
          <w:spacing w:val="-3"/>
          <w:lang w:val="en-GB"/>
        </w:rPr>
        <w:instrText xml:space="preserve"> REF _Ref146528847 \r \h </w:instrText>
      </w:r>
      <w:r w:rsidRPr="0041608F">
        <w:rPr>
          <w:spacing w:val="-3"/>
          <w:lang w:val="en-GB"/>
        </w:rPr>
      </w:r>
      <w:r w:rsidRPr="0041608F">
        <w:rPr>
          <w:spacing w:val="-3"/>
          <w:lang w:val="en-GB"/>
        </w:rPr>
        <w:fldChar w:fldCharType="separate"/>
      </w:r>
      <w:r w:rsidR="00D71607">
        <w:rPr>
          <w:spacing w:val="-3"/>
          <w:lang w:val="en-GB"/>
        </w:rPr>
        <w:t>11.2.4</w:t>
      </w:r>
      <w:r w:rsidRPr="0041608F">
        <w:rPr>
          <w:spacing w:val="-3"/>
          <w:lang w:val="en-GB"/>
        </w:rPr>
        <w:fldChar w:fldCharType="end"/>
      </w:r>
      <w:r w:rsidRPr="0041608F">
        <w:rPr>
          <w:lang w:val="en-GB"/>
        </w:rPr>
        <w:t>.</w:t>
      </w:r>
    </w:p>
    <w:p w14:paraId="57E5F4A3" w14:textId="49FBAC89" w:rsidR="00220AF2" w:rsidRPr="0041608F" w:rsidRDefault="005E057F" w:rsidP="007C3E55">
      <w:pPr>
        <w:rPr>
          <w:b/>
          <w:bCs/>
          <w:caps/>
          <w:lang w:val="en-GB"/>
        </w:rPr>
      </w:pPr>
      <w:bookmarkStart w:id="121" w:name="_Toc146531996"/>
      <w:bookmarkStart w:id="122" w:name="_Toc146532603"/>
      <w:r w:rsidRPr="0041608F">
        <w:rPr>
          <w:b/>
          <w:bCs/>
          <w:caps/>
          <w:lang w:val="en-GB"/>
        </w:rPr>
        <w:lastRenderedPageBreak/>
        <w:t>NTC</w:t>
      </w:r>
      <w:r w:rsidR="00220AF2" w:rsidRPr="0041608F">
        <w:rPr>
          <w:b/>
          <w:bCs/>
          <w:caps/>
          <w:lang w:val="en-GB"/>
        </w:rPr>
        <w:t xml:space="preserve"> Calculation Rules Between Lithuanian and Polish Power Systems</w:t>
      </w:r>
      <w:bookmarkEnd w:id="121"/>
      <w:bookmarkEnd w:id="122"/>
    </w:p>
    <w:p w14:paraId="57FEE549" w14:textId="77777777" w:rsidR="00220AF2" w:rsidRPr="0041608F" w:rsidRDefault="00220AF2" w:rsidP="002A629E">
      <w:pPr>
        <w:pStyle w:val="ListParagraph"/>
        <w:widowControl w:val="0"/>
        <w:numPr>
          <w:ilvl w:val="1"/>
          <w:numId w:val="21"/>
        </w:numPr>
        <w:tabs>
          <w:tab w:val="left" w:pos="709"/>
        </w:tabs>
        <w:spacing w:before="0"/>
        <w:jc w:val="both"/>
        <w:rPr>
          <w:b w:val="0"/>
          <w:bCs/>
          <w:lang w:val="en-GB"/>
        </w:rPr>
      </w:pPr>
      <w:r w:rsidRPr="0041608F">
        <w:rPr>
          <w:rFonts w:eastAsiaTheme="majorEastAsia" w:cstheme="majorBidi"/>
          <w:b w:val="0"/>
          <w:bCs/>
          <w:lang w:val="en-GB"/>
        </w:rPr>
        <w:t>NTC values for Lithuania-Poland Cross-Border Interconnection in direction to Lithuania shall be calculated by using following formula:</w:t>
      </w:r>
    </w:p>
    <w:p w14:paraId="65EA643D" w14:textId="77777777" w:rsidR="005905B2" w:rsidRPr="0041608F" w:rsidRDefault="005905B2" w:rsidP="005905B2">
      <w:pPr>
        <w:pStyle w:val="ListParagraph"/>
        <w:widowControl w:val="0"/>
        <w:tabs>
          <w:tab w:val="left" w:pos="709"/>
        </w:tabs>
        <w:spacing w:before="0"/>
        <w:ind w:left="0"/>
        <w:jc w:val="both"/>
        <w:rPr>
          <w:b w:val="0"/>
          <w:b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4"/>
        <w:gridCol w:w="972"/>
      </w:tblGrid>
      <w:tr w:rsidR="00220AF2" w:rsidRPr="0041608F" w14:paraId="28EB8C95" w14:textId="77777777" w:rsidTr="007D4C73">
        <w:tc>
          <w:tcPr>
            <w:tcW w:w="8774" w:type="dxa"/>
          </w:tcPr>
          <w:p w14:paraId="1FED1C0E" w14:textId="77777777" w:rsidR="00220AF2" w:rsidRPr="0041608F" w:rsidRDefault="00220AF2" w:rsidP="000F73F9">
            <w:pPr>
              <w:pStyle w:val="ListParagraph"/>
              <w:tabs>
                <w:tab w:val="left" w:pos="709"/>
              </w:tabs>
              <w:ind w:left="0"/>
              <w:rPr>
                <w:b w:val="0"/>
                <w:bCs/>
                <w:lang w:val="en-GB"/>
              </w:rPr>
            </w:pPr>
            <w:r w:rsidRPr="0041608F">
              <w:rPr>
                <w:b w:val="0"/>
                <w:bCs/>
                <w:lang w:val="en-GB"/>
              </w:rPr>
              <w:t>NTC</w:t>
            </w:r>
            <w:r w:rsidRPr="0041608F">
              <w:rPr>
                <w:b w:val="0"/>
                <w:bCs/>
                <w:i/>
                <w:iCs/>
                <w:vertAlign w:val="subscript"/>
                <w:lang w:val="en-GB"/>
              </w:rPr>
              <w:t>(</w:t>
            </w:r>
            <w:r w:rsidRPr="0041608F">
              <w:rPr>
                <w:b w:val="0"/>
                <w:bCs/>
                <w:vertAlign w:val="subscript"/>
                <w:lang w:val="en-GB"/>
              </w:rPr>
              <w:t>PL&gt;LT</w:t>
            </w:r>
            <w:r w:rsidRPr="0041608F">
              <w:rPr>
                <w:b w:val="0"/>
                <w:bCs/>
                <w:i/>
                <w:iCs/>
                <w:vertAlign w:val="subscript"/>
                <w:lang w:val="en-GB"/>
              </w:rPr>
              <w:t>)</w:t>
            </w:r>
            <w:r w:rsidRPr="0041608F" w:rsidDel="00925DD0">
              <w:rPr>
                <w:b w:val="0"/>
                <w:bCs/>
                <w:vertAlign w:val="subscript"/>
                <w:lang w:val="en-GB"/>
              </w:rPr>
              <w:t xml:space="preserve"> </w:t>
            </w:r>
            <w:r w:rsidRPr="0041608F">
              <w:rPr>
                <w:b w:val="0"/>
                <w:bCs/>
                <w:lang w:val="en-GB"/>
              </w:rPr>
              <w:t xml:space="preserve">= </w:t>
            </w:r>
            <w:r w:rsidRPr="0041608F">
              <w:rPr>
                <w:b w:val="0"/>
                <w:bCs/>
                <w:spacing w:val="-3"/>
                <w:lang w:val="en-GB"/>
              </w:rPr>
              <w:t>TTC</w:t>
            </w:r>
            <w:r w:rsidRPr="0041608F">
              <w:rPr>
                <w:b w:val="0"/>
                <w:bCs/>
                <w:i/>
                <w:iCs/>
                <w:spacing w:val="-3"/>
                <w:vertAlign w:val="subscript"/>
                <w:lang w:val="en-GB"/>
              </w:rPr>
              <w:t>(</w:t>
            </w:r>
            <w:r w:rsidRPr="0041608F">
              <w:rPr>
                <w:b w:val="0"/>
                <w:bCs/>
                <w:spacing w:val="-3"/>
                <w:vertAlign w:val="subscript"/>
                <w:lang w:val="en-GB"/>
              </w:rPr>
              <w:t>PL&gt;LT</w:t>
            </w:r>
            <w:r w:rsidRPr="0041608F">
              <w:rPr>
                <w:b w:val="0"/>
                <w:bCs/>
                <w:i/>
                <w:iCs/>
                <w:spacing w:val="-3"/>
                <w:vertAlign w:val="subscript"/>
                <w:lang w:val="en-GB"/>
              </w:rPr>
              <w:t>)</w:t>
            </w:r>
            <w:r w:rsidRPr="0041608F">
              <w:rPr>
                <w:b w:val="0"/>
                <w:bCs/>
                <w:spacing w:val="-3"/>
                <w:lang w:val="en-GB"/>
              </w:rPr>
              <w:t xml:space="preserve"> -</w:t>
            </w:r>
            <w:r w:rsidRPr="0041608F">
              <w:rPr>
                <w:b w:val="0"/>
                <w:bCs/>
                <w:lang w:val="en-GB"/>
              </w:rPr>
              <w:t xml:space="preserve"> TRM</w:t>
            </w:r>
            <w:r w:rsidRPr="0041608F">
              <w:rPr>
                <w:b w:val="0"/>
                <w:bCs/>
                <w:i/>
                <w:iCs/>
                <w:vertAlign w:val="subscript"/>
                <w:lang w:val="en-GB"/>
              </w:rPr>
              <w:t>(</w:t>
            </w:r>
            <w:r w:rsidRPr="0041608F">
              <w:rPr>
                <w:b w:val="0"/>
                <w:bCs/>
                <w:spacing w:val="-3"/>
                <w:vertAlign w:val="subscript"/>
                <w:lang w:val="en-GB"/>
              </w:rPr>
              <w:t>PL&gt;LT</w:t>
            </w:r>
            <w:r w:rsidRPr="0041608F">
              <w:rPr>
                <w:b w:val="0"/>
                <w:bCs/>
                <w:i/>
                <w:iCs/>
                <w:spacing w:val="-3"/>
                <w:vertAlign w:val="subscript"/>
                <w:lang w:val="en-GB"/>
              </w:rPr>
              <w:t>)</w:t>
            </w:r>
          </w:p>
        </w:tc>
        <w:tc>
          <w:tcPr>
            <w:tcW w:w="972" w:type="dxa"/>
          </w:tcPr>
          <w:p w14:paraId="665A152F" w14:textId="3BE34DF6" w:rsidR="00220AF2" w:rsidRPr="0041608F" w:rsidRDefault="00220AF2" w:rsidP="000F73F9">
            <w:pPr>
              <w:pStyle w:val="ListParagraph"/>
              <w:tabs>
                <w:tab w:val="left" w:pos="709"/>
              </w:tabs>
              <w:ind w:left="0"/>
              <w:jc w:val="right"/>
              <w:rPr>
                <w:b w:val="0"/>
                <w:bCs/>
                <w:lang w:val="en-GB"/>
              </w:rPr>
            </w:pPr>
            <w:bookmarkStart w:id="123" w:name="_Ref146639220"/>
            <w:r w:rsidRPr="0041608F">
              <w:rPr>
                <w:b w:val="0"/>
                <w:bCs/>
                <w:lang w:val="en-GB"/>
              </w:rPr>
              <w:t>(</w:t>
            </w:r>
            <w:r w:rsidR="007D4C73" w:rsidRPr="009B3E70">
              <w:rPr>
                <w:b w:val="0"/>
                <w:bCs/>
                <w:lang w:val="en-GB"/>
              </w:rPr>
              <w:fldChar w:fldCharType="begin"/>
            </w:r>
            <w:r w:rsidR="007D4C73" w:rsidRPr="009B3E70">
              <w:rPr>
                <w:b w:val="0"/>
                <w:bCs/>
                <w:lang w:val="en-GB"/>
              </w:rPr>
              <w:instrText xml:space="preserve"> SEQ Equation \* ARABIC </w:instrText>
            </w:r>
            <w:r w:rsidR="007D4C73" w:rsidRPr="009B3E70">
              <w:rPr>
                <w:b w:val="0"/>
                <w:bCs/>
                <w:lang w:val="en-GB"/>
              </w:rPr>
              <w:fldChar w:fldCharType="separate"/>
            </w:r>
            <w:r w:rsidR="00D71607">
              <w:rPr>
                <w:b w:val="0"/>
                <w:bCs/>
                <w:noProof/>
                <w:lang w:val="en-GB"/>
              </w:rPr>
              <w:t>11</w:t>
            </w:r>
            <w:r w:rsidR="007D4C73" w:rsidRPr="009B3E70">
              <w:rPr>
                <w:b w:val="0"/>
                <w:bCs/>
                <w:lang w:val="en-GB"/>
              </w:rPr>
              <w:fldChar w:fldCharType="end"/>
            </w:r>
            <w:r w:rsidR="007D4C73" w:rsidRPr="009B3E70">
              <w:rPr>
                <w:b w:val="0"/>
                <w:bCs/>
                <w:lang w:val="en-GB"/>
              </w:rPr>
              <w:t>)</w:t>
            </w:r>
            <w:bookmarkEnd w:id="123"/>
          </w:p>
        </w:tc>
      </w:tr>
    </w:tbl>
    <w:p w14:paraId="6F7D082B" w14:textId="77777777" w:rsidR="00220AF2" w:rsidRPr="0041608F" w:rsidRDefault="00220AF2" w:rsidP="00220AF2">
      <w:pPr>
        <w:suppressAutoHyphens/>
        <w:spacing w:before="60"/>
        <w:rPr>
          <w:spacing w:val="-3"/>
          <w:lang w:val="en-GB"/>
        </w:rPr>
      </w:pPr>
      <w:r w:rsidRPr="0041608F">
        <w:rPr>
          <w:spacing w:val="-3"/>
          <w:lang w:val="en-GB"/>
        </w:rPr>
        <w:t>where:</w:t>
      </w:r>
    </w:p>
    <w:p w14:paraId="2AAF43DF" w14:textId="2DFDB939" w:rsidR="00220AF2" w:rsidRPr="0041608F" w:rsidRDefault="00220AF2" w:rsidP="00220AF2">
      <w:pPr>
        <w:suppressAutoHyphens/>
        <w:rPr>
          <w:spacing w:val="-3"/>
          <w:lang w:val="en-GB"/>
        </w:rPr>
      </w:pPr>
      <w:bookmarkStart w:id="124" w:name="_Hlk107582885"/>
      <w:r w:rsidRPr="0041608F">
        <w:rPr>
          <w:b/>
          <w:bCs/>
          <w:spacing w:val="-3"/>
          <w:lang w:val="en-GB"/>
        </w:rPr>
        <w:t>TTC</w:t>
      </w:r>
      <w:r w:rsidRPr="0041608F">
        <w:rPr>
          <w:b/>
          <w:bCs/>
          <w:spacing w:val="-3"/>
          <w:vertAlign w:val="subscript"/>
          <w:lang w:val="en-GB"/>
        </w:rPr>
        <w:t xml:space="preserve">(PL&gt;LT) </w:t>
      </w:r>
      <w:r w:rsidRPr="0041608F">
        <w:rPr>
          <w:spacing w:val="-3"/>
          <w:lang w:val="en-GB"/>
        </w:rPr>
        <w:t xml:space="preserve">– TTC of Lithuania-Poland cross border interconnection in direction to Lithuania calculated by Polish and Lithuanian TSO’s according to formula </w:t>
      </w:r>
      <w:r w:rsidRPr="0041608F">
        <w:rPr>
          <w:spacing w:val="-3"/>
          <w:lang w:val="en-GB"/>
        </w:rPr>
        <w:fldChar w:fldCharType="begin"/>
      </w:r>
      <w:r w:rsidRPr="0041608F">
        <w:rPr>
          <w:spacing w:val="-3"/>
          <w:lang w:val="en-GB"/>
        </w:rPr>
        <w:instrText xml:space="preserve"> REF _Ref146639040 \h </w:instrText>
      </w:r>
      <w:r w:rsidR="00CD44A6" w:rsidRPr="0041608F">
        <w:rPr>
          <w:spacing w:val="-3"/>
          <w:lang w:val="en-GB"/>
        </w:rPr>
        <w:instrText xml:space="preserve"> \* MERGEFORMAT </w:instrText>
      </w:r>
      <w:r w:rsidRPr="0041608F">
        <w:rPr>
          <w:spacing w:val="-3"/>
          <w:lang w:val="en-GB"/>
        </w:rPr>
      </w:r>
      <w:r w:rsidRPr="0041608F">
        <w:rPr>
          <w:spacing w:val="-3"/>
          <w:lang w:val="en-GB"/>
        </w:rPr>
        <w:fldChar w:fldCharType="separate"/>
      </w:r>
      <w:r w:rsidR="00D71607" w:rsidRPr="00D71607">
        <w:rPr>
          <w:rStyle w:val="Bodytext2SmallCaps"/>
        </w:rPr>
        <w:t>(</w:t>
      </w:r>
      <w:r w:rsidR="00D71607" w:rsidRPr="00A721D4">
        <w:rPr>
          <w:rStyle w:val="Bodytext2SmallCaps"/>
          <w:noProof/>
        </w:rPr>
        <w:t>9</w:t>
      </w:r>
      <w:r w:rsidR="00D71607" w:rsidRPr="00D71607">
        <w:rPr>
          <w:rStyle w:val="Bodytext2SmallCaps"/>
        </w:rPr>
        <w:t>)</w:t>
      </w:r>
      <w:r w:rsidRPr="0041608F">
        <w:rPr>
          <w:spacing w:val="-3"/>
          <w:lang w:val="en-GB"/>
        </w:rPr>
        <w:fldChar w:fldCharType="end"/>
      </w:r>
      <w:r w:rsidRPr="0041608F">
        <w:rPr>
          <w:spacing w:val="-3"/>
          <w:lang w:val="en-GB"/>
        </w:rPr>
        <w:t xml:space="preserve"> as in </w:t>
      </w:r>
      <w:r w:rsidRPr="0041608F">
        <w:rPr>
          <w:spacing w:val="-3"/>
          <w:lang w:val="en-GB"/>
        </w:rPr>
        <w:fldChar w:fldCharType="begin"/>
      </w:r>
      <w:r w:rsidRPr="0041608F">
        <w:rPr>
          <w:spacing w:val="-3"/>
          <w:lang w:val="en-GB"/>
        </w:rPr>
        <w:instrText xml:space="preserve"> REF _Ref146528941 \r \h </w:instrText>
      </w:r>
      <w:r w:rsidRPr="0041608F">
        <w:rPr>
          <w:spacing w:val="-3"/>
          <w:lang w:val="en-GB"/>
        </w:rPr>
      </w:r>
      <w:r w:rsidRPr="0041608F">
        <w:rPr>
          <w:spacing w:val="-3"/>
          <w:lang w:val="en-GB"/>
        </w:rPr>
        <w:fldChar w:fldCharType="separate"/>
      </w:r>
      <w:r w:rsidR="00D71607">
        <w:rPr>
          <w:spacing w:val="-3"/>
          <w:lang w:val="en-GB"/>
        </w:rPr>
        <w:t>11.4</w:t>
      </w:r>
      <w:r w:rsidRPr="0041608F">
        <w:rPr>
          <w:spacing w:val="-3"/>
          <w:lang w:val="en-GB"/>
        </w:rPr>
        <w:fldChar w:fldCharType="end"/>
      </w:r>
      <w:r w:rsidRPr="0041608F">
        <w:rPr>
          <w:spacing w:val="-3"/>
          <w:lang w:val="en-GB"/>
        </w:rPr>
        <w:t>.</w:t>
      </w:r>
    </w:p>
    <w:bookmarkEnd w:id="124"/>
    <w:p w14:paraId="20CB8B5E" w14:textId="470C70CC" w:rsidR="00220AF2" w:rsidRPr="0041608F" w:rsidRDefault="00220AF2" w:rsidP="00220AF2">
      <w:pPr>
        <w:tabs>
          <w:tab w:val="left" w:pos="1276"/>
        </w:tabs>
        <w:suppressAutoHyphens/>
        <w:rPr>
          <w:spacing w:val="-3"/>
          <w:lang w:val="en-GB"/>
        </w:rPr>
      </w:pPr>
      <w:r w:rsidRPr="0041608F">
        <w:rPr>
          <w:b/>
          <w:bCs/>
          <w:lang w:val="en-GB"/>
        </w:rPr>
        <w:t>TRM</w:t>
      </w:r>
      <w:r w:rsidRPr="0041608F">
        <w:rPr>
          <w:b/>
          <w:bCs/>
          <w:vertAlign w:val="subscript"/>
          <w:lang w:val="en-GB"/>
        </w:rPr>
        <w:t>(</w:t>
      </w:r>
      <w:r w:rsidRPr="0041608F">
        <w:rPr>
          <w:b/>
          <w:bCs/>
          <w:spacing w:val="-3"/>
          <w:vertAlign w:val="subscript"/>
          <w:lang w:val="en-GB"/>
        </w:rPr>
        <w:t>PL&gt;LT)</w:t>
      </w:r>
      <w:r w:rsidRPr="0041608F" w:rsidDel="00DA119B">
        <w:rPr>
          <w:b/>
          <w:bCs/>
          <w:spacing w:val="-3"/>
          <w:lang w:val="en-GB"/>
        </w:rPr>
        <w:t xml:space="preserve"> </w:t>
      </w:r>
      <w:r w:rsidRPr="0041608F">
        <w:rPr>
          <w:lang w:val="en-GB"/>
        </w:rPr>
        <w:t>–</w:t>
      </w:r>
      <w:r w:rsidRPr="0041608F">
        <w:rPr>
          <w:spacing w:val="-3"/>
          <w:lang w:val="en-GB"/>
        </w:rPr>
        <w:t xml:space="preserve"> transmission reliability margin due to unintentional deviations in the Lithuania-Poland cross border interconnection.</w:t>
      </w:r>
      <w:r w:rsidRPr="0041608F">
        <w:rPr>
          <w:lang w:val="en-GB"/>
        </w:rPr>
        <w:t xml:space="preserve"> For initial operation period after Baltic TSOs synchronisation with CESA, TRM</w:t>
      </w:r>
      <w:r w:rsidRPr="0041608F">
        <w:rPr>
          <w:vertAlign w:val="subscript"/>
          <w:lang w:val="en-GB"/>
        </w:rPr>
        <w:t xml:space="preserve"> </w:t>
      </w:r>
      <w:r w:rsidRPr="0041608F">
        <w:rPr>
          <w:lang w:val="en-GB"/>
        </w:rPr>
        <w:t>shall be calculated and applied according to</w:t>
      </w:r>
      <w:r w:rsidR="00DD07EA" w:rsidRPr="0041608F">
        <w:rPr>
          <w:lang w:val="en-GB"/>
        </w:rPr>
        <w:t xml:space="preserve"> paragraph</w:t>
      </w:r>
      <w:r w:rsidRPr="0041608F">
        <w:rPr>
          <w:lang w:val="en-GB"/>
        </w:rPr>
        <w:t xml:space="preserve"> </w:t>
      </w:r>
      <w:r w:rsidRPr="0041608F">
        <w:rPr>
          <w:lang w:val="en-GB"/>
        </w:rPr>
        <w:fldChar w:fldCharType="begin"/>
      </w:r>
      <w:r w:rsidRPr="0041608F">
        <w:rPr>
          <w:lang w:val="en-GB"/>
        </w:rPr>
        <w:instrText xml:space="preserve"> REF _Ref133926393 \r \h </w:instrText>
      </w:r>
      <w:r w:rsidRPr="0041608F">
        <w:rPr>
          <w:spacing w:val="-3"/>
          <w:lang w:val="en-GB"/>
        </w:rPr>
        <w:instrText xml:space="preserve"> \* MERGEFORMAT </w:instrText>
      </w:r>
      <w:r w:rsidRPr="0041608F">
        <w:rPr>
          <w:lang w:val="en-GB"/>
        </w:rPr>
      </w:r>
      <w:r w:rsidRPr="0041608F">
        <w:rPr>
          <w:spacing w:val="-3"/>
          <w:lang w:val="en-GB"/>
        </w:rPr>
        <w:fldChar w:fldCharType="separate"/>
      </w:r>
      <w:r w:rsidR="00D71607">
        <w:rPr>
          <w:lang w:val="en-GB"/>
        </w:rPr>
        <w:t>3.5</w:t>
      </w:r>
      <w:r w:rsidRPr="0041608F">
        <w:rPr>
          <w:lang w:val="en-GB"/>
        </w:rPr>
        <w:fldChar w:fldCharType="end"/>
      </w:r>
      <w:r w:rsidRPr="0041608F">
        <w:rPr>
          <w:lang w:val="en-GB"/>
        </w:rPr>
        <w:t>, but not higher, than 30% of TTC</w:t>
      </w:r>
      <w:r w:rsidRPr="0041608F">
        <w:rPr>
          <w:vertAlign w:val="subscript"/>
          <w:lang w:val="en-GB"/>
        </w:rPr>
        <w:t>(PL&gt;LT)</w:t>
      </w:r>
      <w:r w:rsidRPr="0041608F">
        <w:rPr>
          <w:lang w:val="en-GB"/>
        </w:rPr>
        <w:t>.</w:t>
      </w:r>
    </w:p>
    <w:p w14:paraId="3BAE6852" w14:textId="77777777" w:rsidR="00220AF2" w:rsidRPr="0041608F" w:rsidRDefault="00220AF2" w:rsidP="00220AF2">
      <w:pPr>
        <w:pStyle w:val="ListParagraph"/>
        <w:widowControl w:val="0"/>
        <w:numPr>
          <w:ilvl w:val="1"/>
          <w:numId w:val="21"/>
        </w:numPr>
        <w:tabs>
          <w:tab w:val="left" w:pos="709"/>
        </w:tabs>
        <w:spacing w:before="0" w:after="240"/>
        <w:jc w:val="both"/>
        <w:rPr>
          <w:b w:val="0"/>
          <w:bCs/>
          <w:lang w:val="en-GB"/>
        </w:rPr>
      </w:pPr>
      <w:r w:rsidRPr="0041608F">
        <w:rPr>
          <w:rFonts w:eastAsiaTheme="majorEastAsia" w:cstheme="majorBidi"/>
          <w:b w:val="0"/>
          <w:bCs/>
          <w:lang w:val="en-GB"/>
        </w:rPr>
        <w:t>NTC values for Lithuania-Poland Cross-Border Interconnection in direction to Poland shall be calculated by using following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gridCol w:w="685"/>
      </w:tblGrid>
      <w:tr w:rsidR="00220AF2" w:rsidRPr="0041608F" w14:paraId="784A2C7E" w14:textId="77777777" w:rsidTr="007D4C73">
        <w:tc>
          <w:tcPr>
            <w:tcW w:w="9061" w:type="dxa"/>
          </w:tcPr>
          <w:p w14:paraId="2CE4DD18" w14:textId="77777777" w:rsidR="00220AF2" w:rsidRPr="0041608F" w:rsidRDefault="00220AF2" w:rsidP="000F73F9">
            <w:pPr>
              <w:pStyle w:val="Caption"/>
              <w:jc w:val="center"/>
              <w:rPr>
                <w:b w:val="0"/>
                <w:bCs/>
                <w:i/>
                <w:iCs w:val="0"/>
                <w:szCs w:val="22"/>
                <w:lang w:val="en-GB"/>
              </w:rPr>
            </w:pPr>
            <w:bookmarkStart w:id="125" w:name="_Ref146610519"/>
            <w:r w:rsidRPr="0041608F">
              <w:rPr>
                <w:b w:val="0"/>
                <w:bCs/>
                <w:iCs w:val="0"/>
                <w:szCs w:val="22"/>
                <w:lang w:val="en-GB"/>
              </w:rPr>
              <w:t>NTC</w:t>
            </w:r>
            <w:r w:rsidRPr="0041608F">
              <w:rPr>
                <w:b w:val="0"/>
                <w:bCs/>
                <w:iCs w:val="0"/>
                <w:szCs w:val="22"/>
                <w:vertAlign w:val="subscript"/>
                <w:lang w:val="en-GB"/>
              </w:rPr>
              <w:t>(LT&gt;PL)</w:t>
            </w:r>
            <w:r w:rsidRPr="0041608F" w:rsidDel="00925DD0">
              <w:rPr>
                <w:b w:val="0"/>
                <w:bCs/>
                <w:iCs w:val="0"/>
                <w:szCs w:val="22"/>
                <w:vertAlign w:val="subscript"/>
                <w:lang w:val="en-GB"/>
              </w:rPr>
              <w:t xml:space="preserve"> </w:t>
            </w:r>
            <w:r w:rsidRPr="0041608F">
              <w:rPr>
                <w:b w:val="0"/>
                <w:bCs/>
                <w:iCs w:val="0"/>
                <w:szCs w:val="22"/>
                <w:lang w:val="en-GB"/>
              </w:rPr>
              <w:t xml:space="preserve">= </w:t>
            </w:r>
            <w:r w:rsidRPr="0041608F">
              <w:rPr>
                <w:b w:val="0"/>
                <w:bCs/>
                <w:iCs w:val="0"/>
                <w:spacing w:val="-3"/>
                <w:szCs w:val="22"/>
                <w:lang w:val="en-GB"/>
              </w:rPr>
              <w:t>TTC</w:t>
            </w:r>
            <w:r w:rsidRPr="0041608F">
              <w:rPr>
                <w:b w:val="0"/>
                <w:bCs/>
                <w:iCs w:val="0"/>
                <w:spacing w:val="-3"/>
                <w:szCs w:val="22"/>
                <w:vertAlign w:val="subscript"/>
                <w:lang w:val="en-GB"/>
              </w:rPr>
              <w:t>(LT&gt;PL)</w:t>
            </w:r>
            <w:r w:rsidRPr="0041608F">
              <w:rPr>
                <w:b w:val="0"/>
                <w:bCs/>
                <w:iCs w:val="0"/>
                <w:spacing w:val="-3"/>
                <w:szCs w:val="22"/>
                <w:lang w:val="en-GB"/>
              </w:rPr>
              <w:t xml:space="preserve"> –</w:t>
            </w:r>
            <w:r w:rsidRPr="0041608F">
              <w:rPr>
                <w:b w:val="0"/>
                <w:bCs/>
                <w:iCs w:val="0"/>
                <w:szCs w:val="22"/>
                <w:lang w:val="en-GB"/>
              </w:rPr>
              <w:t xml:space="preserve"> TRM</w:t>
            </w:r>
            <w:r w:rsidRPr="0041608F">
              <w:rPr>
                <w:b w:val="0"/>
                <w:bCs/>
                <w:iCs w:val="0"/>
                <w:szCs w:val="22"/>
                <w:vertAlign w:val="subscript"/>
                <w:lang w:val="en-GB"/>
              </w:rPr>
              <w:t>(</w:t>
            </w:r>
            <w:r w:rsidRPr="0041608F">
              <w:rPr>
                <w:b w:val="0"/>
                <w:bCs/>
                <w:iCs w:val="0"/>
                <w:spacing w:val="-3"/>
                <w:szCs w:val="22"/>
                <w:vertAlign w:val="subscript"/>
                <w:lang w:val="en-GB"/>
              </w:rPr>
              <w:t>LT&gt;PL)</w:t>
            </w:r>
          </w:p>
        </w:tc>
        <w:tc>
          <w:tcPr>
            <w:tcW w:w="685" w:type="dxa"/>
          </w:tcPr>
          <w:p w14:paraId="6302AA3F" w14:textId="2DF46032" w:rsidR="00220AF2" w:rsidRPr="0041608F" w:rsidRDefault="00220AF2" w:rsidP="000F73F9">
            <w:pPr>
              <w:pStyle w:val="Caption"/>
              <w:jc w:val="right"/>
              <w:rPr>
                <w:b w:val="0"/>
                <w:bCs/>
                <w:i/>
                <w:iCs w:val="0"/>
                <w:spacing w:val="-3"/>
                <w:szCs w:val="22"/>
                <w:lang w:val="en-GB"/>
              </w:rPr>
            </w:pPr>
            <w:bookmarkStart w:id="126" w:name="_Ref146639195"/>
            <w:r w:rsidRPr="0041608F">
              <w:rPr>
                <w:b w:val="0"/>
                <w:bCs/>
                <w:iCs w:val="0"/>
                <w:spacing w:val="-3"/>
                <w:szCs w:val="22"/>
                <w:lang w:val="en-GB"/>
              </w:rPr>
              <w:t>(</w:t>
            </w:r>
            <w:r w:rsidR="007D4C73" w:rsidRPr="00CF0269">
              <w:rPr>
                <w:b w:val="0"/>
                <w:bCs/>
                <w:lang w:val="en-GB"/>
              </w:rPr>
              <w:fldChar w:fldCharType="begin"/>
            </w:r>
            <w:r w:rsidR="007D4C73" w:rsidRPr="00CF0269">
              <w:rPr>
                <w:b w:val="0"/>
                <w:bCs/>
                <w:lang w:val="en-GB"/>
              </w:rPr>
              <w:instrText xml:space="preserve"> SEQ Equation \* ARABIC </w:instrText>
            </w:r>
            <w:r w:rsidR="007D4C73" w:rsidRPr="00CF0269">
              <w:rPr>
                <w:b w:val="0"/>
                <w:bCs/>
                <w:lang w:val="en-GB"/>
              </w:rPr>
              <w:fldChar w:fldCharType="separate"/>
            </w:r>
            <w:r w:rsidR="00D71607">
              <w:rPr>
                <w:b w:val="0"/>
                <w:bCs/>
                <w:noProof/>
                <w:lang w:val="en-GB"/>
              </w:rPr>
              <w:t>12</w:t>
            </w:r>
            <w:r w:rsidR="007D4C73" w:rsidRPr="00CF0269">
              <w:rPr>
                <w:b w:val="0"/>
                <w:bCs/>
                <w:lang w:val="en-GB"/>
              </w:rPr>
              <w:fldChar w:fldCharType="end"/>
            </w:r>
            <w:r w:rsidRPr="0041608F">
              <w:rPr>
                <w:b w:val="0"/>
                <w:bCs/>
                <w:iCs w:val="0"/>
                <w:spacing w:val="-3"/>
                <w:szCs w:val="22"/>
                <w:lang w:val="en-GB"/>
              </w:rPr>
              <w:t>)</w:t>
            </w:r>
            <w:bookmarkEnd w:id="126"/>
          </w:p>
        </w:tc>
      </w:tr>
    </w:tbl>
    <w:bookmarkEnd w:id="125"/>
    <w:p w14:paraId="5099D668" w14:textId="77777777" w:rsidR="00220AF2" w:rsidRPr="0041608F" w:rsidRDefault="00220AF2" w:rsidP="00220AF2">
      <w:pPr>
        <w:tabs>
          <w:tab w:val="left" w:pos="0"/>
        </w:tabs>
        <w:suppressAutoHyphens/>
        <w:rPr>
          <w:spacing w:val="-3"/>
          <w:lang w:val="en-GB"/>
        </w:rPr>
      </w:pPr>
      <w:r w:rsidRPr="0041608F">
        <w:rPr>
          <w:spacing w:val="-3"/>
          <w:lang w:val="en-GB"/>
        </w:rPr>
        <w:t>where:</w:t>
      </w:r>
    </w:p>
    <w:p w14:paraId="38C33EB4" w14:textId="734D4EDB" w:rsidR="00220AF2" w:rsidRPr="0041608F" w:rsidRDefault="00220AF2" w:rsidP="00220AF2">
      <w:pPr>
        <w:tabs>
          <w:tab w:val="left" w:pos="0"/>
        </w:tabs>
        <w:suppressAutoHyphens/>
        <w:rPr>
          <w:spacing w:val="-3"/>
          <w:lang w:val="en-GB"/>
        </w:rPr>
      </w:pPr>
      <w:r w:rsidRPr="0041608F">
        <w:rPr>
          <w:b/>
          <w:bCs/>
          <w:spacing w:val="-3"/>
          <w:lang w:val="en-GB"/>
        </w:rPr>
        <w:t>TTC</w:t>
      </w:r>
      <w:r w:rsidRPr="0041608F">
        <w:rPr>
          <w:b/>
          <w:bCs/>
          <w:spacing w:val="-3"/>
          <w:vertAlign w:val="subscript"/>
          <w:lang w:val="en-GB"/>
        </w:rPr>
        <w:t>(LT&gt;PL)</w:t>
      </w:r>
      <w:r w:rsidRPr="0041608F">
        <w:rPr>
          <w:spacing w:val="-3"/>
          <w:vertAlign w:val="subscript"/>
          <w:lang w:val="en-GB"/>
        </w:rPr>
        <w:t xml:space="preserve"> </w:t>
      </w:r>
      <w:r w:rsidRPr="0041608F">
        <w:rPr>
          <w:spacing w:val="-3"/>
          <w:lang w:val="en-GB"/>
        </w:rPr>
        <w:t xml:space="preserve">– TTC of Lithuania-Poland cross border interconnection in direction to Poland calculated by Polish and Lithuanian TSO’s according to formula </w:t>
      </w:r>
      <w:r w:rsidRPr="0041608F">
        <w:rPr>
          <w:spacing w:val="-3"/>
          <w:lang w:val="en-GB"/>
        </w:rPr>
        <w:fldChar w:fldCharType="begin"/>
      </w:r>
      <w:r w:rsidRPr="0041608F">
        <w:rPr>
          <w:spacing w:val="-3"/>
          <w:lang w:val="en-GB"/>
        </w:rPr>
        <w:instrText xml:space="preserve"> REF _Ref146639337 \h </w:instrText>
      </w:r>
      <w:r w:rsidR="0056380B" w:rsidRPr="0041608F">
        <w:rPr>
          <w:spacing w:val="-3"/>
          <w:lang w:val="en-GB"/>
        </w:rPr>
        <w:instrText xml:space="preserve"> \* MERGEFORMAT </w:instrText>
      </w:r>
      <w:r w:rsidRPr="0041608F">
        <w:rPr>
          <w:spacing w:val="-3"/>
          <w:lang w:val="en-GB"/>
        </w:rPr>
      </w:r>
      <w:r w:rsidRPr="0041608F">
        <w:rPr>
          <w:spacing w:val="-3"/>
          <w:lang w:val="en-GB"/>
        </w:rPr>
        <w:fldChar w:fldCharType="separate"/>
      </w:r>
      <w:r w:rsidR="00D71607" w:rsidRPr="00D71607">
        <w:rPr>
          <w:rStyle w:val="Bodytext2SmallCaps"/>
        </w:rPr>
        <w:t>(</w:t>
      </w:r>
      <w:r w:rsidR="00D71607" w:rsidRPr="00A721D4">
        <w:rPr>
          <w:rStyle w:val="Bodytext2SmallCaps"/>
          <w:noProof/>
        </w:rPr>
        <w:t>10</w:t>
      </w:r>
      <w:r w:rsidR="00D71607" w:rsidRPr="00D71607">
        <w:rPr>
          <w:rStyle w:val="Bodytext2SmallCaps"/>
        </w:rPr>
        <w:t>)</w:t>
      </w:r>
      <w:r w:rsidRPr="0041608F">
        <w:rPr>
          <w:spacing w:val="-3"/>
          <w:lang w:val="en-GB"/>
        </w:rPr>
        <w:fldChar w:fldCharType="end"/>
      </w:r>
      <w:r w:rsidRPr="0041608F">
        <w:rPr>
          <w:spacing w:val="-3"/>
          <w:lang w:val="en-GB"/>
        </w:rPr>
        <w:t xml:space="preserve"> as in</w:t>
      </w:r>
      <w:r w:rsidR="00DD0412" w:rsidRPr="0041608F">
        <w:rPr>
          <w:spacing w:val="-3"/>
          <w:lang w:val="en-GB"/>
        </w:rPr>
        <w:t xml:space="preserve"> </w:t>
      </w:r>
      <w:r w:rsidR="00DD0412" w:rsidRPr="0041608F">
        <w:rPr>
          <w:spacing w:val="-3"/>
          <w:lang w:val="en-GB"/>
        </w:rPr>
        <w:fldChar w:fldCharType="begin"/>
      </w:r>
      <w:r w:rsidR="00DD0412" w:rsidRPr="0041608F">
        <w:rPr>
          <w:spacing w:val="-3"/>
          <w:lang w:val="en-GB"/>
        </w:rPr>
        <w:instrText xml:space="preserve"> REF _Ref153271510 \r \h </w:instrText>
      </w:r>
      <w:r w:rsidR="00DD0412" w:rsidRPr="0041608F">
        <w:rPr>
          <w:spacing w:val="-3"/>
          <w:lang w:val="en-GB"/>
        </w:rPr>
      </w:r>
      <w:r w:rsidR="00DD0412" w:rsidRPr="0041608F">
        <w:rPr>
          <w:spacing w:val="-3"/>
          <w:lang w:val="en-GB"/>
        </w:rPr>
        <w:fldChar w:fldCharType="separate"/>
      </w:r>
      <w:r w:rsidR="00D71607">
        <w:rPr>
          <w:spacing w:val="-3"/>
          <w:lang w:val="en-GB"/>
        </w:rPr>
        <w:t>11.5</w:t>
      </w:r>
      <w:r w:rsidR="00DD0412" w:rsidRPr="0041608F">
        <w:rPr>
          <w:spacing w:val="-3"/>
          <w:lang w:val="en-GB"/>
        </w:rPr>
        <w:fldChar w:fldCharType="end"/>
      </w:r>
      <w:r w:rsidRPr="0041608F">
        <w:rPr>
          <w:spacing w:val="-3"/>
          <w:lang w:val="en-GB"/>
        </w:rPr>
        <w:t>.</w:t>
      </w:r>
    </w:p>
    <w:p w14:paraId="549E345C" w14:textId="26513B7A" w:rsidR="00022293" w:rsidRPr="0041608F" w:rsidRDefault="00220AF2" w:rsidP="00B917BB">
      <w:pPr>
        <w:rPr>
          <w:lang w:val="en-GB"/>
        </w:rPr>
      </w:pPr>
      <w:r w:rsidRPr="0041608F">
        <w:rPr>
          <w:b/>
          <w:bCs/>
          <w:spacing w:val="-3"/>
          <w:lang w:val="en-GB"/>
        </w:rPr>
        <w:t>TRM</w:t>
      </w:r>
      <w:r w:rsidRPr="0041608F">
        <w:rPr>
          <w:b/>
          <w:bCs/>
          <w:spacing w:val="-3"/>
          <w:vertAlign w:val="subscript"/>
          <w:lang w:val="en-GB"/>
        </w:rPr>
        <w:t>(LT&gt;PL)</w:t>
      </w:r>
      <w:r w:rsidRPr="0041608F">
        <w:rPr>
          <w:b/>
          <w:bCs/>
          <w:vertAlign w:val="subscript"/>
          <w:lang w:val="en-GB"/>
        </w:rPr>
        <w:t xml:space="preserve"> </w:t>
      </w:r>
      <w:r w:rsidRPr="0041608F">
        <w:rPr>
          <w:lang w:val="en-GB"/>
        </w:rPr>
        <w:t>–</w:t>
      </w:r>
      <w:r w:rsidRPr="0041608F">
        <w:rPr>
          <w:spacing w:val="-3"/>
          <w:lang w:val="en-GB"/>
        </w:rPr>
        <w:t xml:space="preserve"> transmission reliability margin due to unintentional deviations in the Lithuania-Poland cross border interconnection.</w:t>
      </w:r>
      <w:r w:rsidRPr="0041608F">
        <w:rPr>
          <w:lang w:val="en-GB"/>
        </w:rPr>
        <w:t xml:space="preserve"> For initial operation period after Baltic TSOs synchronisation with CESA, TRM</w:t>
      </w:r>
      <w:r w:rsidRPr="0041608F">
        <w:rPr>
          <w:vertAlign w:val="subscript"/>
          <w:lang w:val="en-GB"/>
        </w:rPr>
        <w:t xml:space="preserve"> </w:t>
      </w:r>
      <w:r w:rsidRPr="0041608F">
        <w:rPr>
          <w:lang w:val="en-GB"/>
        </w:rPr>
        <w:t xml:space="preserve">shall be calculated and applied according to </w:t>
      </w:r>
      <w:r w:rsidRPr="0041608F">
        <w:rPr>
          <w:rFonts w:eastAsia="Arial" w:cs="Arial"/>
          <w:lang w:val="en-GB"/>
        </w:rPr>
        <w:fldChar w:fldCharType="begin"/>
      </w:r>
      <w:r w:rsidRPr="0041608F">
        <w:rPr>
          <w:lang w:val="en-GB"/>
        </w:rPr>
        <w:instrText xml:space="preserve"> REF _Ref133926393 \r \h </w:instrText>
      </w:r>
      <w:r w:rsidRPr="0041608F">
        <w:rPr>
          <w:spacing w:val="-3"/>
          <w:lang w:val="en-GB"/>
        </w:rPr>
        <w:instrText xml:space="preserve"> \* MERGEFORMAT </w:instrText>
      </w:r>
      <w:r w:rsidRPr="0041608F">
        <w:rPr>
          <w:rFonts w:eastAsia="Arial" w:cs="Arial"/>
          <w:lang w:val="en-GB"/>
        </w:rPr>
      </w:r>
      <w:r w:rsidRPr="0041608F">
        <w:rPr>
          <w:rFonts w:eastAsia="Arial" w:cs="Arial"/>
          <w:lang w:val="en-GB"/>
        </w:rPr>
        <w:fldChar w:fldCharType="separate"/>
      </w:r>
      <w:r w:rsidR="00D71607">
        <w:rPr>
          <w:lang w:val="en-GB"/>
        </w:rPr>
        <w:t>3.5</w:t>
      </w:r>
      <w:r w:rsidRPr="0041608F">
        <w:rPr>
          <w:rFonts w:eastAsia="Arial" w:cs="Arial"/>
          <w:lang w:val="en-GB"/>
        </w:rPr>
        <w:fldChar w:fldCharType="end"/>
      </w:r>
      <w:r w:rsidRPr="0041608F">
        <w:rPr>
          <w:lang w:val="en-GB"/>
        </w:rPr>
        <w:t>, but not higher, than 30% of TTC</w:t>
      </w:r>
      <w:r w:rsidRPr="0041608F">
        <w:rPr>
          <w:vertAlign w:val="subscript"/>
          <w:lang w:val="en-GB"/>
        </w:rPr>
        <w:t>(LT&gt;PL)</w:t>
      </w:r>
      <w:r w:rsidRPr="0041608F">
        <w:rPr>
          <w:lang w:val="en-GB"/>
        </w:rPr>
        <w:t>.</w:t>
      </w:r>
    </w:p>
    <w:p w14:paraId="7037C1C5" w14:textId="2D89F021" w:rsidR="00C171A5" w:rsidRPr="0041608F" w:rsidRDefault="00C171A5" w:rsidP="00B949DF">
      <w:pPr>
        <w:pStyle w:val="Heading1"/>
      </w:pPr>
      <w:bookmarkStart w:id="127" w:name="_Toc153355183"/>
      <w:bookmarkStart w:id="128" w:name="_Toc153355312"/>
      <w:bookmarkStart w:id="129" w:name="_Toc153355550"/>
      <w:bookmarkStart w:id="130" w:name="_Toc158275584"/>
      <w:r w:rsidRPr="0041608F">
        <w:t xml:space="preserve">Long-term Capacity Calculation Rules </w:t>
      </w:r>
      <w:r w:rsidR="00B502AB" w:rsidRPr="0041608F">
        <w:t>for Year-Ahea</w:t>
      </w:r>
      <w:r w:rsidR="00B90E1B" w:rsidRPr="0041608F">
        <w:t>d</w:t>
      </w:r>
      <w:r w:rsidR="00B502AB" w:rsidRPr="0041608F">
        <w:t xml:space="preserve"> Timeframe</w:t>
      </w:r>
      <w:bookmarkEnd w:id="105"/>
      <w:bookmarkEnd w:id="127"/>
      <w:bookmarkEnd w:id="128"/>
      <w:bookmarkEnd w:id="129"/>
      <w:bookmarkEnd w:id="130"/>
    </w:p>
    <w:p w14:paraId="08B1E9F0" w14:textId="77777777" w:rsidR="00D06644" w:rsidRPr="0041608F" w:rsidRDefault="00D06644" w:rsidP="00D06644">
      <w:pPr>
        <w:pStyle w:val="ListParagraph"/>
        <w:numPr>
          <w:ilvl w:val="0"/>
          <w:numId w:val="9"/>
        </w:numPr>
        <w:contextualSpacing w:val="0"/>
        <w:jc w:val="both"/>
        <w:rPr>
          <w:rFonts w:cs="Arial"/>
          <w:b w:val="0"/>
          <w:bCs/>
          <w:vanish/>
          <w:lang w:val="en-GB"/>
        </w:rPr>
      </w:pPr>
      <w:bookmarkStart w:id="131" w:name="_Hlk132995648"/>
    </w:p>
    <w:p w14:paraId="3B76DF64"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6B1CCA95"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43D94702"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0B0CB3CA"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76D8BFA6"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6DB6DB03"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738DB42F"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0F6FA53C"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5275B50E"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5987A665"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69161A4E" w14:textId="77777777" w:rsidR="00D06644" w:rsidRPr="0041608F" w:rsidRDefault="00D06644" w:rsidP="00D06644">
      <w:pPr>
        <w:pStyle w:val="ListParagraph"/>
        <w:numPr>
          <w:ilvl w:val="0"/>
          <w:numId w:val="9"/>
        </w:numPr>
        <w:contextualSpacing w:val="0"/>
        <w:jc w:val="both"/>
        <w:rPr>
          <w:rFonts w:cs="Arial"/>
          <w:b w:val="0"/>
          <w:bCs/>
          <w:vanish/>
          <w:lang w:val="en-GB"/>
        </w:rPr>
      </w:pPr>
    </w:p>
    <w:p w14:paraId="401448CB" w14:textId="7B50E0A9" w:rsidR="00583113" w:rsidRPr="0041608F" w:rsidRDefault="47CCC823" w:rsidP="00D06644">
      <w:pPr>
        <w:pStyle w:val="HeadingforCross-zone"/>
        <w:numPr>
          <w:ilvl w:val="1"/>
          <w:numId w:val="9"/>
        </w:numPr>
        <w:rPr>
          <w:rFonts w:cs="Arial"/>
          <w:b w:val="0"/>
          <w:bCs/>
          <w:lang w:val="en-GB"/>
        </w:rPr>
      </w:pPr>
      <w:r w:rsidRPr="0041608F">
        <w:rPr>
          <w:rFonts w:cs="Arial"/>
          <w:b w:val="0"/>
          <w:lang w:val="en-GB"/>
        </w:rPr>
        <w:t xml:space="preserve">For </w:t>
      </w:r>
      <w:r w:rsidR="041B45E8" w:rsidRPr="0041608F">
        <w:rPr>
          <w:rFonts w:cs="Arial"/>
          <w:b w:val="0"/>
          <w:lang w:val="en-GB"/>
        </w:rPr>
        <w:t>LV-LT, LT-PL, LT-SE4</w:t>
      </w:r>
      <w:r w:rsidR="00583113" w:rsidRPr="0041608F">
        <w:rPr>
          <w:rFonts w:cs="Arial"/>
          <w:b w:val="0"/>
          <w:bCs/>
          <w:lang w:val="en-GB"/>
        </w:rPr>
        <w:t xml:space="preserve"> </w:t>
      </w:r>
      <w:r w:rsidR="002D7B55" w:rsidRPr="0041608F">
        <w:rPr>
          <w:rFonts w:cs="Arial"/>
          <w:b w:val="0"/>
          <w:bCs/>
          <w:lang w:val="en-GB"/>
        </w:rPr>
        <w:t>Year-Ahead</w:t>
      </w:r>
      <w:r w:rsidR="002D7B55" w:rsidRPr="0041608F">
        <w:rPr>
          <w:rFonts w:cs="Arial"/>
          <w:lang w:val="en-GB"/>
        </w:rPr>
        <w:t xml:space="preserve"> </w:t>
      </w:r>
      <w:r w:rsidR="00583113" w:rsidRPr="0041608F">
        <w:rPr>
          <w:rFonts w:cs="Arial"/>
          <w:b w:val="0"/>
          <w:bCs/>
          <w:lang w:val="en-GB"/>
        </w:rPr>
        <w:t xml:space="preserve">timeframe long-term capacity calculation process shall </w:t>
      </w:r>
      <w:r w:rsidR="001D3495" w:rsidRPr="0041608F">
        <w:rPr>
          <w:rFonts w:cs="Arial"/>
          <w:b w:val="0"/>
          <w:bCs/>
          <w:lang w:val="en-GB"/>
        </w:rPr>
        <w:t xml:space="preserve">publish </w:t>
      </w:r>
      <w:r w:rsidR="00583113" w:rsidRPr="0041608F">
        <w:rPr>
          <w:rFonts w:cs="Arial"/>
          <w:b w:val="0"/>
          <w:bCs/>
          <w:lang w:val="en-GB"/>
        </w:rPr>
        <w:t xml:space="preserve">results </w:t>
      </w:r>
      <w:r w:rsidR="00576D27" w:rsidRPr="0041608F">
        <w:rPr>
          <w:rFonts w:cs="Arial"/>
          <w:b w:val="0"/>
          <w:bCs/>
          <w:lang w:val="en-GB"/>
        </w:rPr>
        <w:t>to market participants and transparency platform</w:t>
      </w:r>
      <w:r w:rsidR="006E7B92" w:rsidRPr="0041608F">
        <w:rPr>
          <w:rFonts w:cs="Arial"/>
          <w:b w:val="0"/>
          <w:bCs/>
          <w:lang w:val="en-GB"/>
        </w:rPr>
        <w:t xml:space="preserve"> </w:t>
      </w:r>
      <w:r w:rsidR="00583113" w:rsidRPr="0041608F">
        <w:rPr>
          <w:rFonts w:cs="Arial"/>
          <w:b w:val="0"/>
          <w:bCs/>
          <w:lang w:val="en-GB"/>
        </w:rPr>
        <w:t xml:space="preserve">by </w:t>
      </w:r>
      <w:r w:rsidR="00583113" w:rsidRPr="0041608F" w:rsidDel="00271F2B">
        <w:rPr>
          <w:rFonts w:cs="Arial"/>
          <w:b w:val="0"/>
          <w:bCs/>
          <w:lang w:val="en-GB"/>
        </w:rPr>
        <w:t>15</w:t>
      </w:r>
      <w:r w:rsidR="00583113" w:rsidRPr="0041608F" w:rsidDel="00271F2B">
        <w:rPr>
          <w:rFonts w:cs="Arial"/>
          <w:b w:val="0"/>
          <w:bCs/>
          <w:vertAlign w:val="superscript"/>
          <w:lang w:val="en-GB"/>
        </w:rPr>
        <w:t>th</w:t>
      </w:r>
      <w:r w:rsidR="00583113" w:rsidRPr="0041608F" w:rsidDel="00271F2B">
        <w:rPr>
          <w:rFonts w:cs="Arial"/>
          <w:b w:val="0"/>
          <w:bCs/>
          <w:lang w:val="en-GB"/>
        </w:rPr>
        <w:t xml:space="preserve"> </w:t>
      </w:r>
      <w:r w:rsidR="00583113" w:rsidRPr="0041608F">
        <w:rPr>
          <w:rFonts w:cs="Arial"/>
          <w:b w:val="0"/>
          <w:bCs/>
          <w:lang w:val="en-GB"/>
        </w:rPr>
        <w:t xml:space="preserve">of </w:t>
      </w:r>
      <w:r w:rsidR="7CBC3F44" w:rsidRPr="0041608F">
        <w:rPr>
          <w:rFonts w:cs="Arial"/>
          <w:b w:val="0"/>
          <w:lang w:val="en-GB"/>
        </w:rPr>
        <w:t>December</w:t>
      </w:r>
      <w:r w:rsidR="00583113" w:rsidRPr="0041608F">
        <w:rPr>
          <w:rFonts w:cs="Arial"/>
          <w:b w:val="0"/>
          <w:bCs/>
          <w:lang w:val="en-GB"/>
        </w:rPr>
        <w:t xml:space="preserve"> as the latest.</w:t>
      </w:r>
    </w:p>
    <w:p w14:paraId="3A31742D" w14:textId="27A278CD" w:rsidR="17033648" w:rsidRPr="0041608F" w:rsidRDefault="17033648" w:rsidP="6B53FB08">
      <w:pPr>
        <w:pStyle w:val="HeadingforCross-zone"/>
        <w:numPr>
          <w:ilvl w:val="1"/>
          <w:numId w:val="9"/>
        </w:numPr>
        <w:rPr>
          <w:rFonts w:cs="Arial"/>
          <w:b w:val="0"/>
          <w:lang w:val="en-GB"/>
        </w:rPr>
      </w:pPr>
      <w:r w:rsidRPr="0041608F">
        <w:rPr>
          <w:rFonts w:cs="Arial"/>
          <w:b w:val="0"/>
          <w:lang w:val="en-GB"/>
        </w:rPr>
        <w:t>For EE-LV and EE-FI Year-Ahead timeframe long-term capacity calculation process shall publish results to market participants and transparency platform by 8</w:t>
      </w:r>
      <w:r w:rsidRPr="0041608F">
        <w:rPr>
          <w:rFonts w:cs="Arial"/>
          <w:b w:val="0"/>
          <w:vertAlign w:val="superscript"/>
          <w:lang w:val="en-GB"/>
        </w:rPr>
        <w:t>th</w:t>
      </w:r>
      <w:r w:rsidRPr="0041608F">
        <w:rPr>
          <w:rFonts w:cs="Arial"/>
          <w:b w:val="0"/>
          <w:lang w:val="en-GB"/>
        </w:rPr>
        <w:t xml:space="preserve"> of November as the latest.</w:t>
      </w:r>
    </w:p>
    <w:p w14:paraId="120F88FB" w14:textId="29E1A2E3" w:rsidR="00F36809" w:rsidRPr="0041608F" w:rsidRDefault="00120CDF" w:rsidP="008E4773">
      <w:pPr>
        <w:pStyle w:val="HeadingforCross-zone"/>
        <w:numPr>
          <w:ilvl w:val="1"/>
          <w:numId w:val="9"/>
        </w:numPr>
        <w:rPr>
          <w:rFonts w:cs="Arial"/>
          <w:b w:val="0"/>
          <w:bCs/>
          <w:lang w:val="en-GB"/>
        </w:rPr>
      </w:pPr>
      <w:r w:rsidRPr="0041608F">
        <w:rPr>
          <w:rFonts w:cs="Arial"/>
          <w:b w:val="0"/>
          <w:bCs/>
          <w:lang w:val="en-GB"/>
        </w:rPr>
        <w:t>Capacity cal</w:t>
      </w:r>
      <w:r w:rsidR="00F36809" w:rsidRPr="0041608F">
        <w:rPr>
          <w:rFonts w:cs="Arial"/>
          <w:b w:val="0"/>
          <w:bCs/>
          <w:lang w:val="en-GB"/>
        </w:rPr>
        <w:t>c</w:t>
      </w:r>
      <w:r w:rsidRPr="0041608F">
        <w:rPr>
          <w:rFonts w:cs="Arial"/>
          <w:b w:val="0"/>
          <w:bCs/>
          <w:lang w:val="en-GB"/>
        </w:rPr>
        <w:t>ulation for</w:t>
      </w:r>
      <w:r w:rsidR="00F36809" w:rsidRPr="0041608F">
        <w:rPr>
          <w:rFonts w:cs="Arial"/>
          <w:b w:val="0"/>
          <w:bCs/>
          <w:lang w:val="en-GB"/>
        </w:rPr>
        <w:t xml:space="preserve"> </w:t>
      </w:r>
      <w:r w:rsidRPr="0041608F">
        <w:rPr>
          <w:rFonts w:cs="Arial"/>
          <w:b w:val="0"/>
          <w:bCs/>
          <w:lang w:val="en-GB"/>
        </w:rPr>
        <w:t>Year-Ahead timeframe shall be performed on a yearly CGM.</w:t>
      </w:r>
      <w:r w:rsidR="00B97D4D" w:rsidRPr="0041608F">
        <w:rPr>
          <w:rFonts w:cs="Arial"/>
          <w:b w:val="0"/>
          <w:bCs/>
          <w:lang w:val="en-GB"/>
        </w:rPr>
        <w:t xml:space="preserve"> Scenarios </w:t>
      </w:r>
      <w:r w:rsidR="00F36809" w:rsidRPr="0041608F">
        <w:rPr>
          <w:rFonts w:cs="Arial"/>
          <w:b w:val="0"/>
          <w:bCs/>
          <w:lang w:val="en-GB"/>
        </w:rPr>
        <w:t xml:space="preserve">and timestamps for yearly CGM </w:t>
      </w:r>
      <w:r w:rsidR="00B97D4D" w:rsidRPr="0041608F">
        <w:rPr>
          <w:rFonts w:cs="Arial"/>
          <w:b w:val="0"/>
          <w:bCs/>
          <w:lang w:val="en-GB"/>
        </w:rPr>
        <w:t>shall be set according to CGMM methodology</w:t>
      </w:r>
      <w:r w:rsidR="00F36809" w:rsidRPr="0041608F">
        <w:rPr>
          <w:rFonts w:cs="Arial"/>
          <w:b w:val="0"/>
          <w:bCs/>
          <w:lang w:val="en-GB"/>
        </w:rPr>
        <w:t xml:space="preserve">. </w:t>
      </w:r>
    </w:p>
    <w:p w14:paraId="63241BB4" w14:textId="47CFEA96" w:rsidR="00405EC9" w:rsidRPr="0041608F" w:rsidRDefault="00F36809" w:rsidP="008E4773">
      <w:pPr>
        <w:pStyle w:val="HeadingforCross-zone"/>
        <w:numPr>
          <w:ilvl w:val="1"/>
          <w:numId w:val="9"/>
        </w:numPr>
        <w:rPr>
          <w:rFonts w:cs="Arial"/>
          <w:b w:val="0"/>
          <w:bCs/>
          <w:lang w:val="en-GB"/>
        </w:rPr>
      </w:pPr>
      <w:r w:rsidRPr="0041608F">
        <w:rPr>
          <w:rFonts w:cs="Arial"/>
          <w:b w:val="0"/>
          <w:bCs/>
          <w:lang w:val="en-GB"/>
        </w:rPr>
        <w:t xml:space="preserve">Capacity calculation for Year-Ahead timeframe shall be </w:t>
      </w:r>
      <w:r w:rsidR="004B1C54" w:rsidRPr="0041608F">
        <w:rPr>
          <w:rFonts w:cs="Arial"/>
          <w:b w:val="0"/>
          <w:bCs/>
          <w:lang w:val="en-GB"/>
        </w:rPr>
        <w:t>performed at least for each month of the year using latest available CGM scenario</w:t>
      </w:r>
      <w:r w:rsidR="008C52A1" w:rsidRPr="0041608F">
        <w:rPr>
          <w:rFonts w:cs="Arial"/>
          <w:b w:val="0"/>
          <w:bCs/>
          <w:lang w:val="en-GB"/>
        </w:rPr>
        <w:t xml:space="preserve"> and yearly</w:t>
      </w:r>
      <w:r w:rsidR="005A28EA" w:rsidRPr="0041608F">
        <w:rPr>
          <w:rFonts w:cs="Arial"/>
          <w:b w:val="0"/>
          <w:bCs/>
          <w:lang w:val="en-GB"/>
        </w:rPr>
        <w:t xml:space="preserve"> coordinated</w:t>
      </w:r>
      <w:r w:rsidR="008C52A1" w:rsidRPr="0041608F">
        <w:rPr>
          <w:rFonts w:cs="Arial"/>
          <w:b w:val="0"/>
          <w:bCs/>
          <w:lang w:val="en-GB"/>
        </w:rPr>
        <w:t xml:space="preserve"> outages plan applied. </w:t>
      </w:r>
      <w:r w:rsidR="00405EC9" w:rsidRPr="0041608F">
        <w:rPr>
          <w:rFonts w:cs="Arial"/>
          <w:b w:val="0"/>
          <w:bCs/>
          <w:lang w:val="en-GB"/>
        </w:rPr>
        <w:t>C</w:t>
      </w:r>
      <w:r w:rsidR="00A057E0" w:rsidRPr="0041608F">
        <w:rPr>
          <w:rFonts w:cs="Arial"/>
          <w:b w:val="0"/>
          <w:bCs/>
          <w:lang w:val="en-GB"/>
        </w:rPr>
        <w:t>a</w:t>
      </w:r>
      <w:r w:rsidR="00405EC9" w:rsidRPr="0041608F">
        <w:rPr>
          <w:rFonts w:cs="Arial"/>
          <w:b w:val="0"/>
          <w:bCs/>
          <w:lang w:val="en-GB"/>
        </w:rPr>
        <w:t xml:space="preserve">pacities shall also be calculated for each </w:t>
      </w:r>
      <w:r w:rsidR="004D316A" w:rsidRPr="0041608F">
        <w:rPr>
          <w:rFonts w:cs="Arial"/>
          <w:b w:val="0"/>
          <w:bCs/>
          <w:lang w:val="en-GB"/>
        </w:rPr>
        <w:t>cross-border capacity impacting</w:t>
      </w:r>
      <w:r w:rsidR="00405EC9" w:rsidRPr="0041608F">
        <w:rPr>
          <w:rFonts w:cs="Arial"/>
          <w:b w:val="0"/>
          <w:bCs/>
          <w:lang w:val="en-GB"/>
        </w:rPr>
        <w:t xml:space="preserve"> </w:t>
      </w:r>
      <w:r w:rsidR="00B669B1" w:rsidRPr="0041608F">
        <w:rPr>
          <w:rFonts w:cs="Arial"/>
          <w:b w:val="0"/>
          <w:bCs/>
          <w:lang w:val="en-GB"/>
        </w:rPr>
        <w:t>planned</w:t>
      </w:r>
      <w:r w:rsidR="00A057E0" w:rsidRPr="0041608F">
        <w:rPr>
          <w:rFonts w:cs="Arial"/>
          <w:b w:val="0"/>
          <w:bCs/>
          <w:lang w:val="en-GB"/>
        </w:rPr>
        <w:t xml:space="preserve"> outages or outages combination period</w:t>
      </w:r>
      <w:r w:rsidR="009E4F1F" w:rsidRPr="0041608F">
        <w:rPr>
          <w:rFonts w:cs="Arial"/>
          <w:b w:val="0"/>
          <w:bCs/>
          <w:lang w:val="en-GB"/>
        </w:rPr>
        <w:t xml:space="preserve"> also including </w:t>
      </w:r>
      <w:r w:rsidR="00CF11CA" w:rsidRPr="0041608F">
        <w:rPr>
          <w:rFonts w:cs="Arial"/>
          <w:b w:val="0"/>
          <w:bCs/>
          <w:lang w:val="en-GB"/>
        </w:rPr>
        <w:t>new infrastructure plans and generation/load patterns</w:t>
      </w:r>
      <w:r w:rsidR="00A057E0" w:rsidRPr="0041608F">
        <w:rPr>
          <w:rFonts w:cs="Arial"/>
          <w:b w:val="0"/>
          <w:bCs/>
          <w:lang w:val="en-GB"/>
        </w:rPr>
        <w:t>.</w:t>
      </w:r>
    </w:p>
    <w:p w14:paraId="18FF598A" w14:textId="279F4540" w:rsidR="00F36809" w:rsidRPr="0041608F" w:rsidRDefault="00675A90" w:rsidP="008E4773">
      <w:pPr>
        <w:pStyle w:val="HeadingforCross-zone"/>
        <w:numPr>
          <w:ilvl w:val="1"/>
          <w:numId w:val="9"/>
        </w:numPr>
        <w:rPr>
          <w:rFonts w:cs="Arial"/>
          <w:b w:val="0"/>
          <w:bCs/>
          <w:lang w:val="en-GB"/>
        </w:rPr>
      </w:pPr>
      <w:r w:rsidRPr="0041608F">
        <w:rPr>
          <w:rFonts w:cs="Arial"/>
          <w:b w:val="0"/>
          <w:bCs/>
          <w:lang w:val="en-GB"/>
        </w:rPr>
        <w:t>TTC and NTC values shall be calculated considerin</w:t>
      </w:r>
      <w:r w:rsidR="005D0C87" w:rsidRPr="0041608F">
        <w:rPr>
          <w:rFonts w:cs="Arial"/>
          <w:b w:val="0"/>
          <w:bCs/>
          <w:lang w:val="en-GB"/>
        </w:rPr>
        <w:t xml:space="preserve">g </w:t>
      </w:r>
      <w:r w:rsidRPr="0041608F">
        <w:rPr>
          <w:rFonts w:cs="Arial"/>
          <w:b w:val="0"/>
          <w:bCs/>
          <w:lang w:val="en-GB"/>
        </w:rPr>
        <w:t xml:space="preserve">system security and </w:t>
      </w:r>
      <w:r w:rsidR="00C5773F" w:rsidRPr="0041608F">
        <w:rPr>
          <w:rFonts w:cs="Arial"/>
          <w:b w:val="0"/>
          <w:bCs/>
          <w:lang w:val="en-GB"/>
        </w:rPr>
        <w:t>net position variation in accordance with</w:t>
      </w:r>
      <w:bookmarkEnd w:id="131"/>
      <w:r w:rsidR="00AE0A50" w:rsidRPr="0041608F">
        <w:rPr>
          <w:rFonts w:cs="Arial"/>
          <w:b w:val="0"/>
          <w:bCs/>
          <w:lang w:val="en-GB"/>
        </w:rPr>
        <w:t xml:space="preserve"> Section </w:t>
      </w:r>
      <w:r w:rsidR="00AE0A50" w:rsidRPr="0041608F">
        <w:rPr>
          <w:rFonts w:cs="Arial"/>
          <w:b w:val="0"/>
          <w:bCs/>
          <w:lang w:val="en-GB"/>
        </w:rPr>
        <w:fldChar w:fldCharType="begin"/>
      </w:r>
      <w:r w:rsidR="00AE0A50" w:rsidRPr="0041608F">
        <w:rPr>
          <w:rFonts w:cs="Arial"/>
          <w:b w:val="0"/>
          <w:bCs/>
          <w:lang w:val="en-GB"/>
        </w:rPr>
        <w:instrText xml:space="preserve"> REF _Ref151537821 \r \h  \* MERGEFORMAT </w:instrText>
      </w:r>
      <w:r w:rsidR="00AE0A50" w:rsidRPr="0041608F">
        <w:rPr>
          <w:rFonts w:cs="Arial"/>
          <w:b w:val="0"/>
          <w:bCs/>
          <w:lang w:val="en-GB"/>
        </w:rPr>
      </w:r>
      <w:r w:rsidR="00AE0A50" w:rsidRPr="0041608F">
        <w:rPr>
          <w:rFonts w:cs="Arial"/>
          <w:b w:val="0"/>
          <w:bCs/>
          <w:lang w:val="en-GB"/>
        </w:rPr>
        <w:fldChar w:fldCharType="separate"/>
      </w:r>
      <w:r w:rsidR="00D71607">
        <w:rPr>
          <w:rFonts w:cs="Arial"/>
          <w:b w:val="0"/>
          <w:bCs/>
          <w:lang w:val="en-GB"/>
        </w:rPr>
        <w:t>8</w:t>
      </w:r>
      <w:r w:rsidR="00AE0A50" w:rsidRPr="0041608F">
        <w:rPr>
          <w:rFonts w:cs="Arial"/>
          <w:b w:val="0"/>
          <w:bCs/>
          <w:lang w:val="en-GB"/>
        </w:rPr>
        <w:fldChar w:fldCharType="end"/>
      </w:r>
      <w:r w:rsidR="00AE0A50" w:rsidRPr="0041608F">
        <w:rPr>
          <w:rFonts w:cs="Arial"/>
          <w:b w:val="0"/>
          <w:bCs/>
          <w:lang w:val="en-GB"/>
        </w:rPr>
        <w:t>.</w:t>
      </w:r>
    </w:p>
    <w:p w14:paraId="7CAA21E0" w14:textId="4D2766AE" w:rsidR="00B90E1B" w:rsidRPr="0041608F" w:rsidRDefault="00B90E1B" w:rsidP="00B949DF">
      <w:pPr>
        <w:pStyle w:val="Heading1"/>
      </w:pPr>
      <w:bookmarkStart w:id="132" w:name="_Toc153355184"/>
      <w:bookmarkStart w:id="133" w:name="_Toc153355313"/>
      <w:bookmarkStart w:id="134" w:name="_Toc153355551"/>
      <w:bookmarkStart w:id="135" w:name="_Toc158275585"/>
      <w:r w:rsidRPr="0041608F">
        <w:t>Long-term Capacity Calculation Rules for Month-Ahead Timeframe</w:t>
      </w:r>
      <w:bookmarkEnd w:id="132"/>
      <w:bookmarkEnd w:id="133"/>
      <w:bookmarkEnd w:id="134"/>
      <w:bookmarkEnd w:id="135"/>
    </w:p>
    <w:p w14:paraId="755F0D5A" w14:textId="77777777" w:rsidR="00A529DD" w:rsidRPr="0041608F" w:rsidRDefault="00A529DD" w:rsidP="008E4773">
      <w:pPr>
        <w:pStyle w:val="ListParagraph"/>
        <w:numPr>
          <w:ilvl w:val="0"/>
          <w:numId w:val="9"/>
        </w:numPr>
        <w:contextualSpacing w:val="0"/>
        <w:jc w:val="both"/>
        <w:rPr>
          <w:rFonts w:cs="Arial"/>
          <w:b w:val="0"/>
          <w:bCs/>
          <w:vanish/>
          <w:lang w:val="en-GB"/>
        </w:rPr>
      </w:pPr>
    </w:p>
    <w:p w14:paraId="07394A6D" w14:textId="23F3F1C2" w:rsidR="00873523" w:rsidRPr="0041608F" w:rsidRDefault="00873523" w:rsidP="7C5A4A8F">
      <w:pPr>
        <w:pStyle w:val="HeadingforCross-zone"/>
        <w:numPr>
          <w:ilvl w:val="1"/>
          <w:numId w:val="9"/>
        </w:numPr>
        <w:rPr>
          <w:rFonts w:cs="Arial"/>
          <w:b w:val="0"/>
          <w:lang w:val="en-GB"/>
        </w:rPr>
      </w:pPr>
      <w:commentRangeStart w:id="136"/>
      <w:commentRangeStart w:id="137"/>
      <w:commentRangeStart w:id="138"/>
      <w:commentRangeStart w:id="139"/>
      <w:r w:rsidRPr="0041608F">
        <w:rPr>
          <w:rFonts w:cs="Arial"/>
          <w:b w:val="0"/>
          <w:lang w:val="en-GB"/>
        </w:rPr>
        <w:t xml:space="preserve">For </w:t>
      </w:r>
      <w:r w:rsidR="002D7B55" w:rsidRPr="0041608F">
        <w:rPr>
          <w:rFonts w:cs="Arial"/>
          <w:b w:val="0"/>
          <w:lang w:val="en-GB"/>
        </w:rPr>
        <w:t>Month-Ahead</w:t>
      </w:r>
      <w:r w:rsidRPr="0041608F">
        <w:rPr>
          <w:rFonts w:cs="Arial"/>
          <w:b w:val="0"/>
          <w:lang w:val="en-GB"/>
        </w:rPr>
        <w:t xml:space="preserve"> timeframe long-term capacity calculation process shall provide results </w:t>
      </w:r>
      <w:r w:rsidR="00702209" w:rsidRPr="0041608F">
        <w:rPr>
          <w:rFonts w:cs="Arial"/>
          <w:b w:val="0"/>
          <w:lang w:val="en-GB"/>
        </w:rPr>
        <w:t xml:space="preserve">6 </w:t>
      </w:r>
      <w:r w:rsidR="00CB6FB0" w:rsidRPr="0041608F">
        <w:rPr>
          <w:rFonts w:cs="Arial"/>
          <w:b w:val="0"/>
          <w:lang w:val="en-GB"/>
        </w:rPr>
        <w:t>days</w:t>
      </w:r>
      <w:r w:rsidR="00B55634" w:rsidRPr="0041608F">
        <w:rPr>
          <w:rFonts w:cs="Arial"/>
          <w:b w:val="0"/>
          <w:lang w:val="en-GB"/>
        </w:rPr>
        <w:t xml:space="preserve"> before</w:t>
      </w:r>
      <w:r w:rsidR="006A4014" w:rsidRPr="0041608F">
        <w:rPr>
          <w:rFonts w:cs="Arial"/>
          <w:b w:val="0"/>
          <w:lang w:val="en-GB"/>
        </w:rPr>
        <w:t xml:space="preserve"> </w:t>
      </w:r>
      <w:r w:rsidR="00223D01" w:rsidRPr="0041608F">
        <w:rPr>
          <w:rFonts w:cs="Arial"/>
          <w:b w:val="0"/>
          <w:lang w:val="en-GB"/>
        </w:rPr>
        <w:t>analysed month</w:t>
      </w:r>
      <w:r w:rsidRPr="0041608F">
        <w:rPr>
          <w:rFonts w:cs="Arial"/>
          <w:b w:val="0"/>
          <w:lang w:val="en-GB"/>
        </w:rPr>
        <w:t xml:space="preserve"> the latest.</w:t>
      </w:r>
      <w:commentRangeEnd w:id="136"/>
      <w:r w:rsidRPr="00C87D27">
        <w:rPr>
          <w:rStyle w:val="CommentReference"/>
          <w:lang w:val="en-GB"/>
        </w:rPr>
        <w:commentReference w:id="136"/>
      </w:r>
      <w:commentRangeEnd w:id="137"/>
      <w:r w:rsidRPr="00C87D27">
        <w:rPr>
          <w:rStyle w:val="CommentReference"/>
          <w:lang w:val="en-GB"/>
        </w:rPr>
        <w:commentReference w:id="137"/>
      </w:r>
      <w:commentRangeEnd w:id="138"/>
      <w:r w:rsidRPr="00C87D27">
        <w:rPr>
          <w:rStyle w:val="CommentReference"/>
          <w:lang w:val="en-GB"/>
        </w:rPr>
        <w:commentReference w:id="138"/>
      </w:r>
      <w:commentRangeEnd w:id="139"/>
      <w:r w:rsidRPr="00C87D27">
        <w:rPr>
          <w:rStyle w:val="CommentReference"/>
          <w:lang w:val="en-GB"/>
        </w:rPr>
        <w:commentReference w:id="139"/>
      </w:r>
    </w:p>
    <w:p w14:paraId="718F0992" w14:textId="77BF5402" w:rsidR="00873523" w:rsidRPr="0041608F" w:rsidRDefault="00873523" w:rsidP="008E4773">
      <w:pPr>
        <w:pStyle w:val="HeadingforCross-zone"/>
        <w:numPr>
          <w:ilvl w:val="1"/>
          <w:numId w:val="9"/>
        </w:numPr>
        <w:rPr>
          <w:rFonts w:cs="Arial"/>
          <w:b w:val="0"/>
          <w:bCs/>
          <w:lang w:val="en-GB"/>
        </w:rPr>
      </w:pPr>
      <w:r w:rsidRPr="0041608F">
        <w:rPr>
          <w:rFonts w:cs="Arial"/>
          <w:b w:val="0"/>
          <w:bCs/>
          <w:lang w:val="en-GB"/>
        </w:rPr>
        <w:t xml:space="preserve">Capacity calculation for </w:t>
      </w:r>
      <w:r w:rsidR="002D7B55" w:rsidRPr="0041608F">
        <w:rPr>
          <w:rFonts w:cs="Arial"/>
          <w:b w:val="0"/>
          <w:bCs/>
          <w:lang w:val="en-GB"/>
        </w:rPr>
        <w:t>Month</w:t>
      </w:r>
      <w:r w:rsidRPr="0041608F">
        <w:rPr>
          <w:rFonts w:cs="Arial"/>
          <w:b w:val="0"/>
          <w:bCs/>
          <w:lang w:val="en-GB"/>
        </w:rPr>
        <w:t>-Ahead timeframe shall be performed on a</w:t>
      </w:r>
      <w:r w:rsidR="00A860CA" w:rsidRPr="0041608F">
        <w:rPr>
          <w:rFonts w:cs="Arial"/>
          <w:b w:val="0"/>
          <w:bCs/>
          <w:lang w:val="en-GB"/>
        </w:rPr>
        <w:t xml:space="preserve"> latest avai</w:t>
      </w:r>
      <w:r w:rsidR="00911046" w:rsidRPr="0041608F">
        <w:rPr>
          <w:rFonts w:cs="Arial"/>
          <w:b w:val="0"/>
          <w:bCs/>
          <w:lang w:val="en-GB"/>
        </w:rPr>
        <w:t>lable CGM or</w:t>
      </w:r>
      <w:r w:rsidRPr="0041608F">
        <w:rPr>
          <w:rFonts w:cs="Arial"/>
          <w:b w:val="0"/>
          <w:bCs/>
          <w:lang w:val="en-GB"/>
        </w:rPr>
        <w:t xml:space="preserve"> yearly CGM. </w:t>
      </w:r>
      <w:r w:rsidR="00911046" w:rsidRPr="0041608F">
        <w:rPr>
          <w:rFonts w:cs="Arial"/>
          <w:b w:val="0"/>
          <w:bCs/>
          <w:lang w:val="en-GB"/>
        </w:rPr>
        <w:t>Data for CGM shall be updated accordingly.</w:t>
      </w:r>
    </w:p>
    <w:p w14:paraId="176F25CB" w14:textId="2D366C9F" w:rsidR="00873523" w:rsidRPr="0041608F" w:rsidRDefault="00873523" w:rsidP="008E4773">
      <w:pPr>
        <w:pStyle w:val="HeadingforCross-zone"/>
        <w:numPr>
          <w:ilvl w:val="1"/>
          <w:numId w:val="9"/>
        </w:numPr>
        <w:rPr>
          <w:rFonts w:cs="Arial"/>
          <w:b w:val="0"/>
          <w:bCs/>
          <w:lang w:val="en-GB"/>
        </w:rPr>
      </w:pPr>
      <w:r w:rsidRPr="0041608F">
        <w:rPr>
          <w:rFonts w:cs="Arial"/>
          <w:b w:val="0"/>
          <w:bCs/>
          <w:lang w:val="en-GB"/>
        </w:rPr>
        <w:lastRenderedPageBreak/>
        <w:t xml:space="preserve">Capacity calculation for </w:t>
      </w:r>
      <w:r w:rsidR="002D7B55" w:rsidRPr="0041608F">
        <w:rPr>
          <w:rFonts w:cs="Arial"/>
          <w:b w:val="0"/>
          <w:bCs/>
          <w:lang w:val="en-GB"/>
        </w:rPr>
        <w:t>Month</w:t>
      </w:r>
      <w:r w:rsidRPr="0041608F">
        <w:rPr>
          <w:rFonts w:cs="Arial"/>
          <w:b w:val="0"/>
          <w:bCs/>
          <w:lang w:val="en-GB"/>
        </w:rPr>
        <w:t xml:space="preserve">-Ahead timeframe shall be performed at least for each </w:t>
      </w:r>
      <w:r w:rsidR="00240D42" w:rsidRPr="0041608F">
        <w:rPr>
          <w:rFonts w:cs="Arial"/>
          <w:b w:val="0"/>
          <w:bCs/>
          <w:lang w:val="en-GB"/>
        </w:rPr>
        <w:t>day of the month</w:t>
      </w:r>
      <w:r w:rsidRPr="0041608F">
        <w:rPr>
          <w:rFonts w:cs="Arial"/>
          <w:b w:val="0"/>
          <w:bCs/>
          <w:lang w:val="en-GB"/>
        </w:rPr>
        <w:t xml:space="preserve"> using latest available CGM scenario and yearly </w:t>
      </w:r>
      <w:r w:rsidR="003E17AB" w:rsidRPr="0041608F">
        <w:rPr>
          <w:rFonts w:cs="Arial"/>
          <w:b w:val="0"/>
          <w:bCs/>
          <w:lang w:val="en-GB"/>
        </w:rPr>
        <w:t xml:space="preserve">or latest available </w:t>
      </w:r>
      <w:r w:rsidRPr="0041608F">
        <w:rPr>
          <w:rFonts w:cs="Arial"/>
          <w:b w:val="0"/>
          <w:bCs/>
          <w:lang w:val="en-GB"/>
        </w:rPr>
        <w:t>coordinated outages plan applied. Capacities shall also be calculated for each cross-border capacity impacting planned outages or outages combination period</w:t>
      </w:r>
      <w:r w:rsidR="00623C32" w:rsidRPr="0041608F">
        <w:rPr>
          <w:rFonts w:cs="Arial"/>
          <w:b w:val="0"/>
          <w:bCs/>
          <w:lang w:val="en-GB"/>
        </w:rPr>
        <w:t xml:space="preserve"> also including new infrastructure plans and generation/load patterns.</w:t>
      </w:r>
    </w:p>
    <w:p w14:paraId="4237805E" w14:textId="707206C3" w:rsidR="00767B5C" w:rsidRPr="0041608F" w:rsidRDefault="00873523" w:rsidP="6D4D0FC6">
      <w:pPr>
        <w:pStyle w:val="HeadingforCross-zone"/>
        <w:numPr>
          <w:ilvl w:val="1"/>
          <w:numId w:val="9"/>
        </w:numPr>
        <w:rPr>
          <w:rFonts w:cs="Arial"/>
          <w:b w:val="0"/>
          <w:lang w:val="en-GB"/>
        </w:rPr>
      </w:pPr>
      <w:r w:rsidRPr="0041608F">
        <w:rPr>
          <w:rFonts w:cs="Arial"/>
          <w:b w:val="0"/>
          <w:lang w:val="en-GB"/>
        </w:rPr>
        <w:t>TTC and NTC values shall be calculated considering system security and net position variation in accordance with sections</w:t>
      </w:r>
      <w:r w:rsidR="00AE0A50" w:rsidRPr="0041608F">
        <w:rPr>
          <w:rFonts w:cs="Arial"/>
          <w:b w:val="0"/>
          <w:lang w:val="en-GB"/>
        </w:rPr>
        <w:t xml:space="preserve"> Section </w:t>
      </w:r>
      <w:r w:rsidR="00AE0A50" w:rsidRPr="0041608F">
        <w:rPr>
          <w:rFonts w:cs="Arial"/>
          <w:b w:val="0"/>
          <w:lang w:val="en-GB"/>
        </w:rPr>
        <w:fldChar w:fldCharType="begin"/>
      </w:r>
      <w:r w:rsidR="00AE0A50" w:rsidRPr="0041608F">
        <w:rPr>
          <w:rFonts w:cs="Arial"/>
          <w:b w:val="0"/>
          <w:lang w:val="en-GB"/>
        </w:rPr>
        <w:instrText xml:space="preserve"> REF _Ref151537837 \r \h  \* MERGEFORMAT </w:instrText>
      </w:r>
      <w:r w:rsidR="00AE0A50" w:rsidRPr="0041608F">
        <w:rPr>
          <w:rFonts w:cs="Arial"/>
          <w:b w:val="0"/>
          <w:lang w:val="en-GB"/>
        </w:rPr>
      </w:r>
      <w:r w:rsidR="00AE0A50" w:rsidRPr="0041608F">
        <w:rPr>
          <w:rFonts w:cs="Arial"/>
          <w:b w:val="0"/>
          <w:lang w:val="en-GB"/>
        </w:rPr>
        <w:fldChar w:fldCharType="separate"/>
      </w:r>
      <w:r w:rsidR="00D71607">
        <w:rPr>
          <w:rFonts w:cs="Arial"/>
          <w:b w:val="0"/>
          <w:lang w:val="en-GB"/>
        </w:rPr>
        <w:t>8</w:t>
      </w:r>
      <w:r w:rsidR="00AE0A50" w:rsidRPr="0041608F">
        <w:rPr>
          <w:rFonts w:cs="Arial"/>
          <w:b w:val="0"/>
          <w:lang w:val="en-GB"/>
        </w:rPr>
        <w:fldChar w:fldCharType="end"/>
      </w:r>
      <w:r w:rsidR="00AE0A50" w:rsidRPr="0041608F">
        <w:rPr>
          <w:rFonts w:cs="Arial"/>
          <w:b w:val="0"/>
          <w:lang w:val="en-GB"/>
        </w:rPr>
        <w:t>.</w:t>
      </w:r>
    </w:p>
    <w:p w14:paraId="58D4C14C" w14:textId="54AA779D" w:rsidR="6D4CD2DE" w:rsidRPr="00C87D27" w:rsidRDefault="006760BB" w:rsidP="00C87D27">
      <w:pPr>
        <w:pStyle w:val="Heading1"/>
        <w:rPr>
          <w:rFonts w:cs="Arial"/>
        </w:rPr>
      </w:pPr>
      <w:bookmarkStart w:id="140" w:name="_Toc158275586"/>
      <w:r w:rsidRPr="00C87D27">
        <w:rPr>
          <w:rFonts w:cs="Arial"/>
          <w:bCs w:val="0"/>
        </w:rPr>
        <w:t xml:space="preserve">LONG-TERM </w:t>
      </w:r>
      <w:r w:rsidR="00114417" w:rsidRPr="00C87D27">
        <w:rPr>
          <w:rFonts w:cs="Arial"/>
          <w:bCs w:val="0"/>
        </w:rPr>
        <w:t>Capacity calculation for</w:t>
      </w:r>
      <w:r w:rsidR="00374CF7" w:rsidRPr="00C87D27">
        <w:rPr>
          <w:rFonts w:cs="Arial"/>
          <w:bCs w:val="0"/>
        </w:rPr>
        <w:t xml:space="preserve"> other timeframes</w:t>
      </w:r>
      <w:bookmarkEnd w:id="140"/>
    </w:p>
    <w:p w14:paraId="0E455A78" w14:textId="77777777" w:rsidR="009020BF" w:rsidRPr="00C87D27" w:rsidRDefault="009020BF" w:rsidP="009020BF">
      <w:pPr>
        <w:pStyle w:val="ListParagraph"/>
        <w:numPr>
          <w:ilvl w:val="0"/>
          <w:numId w:val="9"/>
        </w:numPr>
        <w:contextualSpacing w:val="0"/>
        <w:jc w:val="both"/>
        <w:rPr>
          <w:rFonts w:cs="Arial"/>
          <w:b w:val="0"/>
          <w:vanish/>
          <w:lang w:val="en-GB"/>
        </w:rPr>
      </w:pPr>
    </w:p>
    <w:p w14:paraId="4EAAC95F" w14:textId="6ADCB69E" w:rsidR="00804292" w:rsidRPr="0041608F" w:rsidRDefault="00D43E3F" w:rsidP="009020BF">
      <w:pPr>
        <w:pStyle w:val="HeadingforCross-zone"/>
        <w:numPr>
          <w:ilvl w:val="1"/>
          <w:numId w:val="9"/>
        </w:numPr>
        <w:rPr>
          <w:rFonts w:cs="Arial"/>
          <w:b w:val="0"/>
          <w:lang w:val="en-GB"/>
        </w:rPr>
      </w:pPr>
      <w:r w:rsidRPr="00C87D27">
        <w:rPr>
          <w:rFonts w:cs="Arial"/>
          <w:b w:val="0"/>
          <w:lang w:val="en-GB"/>
        </w:rPr>
        <w:t xml:space="preserve">In case </w:t>
      </w:r>
      <w:r w:rsidR="00385888" w:rsidRPr="0041608F">
        <w:rPr>
          <w:rFonts w:cs="Arial"/>
          <w:b w:val="0"/>
          <w:lang w:val="en-GB"/>
        </w:rPr>
        <w:t xml:space="preserve">particular </w:t>
      </w:r>
      <w:r w:rsidRPr="00C87D27">
        <w:rPr>
          <w:rFonts w:cs="Arial"/>
          <w:b w:val="0"/>
          <w:lang w:val="en-GB"/>
        </w:rPr>
        <w:t xml:space="preserve">TSO needs to </w:t>
      </w:r>
      <w:r w:rsidR="00385888" w:rsidRPr="0041608F">
        <w:rPr>
          <w:rFonts w:cs="Arial"/>
          <w:b w:val="0"/>
          <w:lang w:val="en-GB"/>
        </w:rPr>
        <w:t>offer or publish</w:t>
      </w:r>
      <w:r w:rsidRPr="00C87D27">
        <w:rPr>
          <w:rFonts w:cs="Arial"/>
          <w:b w:val="0"/>
          <w:lang w:val="en-GB"/>
        </w:rPr>
        <w:t xml:space="preserve"> </w:t>
      </w:r>
      <w:r w:rsidR="004D7035" w:rsidRPr="00C87D27">
        <w:rPr>
          <w:rFonts w:cs="Arial"/>
          <w:b w:val="0"/>
          <w:lang w:val="en-GB"/>
        </w:rPr>
        <w:t>capacities for any other timeframe,</w:t>
      </w:r>
      <w:r w:rsidR="00385888" w:rsidRPr="0041608F">
        <w:rPr>
          <w:rFonts w:cs="Arial"/>
          <w:b w:val="0"/>
          <w:lang w:val="en-GB"/>
        </w:rPr>
        <w:t xml:space="preserve"> the calculation results from preceding timeframe shall be used</w:t>
      </w:r>
      <w:r w:rsidR="00D2520A" w:rsidRPr="0041608F">
        <w:rPr>
          <w:rFonts w:cs="Arial"/>
          <w:b w:val="0"/>
          <w:lang w:val="en-GB"/>
        </w:rPr>
        <w:t xml:space="preserve"> by default.</w:t>
      </w:r>
    </w:p>
    <w:p w14:paraId="6DBAAC6A" w14:textId="07C8BE6E" w:rsidR="00385888" w:rsidRPr="0041608F" w:rsidRDefault="00385888" w:rsidP="009020BF">
      <w:pPr>
        <w:pStyle w:val="HeadingforCross-zone"/>
        <w:numPr>
          <w:ilvl w:val="1"/>
          <w:numId w:val="9"/>
        </w:numPr>
        <w:rPr>
          <w:rFonts w:cs="Arial"/>
          <w:b w:val="0"/>
          <w:lang w:val="en-GB"/>
        </w:rPr>
      </w:pPr>
      <w:r w:rsidRPr="0041608F">
        <w:rPr>
          <w:rFonts w:cs="Arial"/>
          <w:b w:val="0"/>
          <w:lang w:val="en-GB"/>
        </w:rPr>
        <w:t>If</w:t>
      </w:r>
      <w:r w:rsidR="00E20D97" w:rsidRPr="0041608F">
        <w:rPr>
          <w:rFonts w:cs="Arial"/>
          <w:b w:val="0"/>
          <w:lang w:val="en-GB"/>
        </w:rPr>
        <w:t xml:space="preserve">, for the case mentioned in point 14.1, </w:t>
      </w:r>
      <w:r w:rsidRPr="0041608F">
        <w:rPr>
          <w:rFonts w:cs="Arial"/>
          <w:b w:val="0"/>
          <w:lang w:val="en-GB"/>
        </w:rPr>
        <w:t xml:space="preserve">there are any changes to outages defined respectively in yearly or monthly outage plan, NTC’s used for processed timeframe shall be re-calculated for relevant cross-borders to ensure transparency of the capacities for the market.   </w:t>
      </w:r>
    </w:p>
    <w:p w14:paraId="32B36217" w14:textId="5C9D7AF8" w:rsidR="0055560F" w:rsidRPr="00C87D27" w:rsidRDefault="00D2520A" w:rsidP="009020BF">
      <w:pPr>
        <w:pStyle w:val="HeadingforCross-zone"/>
        <w:numPr>
          <w:ilvl w:val="1"/>
          <w:numId w:val="9"/>
        </w:numPr>
        <w:rPr>
          <w:rFonts w:cs="Arial"/>
          <w:b w:val="0"/>
          <w:lang w:val="en-GB"/>
        </w:rPr>
      </w:pPr>
      <w:r w:rsidRPr="0041608F">
        <w:rPr>
          <w:rFonts w:cs="Arial"/>
          <w:b w:val="0"/>
          <w:lang w:val="en-GB"/>
        </w:rPr>
        <w:t>T</w:t>
      </w:r>
      <w:r w:rsidR="004D7035" w:rsidRPr="00A721D4">
        <w:rPr>
          <w:rFonts w:cs="Arial"/>
          <w:b w:val="0"/>
          <w:lang w:val="en-GB"/>
        </w:rPr>
        <w:t xml:space="preserve">he </w:t>
      </w:r>
      <w:r w:rsidR="005C20C7" w:rsidRPr="00A721D4">
        <w:rPr>
          <w:rFonts w:cs="Arial"/>
          <w:b w:val="0"/>
          <w:lang w:val="en-GB"/>
        </w:rPr>
        <w:t xml:space="preserve">results of </w:t>
      </w:r>
      <w:r w:rsidRPr="0041608F">
        <w:rPr>
          <w:rFonts w:cs="Arial"/>
          <w:b w:val="0"/>
          <w:lang w:val="en-GB"/>
        </w:rPr>
        <w:t>re</w:t>
      </w:r>
      <w:r w:rsidR="0055560F" w:rsidRPr="00C87D27">
        <w:rPr>
          <w:rFonts w:cs="Arial"/>
          <w:b w:val="0"/>
          <w:lang w:val="en-GB"/>
        </w:rPr>
        <w:t xml:space="preserve">calculation process shall </w:t>
      </w:r>
      <w:r w:rsidR="005C20C7" w:rsidRPr="00C87D27">
        <w:rPr>
          <w:rFonts w:cs="Arial"/>
          <w:b w:val="0"/>
          <w:lang w:val="en-GB"/>
        </w:rPr>
        <w:t xml:space="preserve">be </w:t>
      </w:r>
      <w:r w:rsidR="004D7035" w:rsidRPr="00C87D27">
        <w:rPr>
          <w:rFonts w:cs="Arial"/>
          <w:b w:val="0"/>
          <w:lang w:val="en-GB"/>
        </w:rPr>
        <w:t>publish</w:t>
      </w:r>
      <w:r w:rsidR="005C20C7" w:rsidRPr="00C87D27">
        <w:rPr>
          <w:rFonts w:cs="Arial"/>
          <w:b w:val="0"/>
          <w:lang w:val="en-GB"/>
        </w:rPr>
        <w:t>ed</w:t>
      </w:r>
      <w:r w:rsidR="004D7035" w:rsidRPr="00C87D27">
        <w:rPr>
          <w:rFonts w:cs="Arial"/>
          <w:b w:val="0"/>
          <w:lang w:val="en-GB"/>
        </w:rPr>
        <w:t xml:space="preserve"> </w:t>
      </w:r>
      <w:r w:rsidR="0055560F" w:rsidRPr="00C87D27">
        <w:rPr>
          <w:rFonts w:cs="Arial"/>
          <w:b w:val="0"/>
          <w:lang w:val="en-GB"/>
        </w:rPr>
        <w:t>as relevant TSO and CC</w:t>
      </w:r>
      <w:r w:rsidR="00BD233A" w:rsidRPr="00C87D27">
        <w:rPr>
          <w:rFonts w:cs="Arial"/>
          <w:b w:val="0"/>
          <w:lang w:val="en-GB"/>
        </w:rPr>
        <w:t>C</w:t>
      </w:r>
      <w:r w:rsidR="0A8D4B02" w:rsidRPr="00C87D27">
        <w:rPr>
          <w:rFonts w:cs="Arial"/>
          <w:b w:val="0"/>
          <w:lang w:val="en-GB"/>
        </w:rPr>
        <w:t xml:space="preserve"> commonly</w:t>
      </w:r>
      <w:r w:rsidR="00BD233A" w:rsidRPr="00C87D27">
        <w:rPr>
          <w:rFonts w:cs="Arial"/>
          <w:b w:val="0"/>
          <w:lang w:val="en-GB"/>
        </w:rPr>
        <w:t xml:space="preserve"> agree.</w:t>
      </w:r>
    </w:p>
    <w:p w14:paraId="1435C65C" w14:textId="0727C88E" w:rsidR="00374CF7" w:rsidRPr="00C87D27" w:rsidRDefault="00457687" w:rsidP="009020BF">
      <w:pPr>
        <w:pStyle w:val="HeadingforCross-zone"/>
        <w:numPr>
          <w:ilvl w:val="1"/>
          <w:numId w:val="9"/>
        </w:numPr>
        <w:rPr>
          <w:rFonts w:cs="Arial"/>
          <w:b w:val="0"/>
          <w:lang w:val="en-GB"/>
        </w:rPr>
      </w:pPr>
      <w:r w:rsidRPr="00C87D27">
        <w:rPr>
          <w:rFonts w:cs="Arial"/>
          <w:b w:val="0"/>
          <w:lang w:val="en-GB"/>
        </w:rPr>
        <w:t xml:space="preserve">Capacity calculation for </w:t>
      </w:r>
      <w:r w:rsidR="008B31E2" w:rsidRPr="00C87D27">
        <w:rPr>
          <w:rFonts w:cs="Arial"/>
          <w:b w:val="0"/>
          <w:lang w:val="en-GB"/>
        </w:rPr>
        <w:t>any other</w:t>
      </w:r>
      <w:r w:rsidR="003D1BD8" w:rsidRPr="00C87D27">
        <w:rPr>
          <w:rFonts w:cs="Arial"/>
          <w:b w:val="0"/>
          <w:lang w:val="en-GB"/>
        </w:rPr>
        <w:t xml:space="preserve"> timeframe</w:t>
      </w:r>
      <w:r w:rsidRPr="00C87D27">
        <w:rPr>
          <w:rFonts w:cs="Arial"/>
          <w:b w:val="0"/>
          <w:lang w:val="en-GB"/>
        </w:rPr>
        <w:t xml:space="preserve"> shall be performe</w:t>
      </w:r>
      <w:r w:rsidR="0055560F" w:rsidRPr="00C87D27">
        <w:rPr>
          <w:rFonts w:cs="Arial"/>
          <w:b w:val="0"/>
          <w:lang w:val="en-GB"/>
        </w:rPr>
        <w:t>d</w:t>
      </w:r>
      <w:r w:rsidR="003D1BD8" w:rsidRPr="00C87D27">
        <w:rPr>
          <w:rFonts w:cs="Arial"/>
          <w:b w:val="0"/>
          <w:lang w:val="en-GB"/>
        </w:rPr>
        <w:t xml:space="preserve"> </w:t>
      </w:r>
      <w:r w:rsidR="00BE5A09" w:rsidRPr="00C87D27">
        <w:rPr>
          <w:rFonts w:cs="Arial"/>
          <w:b w:val="0"/>
          <w:lang w:val="en-GB"/>
        </w:rPr>
        <w:t xml:space="preserve">using </w:t>
      </w:r>
      <w:r w:rsidR="003D1BD8" w:rsidRPr="00C87D27">
        <w:rPr>
          <w:rFonts w:cs="Arial"/>
          <w:b w:val="0"/>
          <w:lang w:val="en-GB"/>
        </w:rPr>
        <w:t xml:space="preserve">the latest available </w:t>
      </w:r>
      <w:r w:rsidR="00F954CF" w:rsidRPr="00C87D27">
        <w:rPr>
          <w:rFonts w:cs="Arial"/>
          <w:b w:val="0"/>
          <w:lang w:val="en-GB"/>
        </w:rPr>
        <w:t>CGM</w:t>
      </w:r>
      <w:r w:rsidR="003D40E8" w:rsidRPr="0041608F">
        <w:rPr>
          <w:rFonts w:cs="Arial"/>
          <w:b w:val="0"/>
          <w:lang w:val="en-GB"/>
        </w:rPr>
        <w:t xml:space="preserve"> as described in paragraph </w:t>
      </w:r>
      <w:r w:rsidR="003D40E8" w:rsidRPr="0041608F">
        <w:rPr>
          <w:rFonts w:cs="Arial"/>
          <w:b w:val="0"/>
          <w:lang w:val="en-GB"/>
        </w:rPr>
        <w:fldChar w:fldCharType="begin"/>
      </w:r>
      <w:r w:rsidR="003D40E8" w:rsidRPr="0041608F">
        <w:rPr>
          <w:rFonts w:cs="Arial"/>
          <w:b w:val="0"/>
          <w:lang w:val="en-GB"/>
        </w:rPr>
        <w:instrText xml:space="preserve"> REF _Ref157171049 \r \h </w:instrText>
      </w:r>
      <w:r w:rsidR="003D40E8" w:rsidRPr="0041608F">
        <w:rPr>
          <w:rFonts w:cs="Arial"/>
          <w:b w:val="0"/>
          <w:lang w:val="en-GB"/>
        </w:rPr>
      </w:r>
      <w:r w:rsidR="003D40E8" w:rsidRPr="0041608F">
        <w:rPr>
          <w:rFonts w:cs="Arial"/>
          <w:b w:val="0"/>
          <w:lang w:val="en-GB"/>
        </w:rPr>
        <w:fldChar w:fldCharType="separate"/>
      </w:r>
      <w:r w:rsidR="00D71607">
        <w:rPr>
          <w:rFonts w:cs="Arial"/>
          <w:b w:val="0"/>
          <w:lang w:val="en-GB"/>
        </w:rPr>
        <w:t>7.5</w:t>
      </w:r>
      <w:r w:rsidR="003D40E8" w:rsidRPr="0041608F">
        <w:rPr>
          <w:rFonts w:cs="Arial"/>
          <w:b w:val="0"/>
          <w:lang w:val="en-GB"/>
        </w:rPr>
        <w:fldChar w:fldCharType="end"/>
      </w:r>
      <w:r w:rsidR="003D40E8" w:rsidRPr="0041608F">
        <w:rPr>
          <w:rFonts w:cs="Arial"/>
          <w:b w:val="0"/>
          <w:lang w:val="en-GB"/>
        </w:rPr>
        <w:t xml:space="preserve"> and </w:t>
      </w:r>
      <w:r w:rsidR="003D40E8" w:rsidRPr="0041608F">
        <w:rPr>
          <w:rFonts w:cs="Arial"/>
          <w:b w:val="0"/>
          <w:lang w:val="en-GB"/>
        </w:rPr>
        <w:fldChar w:fldCharType="begin"/>
      </w:r>
      <w:r w:rsidR="003D40E8" w:rsidRPr="0041608F">
        <w:rPr>
          <w:rFonts w:cs="Arial"/>
          <w:b w:val="0"/>
          <w:lang w:val="en-GB"/>
        </w:rPr>
        <w:instrText xml:space="preserve"> REF _Ref157170994 \r \h </w:instrText>
      </w:r>
      <w:r w:rsidR="003D40E8" w:rsidRPr="0041608F">
        <w:rPr>
          <w:rFonts w:cs="Arial"/>
          <w:b w:val="0"/>
          <w:lang w:val="en-GB"/>
        </w:rPr>
      </w:r>
      <w:r w:rsidR="003D40E8" w:rsidRPr="0041608F">
        <w:rPr>
          <w:rFonts w:cs="Arial"/>
          <w:b w:val="0"/>
          <w:lang w:val="en-GB"/>
        </w:rPr>
        <w:fldChar w:fldCharType="separate"/>
      </w:r>
      <w:r w:rsidR="00D71607">
        <w:rPr>
          <w:rFonts w:cs="Arial"/>
          <w:b w:val="0"/>
          <w:lang w:val="en-GB"/>
        </w:rPr>
        <w:t>7.7</w:t>
      </w:r>
      <w:r w:rsidR="003D40E8" w:rsidRPr="0041608F">
        <w:rPr>
          <w:rFonts w:cs="Arial"/>
          <w:b w:val="0"/>
          <w:lang w:val="en-GB"/>
        </w:rPr>
        <w:fldChar w:fldCharType="end"/>
      </w:r>
      <w:r w:rsidR="00F954CF" w:rsidRPr="00C87D27">
        <w:rPr>
          <w:rFonts w:cs="Arial"/>
          <w:b w:val="0"/>
          <w:lang w:val="en-GB"/>
        </w:rPr>
        <w:t xml:space="preserve"> and outage</w:t>
      </w:r>
      <w:r w:rsidR="00F0125B" w:rsidRPr="00C87D27">
        <w:rPr>
          <w:rFonts w:cs="Arial"/>
          <w:b w:val="0"/>
          <w:lang w:val="en-GB"/>
        </w:rPr>
        <w:t xml:space="preserve"> plan to calculate capacities.</w:t>
      </w:r>
    </w:p>
    <w:p w14:paraId="664B6462" w14:textId="5EADD9CB" w:rsidR="00727A5E" w:rsidRPr="0041608F" w:rsidRDefault="00727A5E" w:rsidP="00727A5E">
      <w:pPr>
        <w:pStyle w:val="HeadingforCross-zone"/>
        <w:numPr>
          <w:ilvl w:val="1"/>
          <w:numId w:val="9"/>
        </w:numPr>
        <w:rPr>
          <w:rFonts w:cs="Arial"/>
          <w:b w:val="0"/>
          <w:lang w:val="en-GB"/>
        </w:rPr>
      </w:pPr>
      <w:r w:rsidRPr="0041608F">
        <w:rPr>
          <w:rFonts w:cs="Arial"/>
          <w:b w:val="0"/>
          <w:lang w:val="en-GB"/>
        </w:rPr>
        <w:t xml:space="preserve">TTC and NTC values shall be calculated considering system security and net position variation in accordance with sections </w:t>
      </w:r>
      <w:r w:rsidR="0CC78A6C" w:rsidRPr="00C87D27">
        <w:rPr>
          <w:rFonts w:cs="Arial"/>
          <w:b w:val="0"/>
          <w:lang w:val="en-GB"/>
        </w:rPr>
        <w:t xml:space="preserve">in </w:t>
      </w:r>
      <w:r w:rsidRPr="0041608F">
        <w:rPr>
          <w:rFonts w:cs="Arial"/>
          <w:b w:val="0"/>
          <w:lang w:val="en-GB"/>
        </w:rPr>
        <w:t>Section 8.</w:t>
      </w:r>
    </w:p>
    <w:p w14:paraId="4A79EB55" w14:textId="35305F3B" w:rsidR="00D354D4" w:rsidRPr="0041608F" w:rsidRDefault="002B414D" w:rsidP="006F2A1F">
      <w:pPr>
        <w:pStyle w:val="Heading1"/>
      </w:pPr>
      <w:bookmarkStart w:id="141" w:name="_Toc153355185"/>
      <w:bookmarkStart w:id="142" w:name="_Toc153355314"/>
      <w:bookmarkStart w:id="143" w:name="_Toc153355552"/>
      <w:bookmarkStart w:id="144" w:name="_Toc158275587"/>
      <w:r w:rsidRPr="0041608F">
        <w:rPr>
          <w:rStyle w:val="Heading1Char"/>
          <w:b/>
          <w:bCs/>
          <w:caps/>
        </w:rPr>
        <w:t xml:space="preserve">Rules </w:t>
      </w:r>
      <w:r w:rsidRPr="0041608F">
        <w:t>for</w:t>
      </w:r>
      <w:r w:rsidRPr="0041608F">
        <w:rPr>
          <w:rStyle w:val="Heading1Char"/>
          <w:b/>
          <w:bCs/>
          <w:caps/>
        </w:rPr>
        <w:t xml:space="preserve"> taking into account previously allocated cross-zonal capacity</w:t>
      </w:r>
      <w:bookmarkEnd w:id="141"/>
      <w:bookmarkEnd w:id="142"/>
      <w:bookmarkEnd w:id="143"/>
      <w:bookmarkEnd w:id="144"/>
    </w:p>
    <w:p w14:paraId="19AF10D5" w14:textId="77777777" w:rsidR="00785200" w:rsidRPr="0041608F" w:rsidRDefault="00785200" w:rsidP="00785200">
      <w:pPr>
        <w:pStyle w:val="ListParagraph"/>
        <w:numPr>
          <w:ilvl w:val="0"/>
          <w:numId w:val="16"/>
        </w:numPr>
        <w:jc w:val="both"/>
        <w:rPr>
          <w:rFonts w:cs="Arial"/>
          <w:b w:val="0"/>
          <w:vanish/>
          <w:lang w:val="en-GB"/>
        </w:rPr>
      </w:pPr>
    </w:p>
    <w:p w14:paraId="77AF6476" w14:textId="77777777" w:rsidR="00D06644" w:rsidRPr="0041608F" w:rsidRDefault="00D06644" w:rsidP="00D06644">
      <w:pPr>
        <w:pStyle w:val="ListParagraph"/>
        <w:numPr>
          <w:ilvl w:val="0"/>
          <w:numId w:val="16"/>
        </w:numPr>
        <w:jc w:val="both"/>
        <w:rPr>
          <w:rFonts w:cs="Arial"/>
          <w:b w:val="0"/>
          <w:vanish/>
          <w:lang w:val="en-GB"/>
        </w:rPr>
      </w:pPr>
    </w:p>
    <w:p w14:paraId="15AA106D" w14:textId="77777777" w:rsidR="00D06644" w:rsidRPr="0041608F" w:rsidRDefault="00D06644" w:rsidP="00D06644">
      <w:pPr>
        <w:pStyle w:val="ListParagraph"/>
        <w:numPr>
          <w:ilvl w:val="0"/>
          <w:numId w:val="16"/>
        </w:numPr>
        <w:jc w:val="both"/>
        <w:rPr>
          <w:rFonts w:cs="Arial"/>
          <w:b w:val="0"/>
          <w:vanish/>
          <w:lang w:val="en-GB"/>
        </w:rPr>
      </w:pPr>
    </w:p>
    <w:p w14:paraId="452015E0" w14:textId="77777777" w:rsidR="00D06644" w:rsidRPr="0041608F" w:rsidRDefault="00D06644" w:rsidP="00D06644">
      <w:pPr>
        <w:pStyle w:val="ListParagraph"/>
        <w:numPr>
          <w:ilvl w:val="0"/>
          <w:numId w:val="16"/>
        </w:numPr>
        <w:jc w:val="both"/>
        <w:rPr>
          <w:rFonts w:cs="Arial"/>
          <w:b w:val="0"/>
          <w:vanish/>
          <w:lang w:val="en-GB"/>
        </w:rPr>
      </w:pPr>
    </w:p>
    <w:p w14:paraId="7F20D02D" w14:textId="77777777" w:rsidR="00D06644" w:rsidRPr="0041608F" w:rsidRDefault="00D06644" w:rsidP="00D06644">
      <w:pPr>
        <w:pStyle w:val="ListParagraph"/>
        <w:numPr>
          <w:ilvl w:val="0"/>
          <w:numId w:val="16"/>
        </w:numPr>
        <w:jc w:val="both"/>
        <w:rPr>
          <w:rFonts w:cs="Arial"/>
          <w:b w:val="0"/>
          <w:vanish/>
          <w:lang w:val="en-GB"/>
        </w:rPr>
      </w:pPr>
    </w:p>
    <w:p w14:paraId="18655987" w14:textId="77777777" w:rsidR="00D06644" w:rsidRPr="0041608F" w:rsidRDefault="00D06644" w:rsidP="00D06644">
      <w:pPr>
        <w:pStyle w:val="ListParagraph"/>
        <w:numPr>
          <w:ilvl w:val="0"/>
          <w:numId w:val="16"/>
        </w:numPr>
        <w:jc w:val="both"/>
        <w:rPr>
          <w:rFonts w:cs="Arial"/>
          <w:b w:val="0"/>
          <w:vanish/>
          <w:lang w:val="en-GB"/>
        </w:rPr>
      </w:pPr>
    </w:p>
    <w:p w14:paraId="3A3D3C4B" w14:textId="77777777" w:rsidR="00D06644" w:rsidRPr="0041608F" w:rsidRDefault="00D06644" w:rsidP="00D06644">
      <w:pPr>
        <w:pStyle w:val="ListParagraph"/>
        <w:numPr>
          <w:ilvl w:val="0"/>
          <w:numId w:val="16"/>
        </w:numPr>
        <w:jc w:val="both"/>
        <w:rPr>
          <w:rFonts w:cs="Arial"/>
          <w:b w:val="0"/>
          <w:vanish/>
          <w:lang w:val="en-GB"/>
        </w:rPr>
      </w:pPr>
    </w:p>
    <w:p w14:paraId="361CB3E3" w14:textId="77777777" w:rsidR="00D06644" w:rsidRPr="0041608F" w:rsidRDefault="00D06644" w:rsidP="00D06644">
      <w:pPr>
        <w:pStyle w:val="ListParagraph"/>
        <w:numPr>
          <w:ilvl w:val="0"/>
          <w:numId w:val="16"/>
        </w:numPr>
        <w:jc w:val="both"/>
        <w:rPr>
          <w:rFonts w:cs="Arial"/>
          <w:b w:val="0"/>
          <w:vanish/>
          <w:lang w:val="en-GB"/>
        </w:rPr>
      </w:pPr>
    </w:p>
    <w:p w14:paraId="2AAE6868" w14:textId="77777777" w:rsidR="00D06644" w:rsidRPr="0041608F" w:rsidRDefault="00D06644" w:rsidP="00D06644">
      <w:pPr>
        <w:pStyle w:val="ListParagraph"/>
        <w:numPr>
          <w:ilvl w:val="0"/>
          <w:numId w:val="16"/>
        </w:numPr>
        <w:jc w:val="both"/>
        <w:rPr>
          <w:rFonts w:cs="Arial"/>
          <w:b w:val="0"/>
          <w:vanish/>
          <w:lang w:val="en-GB"/>
        </w:rPr>
      </w:pPr>
    </w:p>
    <w:p w14:paraId="05F356C1" w14:textId="77777777" w:rsidR="00D06644" w:rsidRPr="0041608F" w:rsidRDefault="00D06644" w:rsidP="00D06644">
      <w:pPr>
        <w:pStyle w:val="ListParagraph"/>
        <w:numPr>
          <w:ilvl w:val="0"/>
          <w:numId w:val="16"/>
        </w:numPr>
        <w:jc w:val="both"/>
        <w:rPr>
          <w:rFonts w:cs="Arial"/>
          <w:b w:val="0"/>
          <w:vanish/>
          <w:lang w:val="en-GB"/>
        </w:rPr>
      </w:pPr>
    </w:p>
    <w:p w14:paraId="2409B449" w14:textId="77777777" w:rsidR="00D06644" w:rsidRPr="0041608F" w:rsidRDefault="00D06644" w:rsidP="00D06644">
      <w:pPr>
        <w:pStyle w:val="ListParagraph"/>
        <w:numPr>
          <w:ilvl w:val="0"/>
          <w:numId w:val="16"/>
        </w:numPr>
        <w:jc w:val="both"/>
        <w:rPr>
          <w:rFonts w:cs="Arial"/>
          <w:b w:val="0"/>
          <w:vanish/>
          <w:lang w:val="en-GB"/>
        </w:rPr>
      </w:pPr>
    </w:p>
    <w:p w14:paraId="3C1512E8" w14:textId="77777777" w:rsidR="00D06644" w:rsidRPr="0041608F" w:rsidRDefault="00D06644" w:rsidP="00D06644">
      <w:pPr>
        <w:pStyle w:val="ListParagraph"/>
        <w:numPr>
          <w:ilvl w:val="0"/>
          <w:numId w:val="16"/>
        </w:numPr>
        <w:jc w:val="both"/>
        <w:rPr>
          <w:rFonts w:cs="Arial"/>
          <w:b w:val="0"/>
          <w:vanish/>
          <w:lang w:val="en-GB"/>
        </w:rPr>
      </w:pPr>
    </w:p>
    <w:p w14:paraId="32BBA08F" w14:textId="77777777" w:rsidR="00D06644" w:rsidRPr="0041608F" w:rsidRDefault="00D06644" w:rsidP="00D06644">
      <w:pPr>
        <w:pStyle w:val="ListParagraph"/>
        <w:numPr>
          <w:ilvl w:val="0"/>
          <w:numId w:val="16"/>
        </w:numPr>
        <w:jc w:val="both"/>
        <w:rPr>
          <w:rFonts w:cs="Arial"/>
          <w:b w:val="0"/>
          <w:vanish/>
          <w:lang w:val="en-GB"/>
        </w:rPr>
      </w:pPr>
    </w:p>
    <w:p w14:paraId="4720C77C" w14:textId="77777777" w:rsidR="00D06644" w:rsidRPr="0041608F" w:rsidRDefault="00D06644" w:rsidP="00D06644">
      <w:pPr>
        <w:pStyle w:val="ListParagraph"/>
        <w:numPr>
          <w:ilvl w:val="0"/>
          <w:numId w:val="16"/>
        </w:numPr>
        <w:jc w:val="both"/>
        <w:rPr>
          <w:rFonts w:cs="Arial"/>
          <w:b w:val="0"/>
          <w:vanish/>
          <w:lang w:val="en-GB"/>
        </w:rPr>
      </w:pPr>
    </w:p>
    <w:p w14:paraId="437B56B1" w14:textId="630B64A4" w:rsidR="006E703F" w:rsidRPr="0041608F" w:rsidRDefault="00ED70A9" w:rsidP="00D06644">
      <w:pPr>
        <w:pStyle w:val="ListParagraph"/>
        <w:numPr>
          <w:ilvl w:val="1"/>
          <w:numId w:val="16"/>
        </w:numPr>
        <w:jc w:val="both"/>
        <w:rPr>
          <w:rFonts w:cs="Arial"/>
          <w:lang w:val="en-GB"/>
        </w:rPr>
      </w:pPr>
      <w:r w:rsidRPr="0041608F">
        <w:rPr>
          <w:rFonts w:cs="Arial"/>
          <w:b w:val="0"/>
          <w:lang w:val="en-GB"/>
        </w:rPr>
        <w:t xml:space="preserve">When determining </w:t>
      </w:r>
      <w:r w:rsidR="002B414D" w:rsidRPr="0041608F">
        <w:rPr>
          <w:rFonts w:cs="Arial"/>
          <w:b w:val="0"/>
          <w:lang w:val="en-GB"/>
        </w:rPr>
        <w:t xml:space="preserve">Cross-zonal capacities </w:t>
      </w:r>
      <w:r w:rsidRPr="0041608F">
        <w:rPr>
          <w:rFonts w:cs="Arial"/>
          <w:b w:val="0"/>
          <w:lang w:val="en-GB"/>
        </w:rPr>
        <w:t xml:space="preserve">for any long-term timeframe defined in this methodology, </w:t>
      </w:r>
      <w:r w:rsidR="00152095" w:rsidRPr="0041608F">
        <w:rPr>
          <w:rFonts w:cs="Arial"/>
          <w:b w:val="0"/>
          <w:lang w:val="en-GB"/>
        </w:rPr>
        <w:t>previously allocated capacities shal</w:t>
      </w:r>
      <w:r w:rsidR="00522E8E" w:rsidRPr="0041608F">
        <w:rPr>
          <w:rFonts w:cs="Arial"/>
          <w:b w:val="0"/>
          <w:lang w:val="en-GB"/>
        </w:rPr>
        <w:t xml:space="preserve">l be considered. </w:t>
      </w:r>
      <w:r w:rsidR="006E703F" w:rsidRPr="0041608F">
        <w:rPr>
          <w:rFonts w:cs="Arial"/>
          <w:b w:val="0"/>
          <w:lang w:val="en-GB"/>
        </w:rPr>
        <w:t xml:space="preserve">Cross-zonal capacities </w:t>
      </w:r>
      <w:r w:rsidR="002B414D" w:rsidRPr="0041608F">
        <w:rPr>
          <w:rFonts w:cs="Arial"/>
          <w:b w:val="0"/>
          <w:lang w:val="en-GB"/>
        </w:rPr>
        <w:t xml:space="preserve">shall be reduced, where appropriate, by the amount of previously allocated capacities for </w:t>
      </w:r>
      <w:r w:rsidR="003872A9" w:rsidRPr="0041608F">
        <w:rPr>
          <w:rFonts w:cs="Arial"/>
          <w:b w:val="0"/>
          <w:lang w:val="en-GB"/>
        </w:rPr>
        <w:t>long-term t</w:t>
      </w:r>
      <w:r w:rsidR="002B414D" w:rsidRPr="0041608F">
        <w:rPr>
          <w:rFonts w:cs="Arial"/>
          <w:b w:val="0"/>
          <w:lang w:val="en-GB"/>
        </w:rPr>
        <w:t xml:space="preserve">ransmission </w:t>
      </w:r>
      <w:r w:rsidR="003872A9" w:rsidRPr="0041608F">
        <w:rPr>
          <w:rFonts w:cs="Arial"/>
          <w:b w:val="0"/>
          <w:lang w:val="en-GB"/>
        </w:rPr>
        <w:t>r</w:t>
      </w:r>
      <w:r w:rsidR="002B414D" w:rsidRPr="0041608F">
        <w:rPr>
          <w:rFonts w:cs="Arial"/>
          <w:b w:val="0"/>
          <w:lang w:val="en-GB"/>
        </w:rPr>
        <w:t>ights (</w:t>
      </w:r>
      <w:r w:rsidR="005F3114" w:rsidRPr="0041608F">
        <w:rPr>
          <w:rFonts w:cs="Arial"/>
          <w:b w:val="0"/>
          <w:lang w:val="en-GB"/>
        </w:rPr>
        <w:t>if present</w:t>
      </w:r>
      <w:r w:rsidR="002B414D" w:rsidRPr="0041608F">
        <w:rPr>
          <w:rFonts w:cs="Arial"/>
          <w:b w:val="0"/>
          <w:lang w:val="en-GB"/>
        </w:rPr>
        <w:t>).</w:t>
      </w:r>
    </w:p>
    <w:p w14:paraId="1A13DCA8" w14:textId="678DAAE6" w:rsidR="00C560C2" w:rsidRPr="0041608F" w:rsidRDefault="00C560C2" w:rsidP="006B13E8">
      <w:pPr>
        <w:pStyle w:val="Heading1"/>
        <w:ind w:left="0" w:firstLine="0"/>
      </w:pPr>
      <w:bookmarkStart w:id="145" w:name="_Toc153355186"/>
      <w:bookmarkStart w:id="146" w:name="_Toc153355315"/>
      <w:bookmarkStart w:id="147" w:name="_Toc153355553"/>
      <w:bookmarkStart w:id="148" w:name="_Toc158275588"/>
      <w:r w:rsidRPr="0041608F">
        <w:t>Rules for efficiently sharing power</w:t>
      </w:r>
      <w:r w:rsidR="00783FE6" w:rsidRPr="0041608F">
        <w:t xml:space="preserve"> </w:t>
      </w:r>
      <w:r w:rsidRPr="0041608F">
        <w:t>flow capabilities</w:t>
      </w:r>
      <w:r w:rsidR="006B13E8" w:rsidRPr="0041608F">
        <w:t xml:space="preserve"> </w:t>
      </w:r>
      <w:r w:rsidRPr="0041608F">
        <w:t>of CNEs among different bidding-zone borders</w:t>
      </w:r>
      <w:bookmarkEnd w:id="145"/>
      <w:bookmarkEnd w:id="146"/>
      <w:bookmarkEnd w:id="147"/>
      <w:bookmarkEnd w:id="148"/>
    </w:p>
    <w:p w14:paraId="3D3E9AEF" w14:textId="77777777" w:rsidR="00F51197" w:rsidRPr="0041608F" w:rsidRDefault="00F51197" w:rsidP="00F51197">
      <w:pPr>
        <w:pStyle w:val="ListParagraph"/>
        <w:widowControl w:val="0"/>
        <w:numPr>
          <w:ilvl w:val="0"/>
          <w:numId w:val="17"/>
        </w:numPr>
        <w:tabs>
          <w:tab w:val="left" w:pos="567"/>
        </w:tabs>
        <w:spacing w:before="0"/>
        <w:contextualSpacing w:val="0"/>
        <w:jc w:val="both"/>
        <w:rPr>
          <w:rFonts w:eastAsia="Arial" w:cs="Arial"/>
          <w:b w:val="0"/>
          <w:vanish/>
          <w:lang w:val="en-GB"/>
        </w:rPr>
      </w:pPr>
    </w:p>
    <w:p w14:paraId="6AA96341"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7825FA8D"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68D89BDD"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34BB473F"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64713537"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11E6C393"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0615A75B"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391AD26F"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24530190"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1D9816F0"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27B98543"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39060F2E"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4DEC9030"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3310E1CE"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65DB7254" w14:textId="77777777" w:rsidR="00D06644" w:rsidRPr="0041608F" w:rsidRDefault="00D06644" w:rsidP="00D06644">
      <w:pPr>
        <w:pStyle w:val="ListParagraph"/>
        <w:widowControl w:val="0"/>
        <w:numPr>
          <w:ilvl w:val="0"/>
          <w:numId w:val="17"/>
        </w:numPr>
        <w:tabs>
          <w:tab w:val="left" w:pos="567"/>
        </w:tabs>
        <w:spacing w:before="0"/>
        <w:contextualSpacing w:val="0"/>
        <w:jc w:val="both"/>
        <w:rPr>
          <w:rFonts w:eastAsia="Arial" w:cs="Arial"/>
          <w:b w:val="0"/>
          <w:vanish/>
          <w:lang w:val="en-GB"/>
        </w:rPr>
      </w:pPr>
    </w:p>
    <w:p w14:paraId="63D5918B" w14:textId="29B37D52" w:rsidR="000D3BF9" w:rsidRPr="0041608F" w:rsidRDefault="000D3BF9" w:rsidP="00D06644">
      <w:pPr>
        <w:pStyle w:val="Bodytext22"/>
        <w:numPr>
          <w:ilvl w:val="1"/>
          <w:numId w:val="17"/>
        </w:numPr>
        <w:shd w:val="clear" w:color="auto" w:fill="auto"/>
        <w:tabs>
          <w:tab w:val="left" w:pos="567"/>
        </w:tabs>
        <w:spacing w:before="0" w:line="240" w:lineRule="auto"/>
        <w:rPr>
          <w:lang w:val="en-GB"/>
        </w:rPr>
      </w:pPr>
      <w:r w:rsidRPr="0041608F">
        <w:rPr>
          <w:lang w:val="en-GB"/>
        </w:rPr>
        <w:t xml:space="preserve">In Baltic </w:t>
      </w:r>
      <w:bookmarkStart w:id="149" w:name="_Hlk131162418"/>
      <w:r w:rsidRPr="0041608F">
        <w:rPr>
          <w:lang w:val="en-GB"/>
        </w:rPr>
        <w:t xml:space="preserve">CCR rules for efficiently sharing the power flow capabilities of </w:t>
      </w:r>
      <w:r w:rsidR="00CF36B7" w:rsidRPr="0041608F">
        <w:rPr>
          <w:lang w:val="en-GB"/>
        </w:rPr>
        <w:t>CNEs</w:t>
      </w:r>
      <w:r w:rsidRPr="0041608F">
        <w:rPr>
          <w:lang w:val="en-GB"/>
        </w:rPr>
        <w:t xml:space="preserve"> among different Bidding Zone borders</w:t>
      </w:r>
      <w:bookmarkEnd w:id="149"/>
      <w:r w:rsidRPr="0041608F">
        <w:rPr>
          <w:lang w:val="en-GB"/>
        </w:rPr>
        <w:t xml:space="preserve"> are not needed, as there is no such </w:t>
      </w:r>
      <w:r w:rsidR="00CF36B7" w:rsidRPr="0041608F">
        <w:rPr>
          <w:lang w:val="en-GB"/>
        </w:rPr>
        <w:t>CNE</w:t>
      </w:r>
      <w:r w:rsidRPr="0041608F">
        <w:rPr>
          <w:lang w:val="en-GB"/>
        </w:rPr>
        <w:t>s in Baltic CCR that would clearly and in majority cases influence power flow capabilities of several borders at once. Therefore, there is no sharing of the power flow capabilities of Critical Network Elements between Bidding Zone borders and this Methodology doesn’t contain the rules for efficiently sharing the power flow capabilities of Critical Network Elements among different Bidding Zone borders.</w:t>
      </w:r>
    </w:p>
    <w:p w14:paraId="25AD6824" w14:textId="77B16894" w:rsidR="008C1075" w:rsidRPr="0041608F" w:rsidRDefault="008C1075" w:rsidP="007557A9">
      <w:pPr>
        <w:pStyle w:val="Heading1"/>
        <w:jc w:val="both"/>
      </w:pPr>
      <w:bookmarkStart w:id="150" w:name="_Toc153355187"/>
      <w:bookmarkStart w:id="151" w:name="_Toc153355316"/>
      <w:bookmarkStart w:id="152" w:name="_Toc153355554"/>
      <w:bookmarkStart w:id="153" w:name="_Toc158275589"/>
      <w:r w:rsidRPr="0041608F">
        <w:rPr>
          <w:rStyle w:val="Heading1Char"/>
          <w:b/>
          <w:bCs/>
          <w:caps/>
        </w:rPr>
        <w:t>Rules for sharing the power flow capabilities of CNEs among different CCR</w:t>
      </w:r>
      <w:r w:rsidR="008650E4" w:rsidRPr="0041608F">
        <w:rPr>
          <w:rStyle w:val="Heading1Char"/>
          <w:b/>
          <w:bCs/>
          <w:caps/>
        </w:rPr>
        <w:t>s</w:t>
      </w:r>
      <w:bookmarkEnd w:id="150"/>
      <w:bookmarkEnd w:id="151"/>
      <w:bookmarkEnd w:id="152"/>
      <w:bookmarkEnd w:id="153"/>
      <w:r w:rsidRPr="0041608F">
        <w:t xml:space="preserve"> </w:t>
      </w:r>
    </w:p>
    <w:p w14:paraId="36F3F95C" w14:textId="77777777" w:rsidR="00D06644" w:rsidRPr="0041608F" w:rsidRDefault="00D06644" w:rsidP="00FC5018">
      <w:pPr>
        <w:pStyle w:val="ListParagraph"/>
        <w:numPr>
          <w:ilvl w:val="0"/>
          <w:numId w:val="30"/>
        </w:numPr>
        <w:contextualSpacing w:val="0"/>
        <w:jc w:val="both"/>
        <w:rPr>
          <w:b w:val="0"/>
          <w:bCs/>
          <w:vanish/>
          <w:lang w:val="en-GB"/>
        </w:rPr>
      </w:pPr>
    </w:p>
    <w:p w14:paraId="3D33502E" w14:textId="7F6092FD" w:rsidR="00AC51D7" w:rsidRPr="0041608F" w:rsidRDefault="005C27F5" w:rsidP="00251951">
      <w:pPr>
        <w:pStyle w:val="ListParagraph"/>
        <w:numPr>
          <w:ilvl w:val="1"/>
          <w:numId w:val="30"/>
        </w:numPr>
        <w:contextualSpacing w:val="0"/>
        <w:jc w:val="both"/>
        <w:rPr>
          <w:b w:val="0"/>
          <w:bCs/>
          <w:sz w:val="24"/>
          <w:lang w:val="en-GB"/>
        </w:rPr>
      </w:pPr>
      <w:r w:rsidRPr="0041608F">
        <w:rPr>
          <w:b w:val="0"/>
          <w:lang w:val="en-GB"/>
        </w:rPr>
        <w:t xml:space="preserve">No CNEs </w:t>
      </w:r>
      <w:r w:rsidR="008A3224" w:rsidRPr="0041608F">
        <w:rPr>
          <w:rFonts w:cs="Arial"/>
          <w:b w:val="0"/>
          <w:lang w:val="en-GB"/>
        </w:rPr>
        <w:t>relevant</w:t>
      </w:r>
      <w:r w:rsidR="008A3224" w:rsidRPr="0041608F">
        <w:rPr>
          <w:b w:val="0"/>
          <w:lang w:val="en-GB"/>
        </w:rPr>
        <w:t xml:space="preserve"> for multiple CCRs within Baltic CCR are identified</w:t>
      </w:r>
      <w:r w:rsidR="002B593B" w:rsidRPr="0041608F">
        <w:rPr>
          <w:b w:val="0"/>
          <w:lang w:val="en-GB"/>
        </w:rPr>
        <w:t>, therefore a</w:t>
      </w:r>
      <w:r w:rsidR="008C1075" w:rsidRPr="0041608F">
        <w:rPr>
          <w:b w:val="0"/>
          <w:lang w:val="en-GB"/>
        </w:rPr>
        <w:t>ll CNEs are treated equally in the</w:t>
      </w:r>
      <w:r w:rsidR="007E491C" w:rsidRPr="0041608F">
        <w:rPr>
          <w:b w:val="0"/>
          <w:lang w:val="en-GB"/>
        </w:rPr>
        <w:t xml:space="preserve"> capacity c</w:t>
      </w:r>
      <w:r w:rsidR="008C1075" w:rsidRPr="0041608F">
        <w:rPr>
          <w:b w:val="0"/>
          <w:lang w:val="en-GB"/>
        </w:rPr>
        <w:t>alculation process ensuring proper sharing of power-flow capacities of CNEs among different CCRs.</w:t>
      </w:r>
    </w:p>
    <w:p w14:paraId="5F361110" w14:textId="77777777" w:rsidR="008D0942" w:rsidRPr="0041608F" w:rsidRDefault="008D0942" w:rsidP="007557A9">
      <w:pPr>
        <w:pStyle w:val="Heading1"/>
        <w:jc w:val="both"/>
      </w:pPr>
      <w:bookmarkStart w:id="154" w:name="_Toc153355188"/>
      <w:bookmarkStart w:id="155" w:name="_Toc153355317"/>
      <w:bookmarkStart w:id="156" w:name="_Toc153355555"/>
      <w:bookmarkStart w:id="157" w:name="_Toc158275590"/>
      <w:r w:rsidRPr="0041608F">
        <w:rPr>
          <w:rStyle w:val="Heading1Char"/>
          <w:b/>
          <w:bCs/>
          <w:caps/>
        </w:rPr>
        <w:lastRenderedPageBreak/>
        <w:t>Rules on the adjustment of power flows of cross-zonal capacity due to RAs</w:t>
      </w:r>
      <w:bookmarkEnd w:id="154"/>
      <w:bookmarkEnd w:id="155"/>
      <w:bookmarkEnd w:id="156"/>
      <w:bookmarkEnd w:id="157"/>
      <w:r w:rsidRPr="0041608F">
        <w:t xml:space="preserve"> </w:t>
      </w:r>
    </w:p>
    <w:p w14:paraId="0BCEFC21" w14:textId="4EF1BAFE" w:rsidR="00610BB0" w:rsidRPr="0041608F" w:rsidRDefault="00610BB0" w:rsidP="00610BB0">
      <w:pPr>
        <w:pStyle w:val="ListParagraph"/>
        <w:numPr>
          <w:ilvl w:val="0"/>
          <w:numId w:val="30"/>
        </w:numPr>
        <w:contextualSpacing w:val="0"/>
        <w:jc w:val="both"/>
        <w:rPr>
          <w:b w:val="0"/>
          <w:bCs/>
          <w:vanish/>
          <w:lang w:val="en-GB"/>
        </w:rPr>
      </w:pPr>
    </w:p>
    <w:p w14:paraId="41A4A0A9" w14:textId="358ABA20" w:rsidR="008D0942" w:rsidRPr="0041608F" w:rsidRDefault="00155E48" w:rsidP="00A47D81">
      <w:pPr>
        <w:pStyle w:val="ListParagraph"/>
        <w:numPr>
          <w:ilvl w:val="1"/>
          <w:numId w:val="30"/>
        </w:numPr>
        <w:contextualSpacing w:val="0"/>
        <w:jc w:val="both"/>
        <w:rPr>
          <w:b w:val="0"/>
          <w:bCs/>
          <w:sz w:val="24"/>
          <w:lang w:val="en-GB"/>
        </w:rPr>
      </w:pPr>
      <w:r w:rsidRPr="0041608F">
        <w:rPr>
          <w:b w:val="0"/>
          <w:bCs/>
          <w:lang w:val="en-GB"/>
        </w:rPr>
        <w:t xml:space="preserve">CCC </w:t>
      </w:r>
      <w:r w:rsidR="008D0942" w:rsidRPr="0041608F">
        <w:rPr>
          <w:b w:val="0"/>
          <w:bCs/>
          <w:lang w:val="en-GB"/>
        </w:rPr>
        <w:t xml:space="preserve">shall </w:t>
      </w:r>
      <w:proofErr w:type="gramStart"/>
      <w:r w:rsidR="008D0942" w:rsidRPr="0041608F">
        <w:rPr>
          <w:b w:val="0"/>
          <w:bCs/>
          <w:lang w:val="en-GB"/>
        </w:rPr>
        <w:t>take into account</w:t>
      </w:r>
      <w:proofErr w:type="gramEnd"/>
      <w:r w:rsidR="008D0942" w:rsidRPr="0041608F">
        <w:rPr>
          <w:b w:val="0"/>
          <w:bCs/>
          <w:lang w:val="en-GB"/>
        </w:rPr>
        <w:t xml:space="preserve"> in the capacity calculation RAs as defined in </w:t>
      </w:r>
      <w:r w:rsidR="0056380B" w:rsidRPr="0041608F">
        <w:rPr>
          <w:b w:val="0"/>
          <w:bCs/>
          <w:lang w:val="en-GB"/>
        </w:rPr>
        <w:t xml:space="preserve">Section </w:t>
      </w:r>
      <w:r w:rsidR="0056380B" w:rsidRPr="0041608F">
        <w:rPr>
          <w:b w:val="0"/>
          <w:bCs/>
          <w:highlight w:val="yellow"/>
          <w:lang w:val="en-GB"/>
        </w:rPr>
        <w:fldChar w:fldCharType="begin"/>
      </w:r>
      <w:r w:rsidR="0056380B" w:rsidRPr="0041608F">
        <w:rPr>
          <w:b w:val="0"/>
          <w:bCs/>
          <w:lang w:val="en-GB"/>
        </w:rPr>
        <w:instrText xml:space="preserve"> REF _Ref153286805 \r \h </w:instrText>
      </w:r>
      <w:r w:rsidR="0056380B" w:rsidRPr="0041608F">
        <w:rPr>
          <w:b w:val="0"/>
          <w:bCs/>
          <w:highlight w:val="yellow"/>
          <w:lang w:val="en-GB"/>
        </w:rPr>
      </w:r>
      <w:r w:rsidR="0056380B" w:rsidRPr="0041608F">
        <w:rPr>
          <w:b w:val="0"/>
          <w:bCs/>
          <w:highlight w:val="yellow"/>
          <w:lang w:val="en-GB"/>
        </w:rPr>
        <w:fldChar w:fldCharType="separate"/>
      </w:r>
      <w:r w:rsidR="00D71607">
        <w:rPr>
          <w:b w:val="0"/>
          <w:bCs/>
          <w:lang w:val="en-GB"/>
        </w:rPr>
        <w:t>6</w:t>
      </w:r>
      <w:r w:rsidR="0056380B" w:rsidRPr="0041608F">
        <w:rPr>
          <w:b w:val="0"/>
          <w:bCs/>
          <w:highlight w:val="yellow"/>
          <w:lang w:val="en-GB"/>
        </w:rPr>
        <w:fldChar w:fldCharType="end"/>
      </w:r>
      <w:r w:rsidR="008D0942" w:rsidRPr="0041608F">
        <w:rPr>
          <w:b w:val="0"/>
          <w:bCs/>
          <w:lang w:val="en-GB"/>
        </w:rPr>
        <w:t xml:space="preserve"> to increase the cross-</w:t>
      </w:r>
      <w:r w:rsidR="008D0942" w:rsidRPr="0041608F">
        <w:rPr>
          <w:rFonts w:cs="Arial"/>
          <w:b w:val="0"/>
          <w:bCs/>
          <w:lang w:val="en-GB"/>
        </w:rPr>
        <w:t>zonal</w:t>
      </w:r>
      <w:r w:rsidR="008D0942" w:rsidRPr="0041608F">
        <w:rPr>
          <w:b w:val="0"/>
          <w:bCs/>
          <w:lang w:val="en-GB"/>
        </w:rPr>
        <w:t xml:space="preserve"> capacity for the long-term time frame.</w:t>
      </w:r>
      <w:r w:rsidR="000A6DD6" w:rsidRPr="0041608F">
        <w:rPr>
          <w:b w:val="0"/>
          <w:bCs/>
          <w:lang w:val="en-GB"/>
        </w:rPr>
        <w:t xml:space="preserve"> If R</w:t>
      </w:r>
      <w:r w:rsidR="002A6307" w:rsidRPr="0041608F">
        <w:rPr>
          <w:b w:val="0"/>
          <w:bCs/>
          <w:lang w:val="en-GB"/>
        </w:rPr>
        <w:t>As are agreed during capacity calculation for any long-term timeframe</w:t>
      </w:r>
      <w:r w:rsidR="00E55269" w:rsidRPr="0041608F">
        <w:rPr>
          <w:b w:val="0"/>
          <w:bCs/>
          <w:lang w:val="en-GB"/>
        </w:rPr>
        <w:t xml:space="preserve"> process</w:t>
      </w:r>
      <w:r w:rsidR="002A6307" w:rsidRPr="0041608F">
        <w:rPr>
          <w:b w:val="0"/>
          <w:bCs/>
          <w:lang w:val="en-GB"/>
        </w:rPr>
        <w:t xml:space="preserve">, TSOs shall ensure availability of agreed </w:t>
      </w:r>
      <w:r w:rsidR="00BD3287" w:rsidRPr="0041608F">
        <w:rPr>
          <w:b w:val="0"/>
          <w:bCs/>
          <w:lang w:val="en-GB"/>
        </w:rPr>
        <w:t xml:space="preserve">RAs </w:t>
      </w:r>
      <w:r w:rsidR="00E7179A" w:rsidRPr="0041608F">
        <w:rPr>
          <w:b w:val="0"/>
          <w:bCs/>
          <w:lang w:val="en-GB"/>
        </w:rPr>
        <w:t xml:space="preserve">or provide alternative </w:t>
      </w:r>
      <w:r w:rsidR="009505A3" w:rsidRPr="0041608F">
        <w:rPr>
          <w:b w:val="0"/>
          <w:bCs/>
          <w:lang w:val="en-GB"/>
        </w:rPr>
        <w:t xml:space="preserve">RAs </w:t>
      </w:r>
      <w:r w:rsidR="00E7179A" w:rsidRPr="0041608F">
        <w:rPr>
          <w:b w:val="0"/>
          <w:bCs/>
          <w:lang w:val="en-GB"/>
        </w:rPr>
        <w:t>to maintain</w:t>
      </w:r>
      <w:r w:rsidR="009505A3" w:rsidRPr="0041608F">
        <w:rPr>
          <w:b w:val="0"/>
          <w:bCs/>
          <w:lang w:val="en-GB"/>
        </w:rPr>
        <w:t xml:space="preserve"> </w:t>
      </w:r>
      <w:r w:rsidR="00E7179A" w:rsidRPr="0041608F">
        <w:rPr>
          <w:b w:val="0"/>
          <w:bCs/>
          <w:lang w:val="en-GB"/>
        </w:rPr>
        <w:t>operational security.</w:t>
      </w:r>
    </w:p>
    <w:p w14:paraId="6EBD7429" w14:textId="2665D964" w:rsidR="008B7091" w:rsidRPr="0041608F" w:rsidRDefault="008B7091" w:rsidP="007557A9">
      <w:pPr>
        <w:pStyle w:val="Heading1"/>
        <w:jc w:val="both"/>
      </w:pPr>
      <w:bookmarkStart w:id="158" w:name="_Toc153355189"/>
      <w:bookmarkStart w:id="159" w:name="_Toc153355318"/>
      <w:bookmarkStart w:id="160" w:name="_Toc153355556"/>
      <w:bookmarkStart w:id="161" w:name="_Toc158275591"/>
      <w:bookmarkStart w:id="162" w:name="_Toc432586805"/>
      <w:bookmarkStart w:id="163" w:name="_Toc432586785"/>
      <w:bookmarkStart w:id="164" w:name="_Toc426468206"/>
      <w:bookmarkStart w:id="165" w:name="_Toc422749331"/>
      <w:bookmarkStart w:id="166" w:name="_Toc422742328"/>
      <w:bookmarkStart w:id="167" w:name="_Toc422337372"/>
      <w:bookmarkStart w:id="168" w:name="_Toc464485820"/>
      <w:bookmarkStart w:id="169" w:name="_Toc413748339"/>
      <w:r w:rsidRPr="0041608F">
        <w:t>Cross-zonal capacity validation methodology</w:t>
      </w:r>
      <w:bookmarkEnd w:id="158"/>
      <w:bookmarkEnd w:id="159"/>
      <w:bookmarkEnd w:id="160"/>
      <w:bookmarkEnd w:id="161"/>
    </w:p>
    <w:p w14:paraId="0285DA4C" w14:textId="77777777" w:rsidR="00785200" w:rsidRPr="0041608F" w:rsidRDefault="00785200" w:rsidP="00785200">
      <w:pPr>
        <w:pStyle w:val="ListParagraph"/>
        <w:numPr>
          <w:ilvl w:val="0"/>
          <w:numId w:val="10"/>
        </w:numPr>
        <w:contextualSpacing w:val="0"/>
        <w:jc w:val="both"/>
        <w:rPr>
          <w:rFonts w:cs="Arial"/>
          <w:b w:val="0"/>
          <w:bCs/>
          <w:vanish/>
          <w:lang w:val="en-GB"/>
        </w:rPr>
      </w:pPr>
    </w:p>
    <w:p w14:paraId="76E05E36"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2DC19637"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5278B370"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4863091B"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1E2962E8"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65901B9B"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1C30D856"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1D2710E0"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05DA267D"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20B69CF7"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45D44C25"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6F567B69"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41F6FDC4"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2711D4D5"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1C8B5B09"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3696B532"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21424F5D" w14:textId="77777777" w:rsidR="00D06644" w:rsidRPr="0041608F" w:rsidRDefault="00D06644" w:rsidP="00D06644">
      <w:pPr>
        <w:pStyle w:val="ListParagraph"/>
        <w:numPr>
          <w:ilvl w:val="0"/>
          <w:numId w:val="10"/>
        </w:numPr>
        <w:contextualSpacing w:val="0"/>
        <w:jc w:val="both"/>
        <w:rPr>
          <w:rFonts w:cs="Arial"/>
          <w:b w:val="0"/>
          <w:bCs/>
          <w:vanish/>
          <w:lang w:val="en-GB"/>
        </w:rPr>
      </w:pPr>
    </w:p>
    <w:p w14:paraId="4EC45A0D" w14:textId="4EB217A7" w:rsidR="007A2AD7" w:rsidRPr="0041608F" w:rsidRDefault="000657AE" w:rsidP="00D06644">
      <w:pPr>
        <w:pStyle w:val="ListParagraph"/>
        <w:numPr>
          <w:ilvl w:val="1"/>
          <w:numId w:val="10"/>
        </w:numPr>
        <w:contextualSpacing w:val="0"/>
        <w:jc w:val="both"/>
        <w:rPr>
          <w:rFonts w:cs="Arial"/>
          <w:b w:val="0"/>
          <w:bCs/>
          <w:lang w:val="en-GB"/>
        </w:rPr>
      </w:pPr>
      <w:r w:rsidRPr="0041608F">
        <w:rPr>
          <w:rFonts w:cs="Arial"/>
          <w:b w:val="0"/>
          <w:bCs/>
          <w:lang w:val="en-GB"/>
        </w:rPr>
        <w:t xml:space="preserve">Each TSO shall perform the validation of cross-zonal capacities on its bidding zone border(s) to ensure that the results of regional calculation of cross-zonal capacity will ensure operational security. When performing the validation, the TSOs shall consider operational security, </w:t>
      </w:r>
      <w:proofErr w:type="gramStart"/>
      <w:r w:rsidRPr="0041608F">
        <w:rPr>
          <w:rFonts w:cs="Arial"/>
          <w:b w:val="0"/>
          <w:bCs/>
          <w:lang w:val="en-GB"/>
        </w:rPr>
        <w:t>taking into account</w:t>
      </w:r>
      <w:proofErr w:type="gramEnd"/>
      <w:r w:rsidRPr="0041608F">
        <w:rPr>
          <w:rFonts w:cs="Arial"/>
          <w:b w:val="0"/>
          <w:bCs/>
          <w:lang w:val="en-GB"/>
        </w:rPr>
        <w:t xml:space="preserve"> new and relevant information obtained during or after the most recent capacity calculation.</w:t>
      </w:r>
    </w:p>
    <w:p w14:paraId="0FF51E20" w14:textId="359E86AA" w:rsidR="007A2AD7" w:rsidRPr="0041608F" w:rsidRDefault="00A84D8A" w:rsidP="008E4773">
      <w:pPr>
        <w:pStyle w:val="ListParagraph"/>
        <w:numPr>
          <w:ilvl w:val="1"/>
          <w:numId w:val="10"/>
        </w:numPr>
        <w:contextualSpacing w:val="0"/>
        <w:jc w:val="both"/>
        <w:rPr>
          <w:rFonts w:cs="Arial"/>
          <w:b w:val="0"/>
          <w:bCs/>
          <w:lang w:val="en-GB"/>
        </w:rPr>
      </w:pPr>
      <w:r w:rsidRPr="0041608F">
        <w:rPr>
          <w:rFonts w:cs="Arial"/>
          <w:b w:val="0"/>
          <w:bCs/>
          <w:lang w:val="en-GB"/>
        </w:rPr>
        <w:t>According to Article 24 of FCA Regulation and Article 26 of CACM Regulation, e</w:t>
      </w:r>
      <w:r w:rsidR="00D33F27" w:rsidRPr="0041608F">
        <w:rPr>
          <w:rFonts w:cs="Arial"/>
          <w:b w:val="0"/>
          <w:bCs/>
          <w:lang w:val="en-GB"/>
        </w:rPr>
        <w:t xml:space="preserve">ach TSO shall validate and have the right to correct </w:t>
      </w:r>
      <w:r w:rsidR="003B6AC1" w:rsidRPr="0041608F">
        <w:rPr>
          <w:rFonts w:cs="Arial"/>
          <w:b w:val="0"/>
          <w:bCs/>
          <w:lang w:val="en-GB"/>
        </w:rPr>
        <w:t xml:space="preserve">long-term </w:t>
      </w:r>
      <w:r w:rsidR="00E8445A" w:rsidRPr="0041608F">
        <w:rPr>
          <w:rFonts w:cs="Arial"/>
          <w:b w:val="0"/>
          <w:bCs/>
          <w:lang w:val="en-GB"/>
        </w:rPr>
        <w:t>c</w:t>
      </w:r>
      <w:r w:rsidR="00D33F27" w:rsidRPr="0041608F">
        <w:rPr>
          <w:rFonts w:cs="Arial"/>
          <w:b w:val="0"/>
          <w:bCs/>
          <w:lang w:val="en-GB"/>
        </w:rPr>
        <w:t>ross-</w:t>
      </w:r>
      <w:r w:rsidR="00E8445A" w:rsidRPr="0041608F">
        <w:rPr>
          <w:rFonts w:cs="Arial"/>
          <w:b w:val="0"/>
          <w:bCs/>
          <w:lang w:val="en-GB"/>
        </w:rPr>
        <w:t>z</w:t>
      </w:r>
      <w:r w:rsidR="00D33F27" w:rsidRPr="0041608F">
        <w:rPr>
          <w:rFonts w:cs="Arial"/>
          <w:b w:val="0"/>
          <w:bCs/>
          <w:lang w:val="en-GB"/>
        </w:rPr>
        <w:t xml:space="preserve">onal </w:t>
      </w:r>
      <w:r w:rsidR="00E8445A" w:rsidRPr="0041608F">
        <w:rPr>
          <w:rFonts w:cs="Arial"/>
          <w:b w:val="0"/>
          <w:bCs/>
          <w:lang w:val="en-GB"/>
        </w:rPr>
        <w:t>c</w:t>
      </w:r>
      <w:r w:rsidR="00D33F27" w:rsidRPr="0041608F">
        <w:rPr>
          <w:rFonts w:cs="Arial"/>
          <w:b w:val="0"/>
          <w:bCs/>
          <w:lang w:val="en-GB"/>
        </w:rPr>
        <w:t xml:space="preserve">apacity relevant to the TSO's </w:t>
      </w:r>
      <w:r w:rsidR="00E8445A" w:rsidRPr="0041608F">
        <w:rPr>
          <w:rFonts w:cs="Arial"/>
          <w:b w:val="0"/>
          <w:bCs/>
          <w:lang w:val="en-GB"/>
        </w:rPr>
        <w:t>b</w:t>
      </w:r>
      <w:r w:rsidR="00D33F27" w:rsidRPr="0041608F">
        <w:rPr>
          <w:rFonts w:cs="Arial"/>
          <w:b w:val="0"/>
          <w:bCs/>
          <w:lang w:val="en-GB"/>
        </w:rPr>
        <w:t xml:space="preserve">idding </w:t>
      </w:r>
      <w:r w:rsidR="00E8445A" w:rsidRPr="0041608F">
        <w:rPr>
          <w:rFonts w:cs="Arial"/>
          <w:b w:val="0"/>
          <w:bCs/>
          <w:lang w:val="en-GB"/>
        </w:rPr>
        <w:t>z</w:t>
      </w:r>
      <w:r w:rsidR="00D33F27" w:rsidRPr="0041608F">
        <w:rPr>
          <w:rFonts w:cs="Arial"/>
          <w:b w:val="0"/>
          <w:bCs/>
          <w:lang w:val="en-GB"/>
        </w:rPr>
        <w:t>one borders provided by the</w:t>
      </w:r>
      <w:r w:rsidR="00E8445A" w:rsidRPr="0041608F">
        <w:rPr>
          <w:rFonts w:cs="Arial"/>
          <w:b w:val="0"/>
          <w:bCs/>
          <w:lang w:val="en-GB"/>
        </w:rPr>
        <w:t xml:space="preserve"> </w:t>
      </w:r>
      <w:r w:rsidR="00C1415E" w:rsidRPr="0041608F">
        <w:rPr>
          <w:rFonts w:cs="Arial"/>
          <w:b w:val="0"/>
          <w:bCs/>
          <w:lang w:val="en-GB"/>
        </w:rPr>
        <w:t>CCC</w:t>
      </w:r>
      <w:r w:rsidR="00D33F27" w:rsidRPr="0041608F">
        <w:rPr>
          <w:rFonts w:cs="Arial"/>
          <w:b w:val="0"/>
          <w:bCs/>
          <w:lang w:val="en-GB"/>
        </w:rPr>
        <w:t>.</w:t>
      </w:r>
      <w:r w:rsidR="000657AE" w:rsidRPr="0041608F">
        <w:rPr>
          <w:rFonts w:cs="Arial"/>
          <w:b w:val="0"/>
          <w:bCs/>
          <w:lang w:val="en-GB"/>
        </w:rPr>
        <w:t xml:space="preserve"> If TSO correct or calculates different cross-zonal capacities, the capacities shall be resent to CCC for re-coordination of relevant cross-border.</w:t>
      </w:r>
      <w:r w:rsidR="00C1415E" w:rsidRPr="0041608F">
        <w:rPr>
          <w:rFonts w:cs="Arial"/>
          <w:b w:val="0"/>
          <w:bCs/>
          <w:lang w:val="en-GB"/>
        </w:rPr>
        <w:t xml:space="preserve"> The reason of correction or rejection shall be collected</w:t>
      </w:r>
      <w:r w:rsidR="002631E2" w:rsidRPr="0041608F">
        <w:rPr>
          <w:rFonts w:cs="Arial"/>
          <w:b w:val="0"/>
          <w:bCs/>
          <w:lang w:val="en-GB"/>
        </w:rPr>
        <w:t xml:space="preserve"> by TSOs</w:t>
      </w:r>
      <w:r w:rsidR="00C1415E" w:rsidRPr="0041608F">
        <w:rPr>
          <w:rFonts w:cs="Arial"/>
          <w:b w:val="0"/>
          <w:bCs/>
          <w:lang w:val="en-GB"/>
        </w:rPr>
        <w:t xml:space="preserve"> and provided to CCC. </w:t>
      </w:r>
    </w:p>
    <w:p w14:paraId="4AEA1B83" w14:textId="66C4A043" w:rsidR="00BE59B1" w:rsidRPr="0041608F" w:rsidRDefault="00BE59B1" w:rsidP="004E30D4">
      <w:pPr>
        <w:pStyle w:val="Heading1"/>
      </w:pPr>
      <w:bookmarkStart w:id="170" w:name="_Toc153355190"/>
      <w:bookmarkStart w:id="171" w:name="_Toc153355319"/>
      <w:bookmarkStart w:id="172" w:name="_Toc153355557"/>
      <w:bookmarkStart w:id="173" w:name="_Toc158275592"/>
      <w:r w:rsidRPr="0041608F">
        <w:t>Fallback procedure</w:t>
      </w:r>
      <w:bookmarkEnd w:id="170"/>
      <w:bookmarkEnd w:id="171"/>
      <w:bookmarkEnd w:id="172"/>
      <w:bookmarkEnd w:id="173"/>
    </w:p>
    <w:p w14:paraId="16A3172F" w14:textId="77777777" w:rsidR="00A529DD" w:rsidRPr="0041608F" w:rsidRDefault="00A529DD" w:rsidP="008E4773">
      <w:pPr>
        <w:pStyle w:val="ListParagraph"/>
        <w:numPr>
          <w:ilvl w:val="0"/>
          <w:numId w:val="10"/>
        </w:numPr>
        <w:contextualSpacing w:val="0"/>
        <w:jc w:val="both"/>
        <w:rPr>
          <w:b w:val="0"/>
          <w:bCs/>
          <w:vanish/>
          <w:lang w:val="en-GB"/>
        </w:rPr>
      </w:pPr>
    </w:p>
    <w:p w14:paraId="14ED0F82" w14:textId="6C16B6E5" w:rsidR="009B56C2" w:rsidRPr="0041608F" w:rsidRDefault="00BE59B1" w:rsidP="008E4773">
      <w:pPr>
        <w:pStyle w:val="ListParagraph"/>
        <w:numPr>
          <w:ilvl w:val="1"/>
          <w:numId w:val="10"/>
        </w:numPr>
        <w:contextualSpacing w:val="0"/>
        <w:jc w:val="both"/>
        <w:rPr>
          <w:b w:val="0"/>
          <w:bCs/>
          <w:sz w:val="24"/>
          <w:lang w:val="en-GB"/>
        </w:rPr>
      </w:pPr>
      <w:r w:rsidRPr="0041608F">
        <w:rPr>
          <w:b w:val="0"/>
          <w:bCs/>
          <w:lang w:val="en-GB"/>
        </w:rPr>
        <w:t xml:space="preserve">If </w:t>
      </w:r>
      <w:r w:rsidR="00450486" w:rsidRPr="0041608F">
        <w:rPr>
          <w:b w:val="0"/>
          <w:bCs/>
          <w:lang w:val="en-GB"/>
        </w:rPr>
        <w:t xml:space="preserve">long-term </w:t>
      </w:r>
      <w:r w:rsidR="003B6AC1" w:rsidRPr="0041608F">
        <w:rPr>
          <w:b w:val="0"/>
          <w:bCs/>
          <w:lang w:val="en-GB"/>
        </w:rPr>
        <w:t>c</w:t>
      </w:r>
      <w:r w:rsidRPr="0041608F">
        <w:rPr>
          <w:b w:val="0"/>
          <w:bCs/>
          <w:lang w:val="en-GB"/>
        </w:rPr>
        <w:t>ross-</w:t>
      </w:r>
      <w:r w:rsidR="003B6AC1" w:rsidRPr="0041608F">
        <w:rPr>
          <w:b w:val="0"/>
          <w:bCs/>
          <w:lang w:val="en-GB"/>
        </w:rPr>
        <w:t>z</w:t>
      </w:r>
      <w:r w:rsidRPr="0041608F">
        <w:rPr>
          <w:b w:val="0"/>
          <w:bCs/>
          <w:lang w:val="en-GB"/>
        </w:rPr>
        <w:t xml:space="preserve">onal </w:t>
      </w:r>
      <w:r w:rsidR="003B6AC1" w:rsidRPr="0041608F">
        <w:rPr>
          <w:b w:val="0"/>
          <w:bCs/>
          <w:lang w:val="en-GB"/>
        </w:rPr>
        <w:t>c</w:t>
      </w:r>
      <w:r w:rsidRPr="0041608F">
        <w:rPr>
          <w:b w:val="0"/>
          <w:bCs/>
          <w:lang w:val="en-GB"/>
        </w:rPr>
        <w:t xml:space="preserve">apacities cannot be calculated by </w:t>
      </w:r>
      <w:r w:rsidR="00C1415E" w:rsidRPr="0041608F">
        <w:rPr>
          <w:b w:val="0"/>
          <w:bCs/>
          <w:lang w:val="en-GB"/>
        </w:rPr>
        <w:t xml:space="preserve">CCC, the CCC </w:t>
      </w:r>
      <w:r w:rsidRPr="0041608F">
        <w:rPr>
          <w:b w:val="0"/>
          <w:bCs/>
          <w:lang w:val="en-GB"/>
        </w:rPr>
        <w:t xml:space="preserve">informs </w:t>
      </w:r>
      <w:r w:rsidR="00586A83" w:rsidRPr="0041608F">
        <w:rPr>
          <w:b w:val="0"/>
          <w:bCs/>
          <w:lang w:val="en-GB"/>
        </w:rPr>
        <w:t>relevant</w:t>
      </w:r>
      <w:r w:rsidRPr="0041608F">
        <w:rPr>
          <w:b w:val="0"/>
          <w:bCs/>
          <w:lang w:val="en-GB"/>
        </w:rPr>
        <w:t xml:space="preserve"> TSOs on inability to calculate capacities</w:t>
      </w:r>
      <w:r w:rsidR="00F25A69" w:rsidRPr="0041608F">
        <w:rPr>
          <w:b w:val="0"/>
          <w:bCs/>
          <w:lang w:val="en-GB"/>
        </w:rPr>
        <w:t>.</w:t>
      </w:r>
      <w:r w:rsidRPr="0041608F">
        <w:rPr>
          <w:b w:val="0"/>
          <w:bCs/>
          <w:lang w:val="en-GB"/>
        </w:rPr>
        <w:t xml:space="preserve"> </w:t>
      </w:r>
      <w:r w:rsidR="00F25A69" w:rsidRPr="0041608F">
        <w:rPr>
          <w:b w:val="0"/>
          <w:bCs/>
          <w:lang w:val="en-GB"/>
        </w:rPr>
        <w:t>T</w:t>
      </w:r>
      <w:r w:rsidRPr="0041608F">
        <w:rPr>
          <w:b w:val="0"/>
          <w:bCs/>
          <w:lang w:val="en-GB"/>
        </w:rPr>
        <w:t>h</w:t>
      </w:r>
      <w:r w:rsidR="00FA2CFF" w:rsidRPr="0041608F">
        <w:rPr>
          <w:b w:val="0"/>
          <w:bCs/>
          <w:lang w:val="en-GB"/>
        </w:rPr>
        <w:t>e</w:t>
      </w:r>
      <w:r w:rsidRPr="0041608F">
        <w:rPr>
          <w:b w:val="0"/>
          <w:bCs/>
          <w:lang w:val="en-GB"/>
        </w:rPr>
        <w:t xml:space="preserve">n </w:t>
      </w:r>
      <w:r w:rsidR="00586A83" w:rsidRPr="0041608F">
        <w:rPr>
          <w:b w:val="0"/>
          <w:bCs/>
          <w:lang w:val="en-GB"/>
        </w:rPr>
        <w:t xml:space="preserve">relevant </w:t>
      </w:r>
      <w:r w:rsidRPr="0041608F">
        <w:rPr>
          <w:b w:val="0"/>
          <w:bCs/>
          <w:lang w:val="en-GB"/>
        </w:rPr>
        <w:t>TSOs calculate</w:t>
      </w:r>
      <w:r w:rsidR="003C5DD1" w:rsidRPr="0041608F">
        <w:rPr>
          <w:b w:val="0"/>
          <w:bCs/>
          <w:lang w:val="en-GB"/>
        </w:rPr>
        <w:t>,</w:t>
      </w:r>
      <w:r w:rsidRPr="0041608F">
        <w:rPr>
          <w:b w:val="0"/>
          <w:bCs/>
          <w:lang w:val="en-GB"/>
        </w:rPr>
        <w:t xml:space="preserve"> coordinate </w:t>
      </w:r>
      <w:proofErr w:type="gramStart"/>
      <w:r w:rsidRPr="0041608F">
        <w:rPr>
          <w:b w:val="0"/>
          <w:bCs/>
          <w:lang w:val="en-GB"/>
        </w:rPr>
        <w:t>capacities</w:t>
      </w:r>
      <w:proofErr w:type="gramEnd"/>
      <w:r w:rsidR="003C5DD1" w:rsidRPr="0041608F">
        <w:rPr>
          <w:b w:val="0"/>
          <w:bCs/>
          <w:lang w:val="en-GB"/>
        </w:rPr>
        <w:t xml:space="preserve"> and publish</w:t>
      </w:r>
      <w:r w:rsidRPr="0041608F">
        <w:rPr>
          <w:b w:val="0"/>
          <w:bCs/>
          <w:lang w:val="en-GB"/>
        </w:rPr>
        <w:t xml:space="preserve"> for respective </w:t>
      </w:r>
      <w:r w:rsidR="00450486" w:rsidRPr="0041608F">
        <w:rPr>
          <w:b w:val="0"/>
          <w:bCs/>
          <w:lang w:val="en-GB"/>
        </w:rPr>
        <w:t>c</w:t>
      </w:r>
      <w:r w:rsidRPr="0041608F">
        <w:rPr>
          <w:b w:val="0"/>
          <w:bCs/>
          <w:lang w:val="en-GB"/>
        </w:rPr>
        <w:t>ross-</w:t>
      </w:r>
      <w:r w:rsidR="00450486" w:rsidRPr="0041608F">
        <w:rPr>
          <w:b w:val="0"/>
          <w:bCs/>
          <w:lang w:val="en-GB"/>
        </w:rPr>
        <w:t>b</w:t>
      </w:r>
      <w:r w:rsidRPr="0041608F">
        <w:rPr>
          <w:b w:val="0"/>
          <w:bCs/>
          <w:lang w:val="en-GB"/>
        </w:rPr>
        <w:t xml:space="preserve">order </w:t>
      </w:r>
      <w:r w:rsidR="00450486" w:rsidRPr="0041608F">
        <w:rPr>
          <w:b w:val="0"/>
          <w:bCs/>
          <w:lang w:val="en-GB"/>
        </w:rPr>
        <w:t>i</w:t>
      </w:r>
      <w:r w:rsidRPr="0041608F">
        <w:rPr>
          <w:b w:val="0"/>
          <w:bCs/>
          <w:lang w:val="en-GB"/>
        </w:rPr>
        <w:t xml:space="preserve">nterconnections among themselves </w:t>
      </w:r>
      <w:r w:rsidR="00F25A69" w:rsidRPr="0041608F">
        <w:rPr>
          <w:b w:val="0"/>
          <w:bCs/>
          <w:lang w:val="en-GB"/>
        </w:rPr>
        <w:t xml:space="preserve">as </w:t>
      </w:r>
      <w:r w:rsidR="00D32C14" w:rsidRPr="0041608F">
        <w:rPr>
          <w:b w:val="0"/>
          <w:bCs/>
          <w:lang w:val="en-GB"/>
        </w:rPr>
        <w:t xml:space="preserve">set </w:t>
      </w:r>
      <w:r w:rsidR="009058B7" w:rsidRPr="0041608F">
        <w:rPr>
          <w:b w:val="0"/>
          <w:bCs/>
          <w:lang w:val="en-GB"/>
        </w:rPr>
        <w:t>in accordance with article 7</w:t>
      </w:r>
      <w:r w:rsidR="000F6BA0" w:rsidRPr="0041608F">
        <w:rPr>
          <w:b w:val="0"/>
          <w:bCs/>
          <w:lang w:val="en-GB"/>
        </w:rPr>
        <w:t xml:space="preserve"> </w:t>
      </w:r>
      <w:r w:rsidRPr="0041608F">
        <w:rPr>
          <w:b w:val="0"/>
          <w:bCs/>
          <w:lang w:val="en-GB"/>
        </w:rPr>
        <w:t xml:space="preserve">and provide coordinated capacities to </w:t>
      </w:r>
      <w:r w:rsidR="00C1415E" w:rsidRPr="0041608F">
        <w:rPr>
          <w:b w:val="0"/>
          <w:bCs/>
          <w:lang w:val="en-GB"/>
        </w:rPr>
        <w:t>CCC</w:t>
      </w:r>
      <w:r w:rsidR="00AB31EE" w:rsidRPr="0041608F">
        <w:rPr>
          <w:b w:val="0"/>
          <w:bCs/>
          <w:lang w:val="en-GB"/>
        </w:rPr>
        <w:t>.</w:t>
      </w:r>
    </w:p>
    <w:p w14:paraId="65789D21" w14:textId="5A74063E" w:rsidR="000657AE" w:rsidRPr="0041608F" w:rsidRDefault="000657AE" w:rsidP="004E30D4">
      <w:pPr>
        <w:pStyle w:val="Heading1"/>
      </w:pPr>
      <w:bookmarkStart w:id="174" w:name="_Toc153355191"/>
      <w:bookmarkStart w:id="175" w:name="_Toc153355320"/>
      <w:bookmarkStart w:id="176" w:name="_Toc153355558"/>
      <w:bookmarkStart w:id="177" w:name="_Toc158275593"/>
      <w:r w:rsidRPr="0041608F">
        <w:t>Publication of data</w:t>
      </w:r>
      <w:bookmarkEnd w:id="174"/>
      <w:bookmarkEnd w:id="175"/>
      <w:bookmarkEnd w:id="176"/>
      <w:bookmarkEnd w:id="177"/>
    </w:p>
    <w:p w14:paraId="2DBCBD17" w14:textId="77777777" w:rsidR="00A529DD" w:rsidRPr="0041608F" w:rsidRDefault="00A529DD" w:rsidP="008E4773">
      <w:pPr>
        <w:pStyle w:val="ListParagraph"/>
        <w:numPr>
          <w:ilvl w:val="0"/>
          <w:numId w:val="10"/>
        </w:numPr>
        <w:contextualSpacing w:val="0"/>
        <w:jc w:val="both"/>
        <w:rPr>
          <w:rFonts w:cs="Arial"/>
          <w:b w:val="0"/>
          <w:bCs/>
          <w:vanish/>
          <w:lang w:val="en-GB"/>
        </w:rPr>
      </w:pPr>
    </w:p>
    <w:p w14:paraId="5F30EFF3" w14:textId="42F435B2" w:rsidR="00FD27EE" w:rsidRPr="0041608F" w:rsidRDefault="000D0E0D" w:rsidP="008E4773">
      <w:pPr>
        <w:pStyle w:val="ListParagraph"/>
        <w:numPr>
          <w:ilvl w:val="1"/>
          <w:numId w:val="10"/>
        </w:numPr>
        <w:contextualSpacing w:val="0"/>
        <w:jc w:val="both"/>
        <w:rPr>
          <w:rFonts w:cs="Arial"/>
          <w:b w:val="0"/>
          <w:bCs/>
          <w:lang w:val="en-GB"/>
        </w:rPr>
      </w:pPr>
      <w:r w:rsidRPr="0041608F">
        <w:rPr>
          <w:rFonts w:cs="Arial"/>
          <w:b w:val="0"/>
          <w:bCs/>
          <w:lang w:val="en-GB"/>
        </w:rPr>
        <w:t xml:space="preserve">Calculated long-term capacities </w:t>
      </w:r>
      <w:r w:rsidR="00941C8D" w:rsidRPr="0041608F">
        <w:rPr>
          <w:rFonts w:cs="Arial"/>
          <w:b w:val="0"/>
          <w:bCs/>
          <w:lang w:val="en-GB"/>
        </w:rPr>
        <w:t>shall</w:t>
      </w:r>
      <w:r w:rsidRPr="0041608F">
        <w:rPr>
          <w:rFonts w:cs="Arial"/>
          <w:b w:val="0"/>
          <w:bCs/>
          <w:lang w:val="en-GB"/>
        </w:rPr>
        <w:t xml:space="preserve"> be published </w:t>
      </w:r>
      <w:r w:rsidR="00105C46" w:rsidRPr="0041608F">
        <w:rPr>
          <w:rFonts w:cs="Arial"/>
          <w:b w:val="0"/>
          <w:bCs/>
          <w:lang w:val="en-GB"/>
        </w:rPr>
        <w:t xml:space="preserve">in ENTSO-E Transparency platform as soon as available after calculations </w:t>
      </w:r>
      <w:r w:rsidR="00941C8D" w:rsidRPr="0041608F">
        <w:rPr>
          <w:rFonts w:cs="Arial"/>
          <w:b w:val="0"/>
          <w:bCs/>
          <w:lang w:val="en-GB"/>
        </w:rPr>
        <w:t xml:space="preserve">for all Baltic CCR borders </w:t>
      </w:r>
      <w:r w:rsidRPr="0041608F">
        <w:rPr>
          <w:rFonts w:cs="Arial"/>
          <w:b w:val="0"/>
          <w:bCs/>
          <w:lang w:val="en-GB"/>
        </w:rPr>
        <w:t>by TSOs</w:t>
      </w:r>
      <w:r w:rsidR="00941C8D" w:rsidRPr="0041608F">
        <w:rPr>
          <w:rFonts w:cs="Arial"/>
          <w:b w:val="0"/>
          <w:bCs/>
          <w:lang w:val="en-GB"/>
        </w:rPr>
        <w:t xml:space="preserve"> or CCC of Baltic CCR </w:t>
      </w:r>
      <w:r w:rsidR="00105C46" w:rsidRPr="0041608F">
        <w:rPr>
          <w:rFonts w:cs="Arial"/>
          <w:b w:val="0"/>
          <w:bCs/>
          <w:lang w:val="en-GB"/>
        </w:rPr>
        <w:t xml:space="preserve">but not later than foreseen </w:t>
      </w:r>
      <w:r w:rsidR="00F26B50" w:rsidRPr="0041608F">
        <w:rPr>
          <w:rFonts w:cs="Arial"/>
          <w:b w:val="0"/>
          <w:bCs/>
          <w:lang w:val="en-GB"/>
        </w:rPr>
        <w:t>according to Article 11 of Regulation 543/2013</w:t>
      </w:r>
      <w:r w:rsidR="00105C46" w:rsidRPr="0041608F">
        <w:rPr>
          <w:rFonts w:cs="Arial"/>
          <w:b w:val="0"/>
          <w:bCs/>
          <w:lang w:val="en-GB"/>
        </w:rPr>
        <w:t>.</w:t>
      </w:r>
    </w:p>
    <w:p w14:paraId="7E09E7BE" w14:textId="1C3571B9" w:rsidR="00FD27EE" w:rsidRPr="0041608F" w:rsidRDefault="00C341DF" w:rsidP="008E4773">
      <w:pPr>
        <w:pStyle w:val="ListParagraph"/>
        <w:numPr>
          <w:ilvl w:val="1"/>
          <w:numId w:val="10"/>
        </w:numPr>
        <w:contextualSpacing w:val="0"/>
        <w:jc w:val="both"/>
        <w:rPr>
          <w:rFonts w:cs="Arial"/>
          <w:b w:val="0"/>
          <w:bCs/>
          <w:lang w:val="en-GB"/>
        </w:rPr>
      </w:pPr>
      <w:r w:rsidRPr="0041608F">
        <w:rPr>
          <w:rFonts w:cs="Arial"/>
          <w:b w:val="0"/>
          <w:bCs/>
          <w:lang w:val="en-GB"/>
        </w:rPr>
        <w:t>Long-term c</w:t>
      </w:r>
      <w:r w:rsidR="00FD27EE" w:rsidRPr="0041608F">
        <w:rPr>
          <w:rFonts w:cs="Arial"/>
          <w:b w:val="0"/>
          <w:bCs/>
          <w:lang w:val="en-GB"/>
        </w:rPr>
        <w:t xml:space="preserve">apacities </w:t>
      </w:r>
      <w:r w:rsidRPr="0041608F">
        <w:rPr>
          <w:rFonts w:cs="Arial"/>
          <w:b w:val="0"/>
          <w:bCs/>
          <w:lang w:val="en-GB"/>
        </w:rPr>
        <w:t xml:space="preserve">calculated according to this methodology </w:t>
      </w:r>
      <w:r w:rsidR="00B434BE" w:rsidRPr="0041608F">
        <w:rPr>
          <w:rFonts w:cs="Arial"/>
          <w:b w:val="0"/>
          <w:bCs/>
          <w:lang w:val="en-GB"/>
        </w:rPr>
        <w:t xml:space="preserve">and published at ENTSO-E Transparency Platform </w:t>
      </w:r>
      <w:r w:rsidR="007317BB" w:rsidRPr="0041608F">
        <w:rPr>
          <w:rFonts w:cs="Arial"/>
          <w:b w:val="0"/>
          <w:bCs/>
          <w:lang w:val="en-GB"/>
        </w:rPr>
        <w:t>can be</w:t>
      </w:r>
      <w:r w:rsidR="001929A0" w:rsidRPr="0041608F">
        <w:rPr>
          <w:rFonts w:cs="Arial"/>
          <w:b w:val="0"/>
          <w:bCs/>
          <w:lang w:val="en-GB"/>
        </w:rPr>
        <w:t xml:space="preserve"> updated</w:t>
      </w:r>
      <w:r w:rsidR="004A5F0C" w:rsidRPr="0041608F">
        <w:rPr>
          <w:rFonts w:cs="Arial"/>
          <w:b w:val="0"/>
          <w:bCs/>
          <w:lang w:val="en-GB"/>
        </w:rPr>
        <w:t xml:space="preserve"> </w:t>
      </w:r>
      <w:r w:rsidR="00717C6B" w:rsidRPr="0041608F">
        <w:rPr>
          <w:rFonts w:cs="Arial"/>
          <w:b w:val="0"/>
          <w:bCs/>
          <w:lang w:val="en-GB"/>
        </w:rPr>
        <w:t xml:space="preserve">at any time before, during and/or </w:t>
      </w:r>
      <w:r w:rsidR="004A5F0C" w:rsidRPr="0041608F">
        <w:rPr>
          <w:rFonts w:cs="Arial"/>
          <w:b w:val="0"/>
          <w:bCs/>
          <w:lang w:val="en-GB"/>
        </w:rPr>
        <w:t>after</w:t>
      </w:r>
      <w:r w:rsidR="004D111E" w:rsidRPr="0041608F">
        <w:rPr>
          <w:rFonts w:cs="Arial"/>
          <w:b w:val="0"/>
          <w:bCs/>
          <w:lang w:val="en-GB"/>
        </w:rPr>
        <w:t xml:space="preserve"> </w:t>
      </w:r>
      <w:r w:rsidR="00AF4BAB" w:rsidRPr="0041608F">
        <w:rPr>
          <w:rFonts w:cs="Arial"/>
          <w:b w:val="0"/>
          <w:bCs/>
          <w:lang w:val="en-GB"/>
        </w:rPr>
        <w:t xml:space="preserve">long term transmission rights </w:t>
      </w:r>
      <w:r w:rsidR="007317BB" w:rsidRPr="0041608F">
        <w:rPr>
          <w:rFonts w:cs="Arial"/>
          <w:b w:val="0"/>
          <w:bCs/>
          <w:lang w:val="en-GB"/>
        </w:rPr>
        <w:t>auction</w:t>
      </w:r>
      <w:r w:rsidR="004D111E" w:rsidRPr="0041608F">
        <w:rPr>
          <w:rFonts w:cs="Arial"/>
          <w:b w:val="0"/>
          <w:bCs/>
          <w:lang w:val="en-GB"/>
        </w:rPr>
        <w:t>s in case of changes of input data used in calculations (</w:t>
      </w:r>
      <w:r w:rsidR="00B434BE" w:rsidRPr="0041608F">
        <w:rPr>
          <w:rFonts w:cs="Arial"/>
          <w:b w:val="0"/>
          <w:bCs/>
          <w:lang w:val="en-GB"/>
        </w:rPr>
        <w:t xml:space="preserve">update of calculation input preliminary data </w:t>
      </w:r>
      <w:r w:rsidR="004D111E" w:rsidRPr="0041608F">
        <w:rPr>
          <w:rFonts w:cs="Arial"/>
          <w:b w:val="0"/>
          <w:bCs/>
          <w:lang w:val="en-GB"/>
        </w:rPr>
        <w:t>e.g. transmission infrastructure outage plans)</w:t>
      </w:r>
      <w:r w:rsidR="004A5F0C" w:rsidRPr="0041608F">
        <w:rPr>
          <w:rFonts w:cs="Arial"/>
          <w:b w:val="0"/>
          <w:bCs/>
          <w:lang w:val="en-GB"/>
        </w:rPr>
        <w:t>.</w:t>
      </w:r>
      <w:r w:rsidR="00FD27EE" w:rsidRPr="0041608F">
        <w:rPr>
          <w:rFonts w:cs="Arial"/>
          <w:b w:val="0"/>
          <w:bCs/>
          <w:lang w:val="en-GB"/>
        </w:rPr>
        <w:t xml:space="preserve"> </w:t>
      </w:r>
    </w:p>
    <w:p w14:paraId="344F2DDB" w14:textId="026E30AE" w:rsidR="00892711" w:rsidRPr="0041608F" w:rsidRDefault="00892711" w:rsidP="00892711">
      <w:pPr>
        <w:pStyle w:val="Heading1"/>
      </w:pPr>
      <w:bookmarkStart w:id="178" w:name="_Toc153355192"/>
      <w:bookmarkStart w:id="179" w:name="_Toc153355321"/>
      <w:bookmarkStart w:id="180" w:name="_Toc153355559"/>
      <w:bookmarkStart w:id="181" w:name="_Toc158275594"/>
      <w:r w:rsidRPr="0041608F">
        <w:t>REPORT PROVISION</w:t>
      </w:r>
      <w:r w:rsidR="00C16FAE" w:rsidRPr="0041608F">
        <w:t xml:space="preserve"> and data publication</w:t>
      </w:r>
      <w:bookmarkEnd w:id="178"/>
      <w:bookmarkEnd w:id="179"/>
      <w:bookmarkEnd w:id="180"/>
      <w:bookmarkEnd w:id="181"/>
    </w:p>
    <w:p w14:paraId="6AF35F88" w14:textId="77777777" w:rsidR="00672ED8" w:rsidRPr="0041608F" w:rsidRDefault="00672ED8" w:rsidP="00672ED8">
      <w:pPr>
        <w:pStyle w:val="ListParagraph"/>
        <w:numPr>
          <w:ilvl w:val="0"/>
          <w:numId w:val="10"/>
        </w:numPr>
        <w:contextualSpacing w:val="0"/>
        <w:jc w:val="both"/>
        <w:rPr>
          <w:rFonts w:cs="Arial"/>
          <w:b w:val="0"/>
          <w:bCs/>
          <w:vanish/>
          <w:lang w:val="en-GB"/>
        </w:rPr>
      </w:pPr>
    </w:p>
    <w:p w14:paraId="7F3AF3FC" w14:textId="109213E7" w:rsidR="00892711" w:rsidRPr="0041608F" w:rsidRDefault="00892711" w:rsidP="00672ED8">
      <w:pPr>
        <w:pStyle w:val="ListParagraph"/>
        <w:numPr>
          <w:ilvl w:val="1"/>
          <w:numId w:val="10"/>
        </w:numPr>
        <w:contextualSpacing w:val="0"/>
        <w:jc w:val="both"/>
        <w:rPr>
          <w:rFonts w:cs="Arial"/>
          <w:b w:val="0"/>
          <w:bCs/>
          <w:lang w:val="en-GB"/>
        </w:rPr>
      </w:pPr>
      <w:r w:rsidRPr="0041608F">
        <w:rPr>
          <w:rFonts w:cs="Arial"/>
          <w:b w:val="0"/>
          <w:lang w:val="en-GB"/>
        </w:rPr>
        <w:t xml:space="preserve">According to CACM article 26(5) </w:t>
      </w:r>
      <w:r w:rsidR="00AE6B5C" w:rsidRPr="0041608F">
        <w:rPr>
          <w:rFonts w:cs="Arial"/>
          <w:b w:val="0"/>
          <w:lang w:val="en-GB"/>
        </w:rPr>
        <w:t>CCC</w:t>
      </w:r>
      <w:r w:rsidRPr="0041608F">
        <w:rPr>
          <w:rFonts w:cs="Arial"/>
          <w:b w:val="0"/>
          <w:lang w:val="en-GB"/>
        </w:rPr>
        <w:t xml:space="preserve"> shall, every three months, report all reductions made during the validation of cross-zonal capacity to all regulatory authorities of the capacity calculation region. This report shall include the location and amount of any reduction in cross-zonal capacity and shall give reasons for the reductions</w:t>
      </w:r>
      <w:r w:rsidR="00C16FAE" w:rsidRPr="0041608F">
        <w:rPr>
          <w:rFonts w:cs="Arial"/>
          <w:b w:val="0"/>
          <w:lang w:val="en-GB"/>
        </w:rPr>
        <w:t>.</w:t>
      </w:r>
    </w:p>
    <w:p w14:paraId="6B9AB890" w14:textId="5B7C8B8C" w:rsidR="000922BF" w:rsidRPr="0041608F" w:rsidRDefault="00892711" w:rsidP="00A9122E">
      <w:pPr>
        <w:pStyle w:val="ListParagraph"/>
        <w:numPr>
          <w:ilvl w:val="1"/>
          <w:numId w:val="10"/>
        </w:numPr>
        <w:contextualSpacing w:val="0"/>
        <w:jc w:val="both"/>
        <w:rPr>
          <w:rFonts w:cs="Arial"/>
          <w:b w:val="0"/>
          <w:bCs/>
          <w:lang w:val="en-GB"/>
        </w:rPr>
      </w:pPr>
      <w:r w:rsidRPr="0041608F">
        <w:rPr>
          <w:rFonts w:cs="Arial"/>
          <w:b w:val="0"/>
          <w:lang w:val="en-GB"/>
        </w:rPr>
        <w:t>Following article of 24(5) of the FCA regulation, each TSO shall, up</w:t>
      </w:r>
      <w:r w:rsidR="00DD1AC8" w:rsidRPr="0041608F">
        <w:rPr>
          <w:rFonts w:cs="Arial"/>
          <w:b w:val="0"/>
          <w:lang w:val="en-GB"/>
        </w:rPr>
        <w:t>o</w:t>
      </w:r>
      <w:r w:rsidRPr="0041608F">
        <w:rPr>
          <w:rFonts w:cs="Arial"/>
          <w:b w:val="0"/>
          <w:lang w:val="en-GB"/>
        </w:rPr>
        <w:t xml:space="preserve">n request, provide to their regulatory authorities a report detailing how </w:t>
      </w:r>
      <w:r w:rsidR="009F12F7" w:rsidRPr="0041608F">
        <w:rPr>
          <w:rFonts w:cs="Arial"/>
          <w:b w:val="0"/>
          <w:lang w:val="en-GB"/>
        </w:rPr>
        <w:t>the value</w:t>
      </w:r>
      <w:r w:rsidRPr="0041608F">
        <w:rPr>
          <w:rFonts w:cs="Arial"/>
          <w:b w:val="0"/>
          <w:lang w:val="en-GB"/>
        </w:rPr>
        <w:t xml:space="preserve"> of long-term cross-zonal capacity for a specific time frame has been obtained.</w:t>
      </w:r>
      <w:r w:rsidR="00FF0221" w:rsidRPr="0041608F">
        <w:rPr>
          <w:rFonts w:cs="Arial"/>
          <w:b w:val="0"/>
          <w:lang w:val="en-GB"/>
        </w:rPr>
        <w:t xml:space="preserve"> </w:t>
      </w:r>
      <w:r w:rsidR="00C16FAE" w:rsidRPr="0041608F">
        <w:rPr>
          <w:rFonts w:cs="Arial"/>
          <w:b w:val="0"/>
          <w:lang w:val="en-GB"/>
        </w:rPr>
        <w:t xml:space="preserve">Following the objectives of forward capacity allocation, in </w:t>
      </w:r>
      <w:r w:rsidR="009F12F7" w:rsidRPr="0041608F">
        <w:rPr>
          <w:rFonts w:cs="Arial"/>
          <w:b w:val="0"/>
          <w:lang w:val="en-GB"/>
        </w:rPr>
        <w:t>particular</w:t>
      </w:r>
      <w:r w:rsidR="00C16FAE" w:rsidRPr="0041608F">
        <w:rPr>
          <w:rFonts w:cs="Arial"/>
          <w:b w:val="0"/>
          <w:lang w:val="en-GB"/>
        </w:rPr>
        <w:t xml:space="preserve"> Article 3(f) of the FCA regulation, to complete the objective of “ensuring and enhancing the transparency and reliability of information on forward capacity allocation”, </w:t>
      </w:r>
      <w:r w:rsidR="00AE6B5C" w:rsidRPr="0041608F">
        <w:rPr>
          <w:rFonts w:cs="Arial"/>
          <w:b w:val="0"/>
          <w:lang w:val="en-GB"/>
        </w:rPr>
        <w:t>CCC</w:t>
      </w:r>
      <w:r w:rsidR="00C16FAE" w:rsidRPr="0041608F">
        <w:rPr>
          <w:rFonts w:cs="Arial"/>
          <w:b w:val="0"/>
          <w:lang w:val="en-GB"/>
        </w:rPr>
        <w:t xml:space="preserve">, together with the TSOs will ensure the publication of all relevant data items per calculated scenario used in the capacity calculation. </w:t>
      </w:r>
    </w:p>
    <w:p w14:paraId="5A107849" w14:textId="24C66EF0" w:rsidR="000922BF" w:rsidRPr="0041608F" w:rsidRDefault="00C16FAE" w:rsidP="00A9122E">
      <w:pPr>
        <w:pStyle w:val="ListParagraph"/>
        <w:numPr>
          <w:ilvl w:val="1"/>
          <w:numId w:val="10"/>
        </w:numPr>
        <w:contextualSpacing w:val="0"/>
        <w:jc w:val="both"/>
        <w:rPr>
          <w:rFonts w:cs="Arial"/>
          <w:b w:val="0"/>
          <w:bCs/>
          <w:lang w:val="en-GB"/>
        </w:rPr>
      </w:pPr>
      <w:r w:rsidRPr="0041608F">
        <w:rPr>
          <w:rFonts w:cs="Arial"/>
          <w:b w:val="0"/>
          <w:lang w:val="en-GB"/>
        </w:rPr>
        <w:lastRenderedPageBreak/>
        <w:t>Relevant data items shall be counted as the data items provided in the "list of relevant information to be communicated by ENTSO for Electricity to the Agency” as described in Article 63(3) of the FCA regulation. Abovementioned data items provided for relevant time frame must match data items described for relevant capacity calculation approach in the Baltic region.</w:t>
      </w:r>
      <w:bookmarkEnd w:id="162"/>
      <w:bookmarkEnd w:id="163"/>
      <w:bookmarkEnd w:id="164"/>
      <w:bookmarkEnd w:id="165"/>
      <w:bookmarkEnd w:id="166"/>
      <w:bookmarkEnd w:id="167"/>
    </w:p>
    <w:p w14:paraId="5D0C6D37" w14:textId="152C283D" w:rsidR="003D52DD" w:rsidRPr="0041608F" w:rsidRDefault="00B50795" w:rsidP="004E30D4">
      <w:pPr>
        <w:pStyle w:val="Heading1"/>
      </w:pPr>
      <w:bookmarkStart w:id="182" w:name="_Toc153355193"/>
      <w:bookmarkStart w:id="183" w:name="_Toc153355322"/>
      <w:bookmarkStart w:id="184" w:name="_Toc153355560"/>
      <w:bookmarkStart w:id="185" w:name="_Toc158275595"/>
      <w:r w:rsidRPr="0041608F">
        <w:t>I</w:t>
      </w:r>
      <w:r w:rsidR="003D52DD" w:rsidRPr="0041608F">
        <w:t xml:space="preserve">mplementation of the </w:t>
      </w:r>
      <w:bookmarkEnd w:id="168"/>
      <w:r w:rsidR="00285B9D" w:rsidRPr="0041608F">
        <w:t xml:space="preserve">Long-term </w:t>
      </w:r>
      <w:r w:rsidR="00B84D55" w:rsidRPr="0041608F">
        <w:t>CCM</w:t>
      </w:r>
      <w:bookmarkEnd w:id="182"/>
      <w:bookmarkEnd w:id="183"/>
      <w:bookmarkEnd w:id="184"/>
      <w:bookmarkEnd w:id="185"/>
    </w:p>
    <w:p w14:paraId="1F2F176D" w14:textId="77777777" w:rsidR="00A529DD" w:rsidRPr="0041608F" w:rsidRDefault="00A529DD" w:rsidP="008E4773">
      <w:pPr>
        <w:pStyle w:val="ListParagraph"/>
        <w:numPr>
          <w:ilvl w:val="0"/>
          <w:numId w:val="10"/>
        </w:numPr>
        <w:contextualSpacing w:val="0"/>
        <w:jc w:val="both"/>
        <w:rPr>
          <w:rFonts w:cs="Arial"/>
          <w:b w:val="0"/>
          <w:bCs/>
          <w:vanish/>
          <w:lang w:val="en-GB"/>
        </w:rPr>
      </w:pPr>
    </w:p>
    <w:p w14:paraId="24D8932A" w14:textId="2033F14B" w:rsidR="0086621E" w:rsidRPr="0041608F" w:rsidRDefault="003D52DD" w:rsidP="7C5A4A8F">
      <w:pPr>
        <w:pStyle w:val="ListParagraph"/>
        <w:numPr>
          <w:ilvl w:val="1"/>
          <w:numId w:val="10"/>
        </w:numPr>
        <w:jc w:val="both"/>
        <w:rPr>
          <w:rFonts w:cs="Arial"/>
          <w:b w:val="0"/>
          <w:lang w:val="en-GB"/>
        </w:rPr>
      </w:pPr>
      <w:r w:rsidRPr="0041608F">
        <w:rPr>
          <w:rFonts w:cs="Arial"/>
          <w:b w:val="0"/>
          <w:lang w:val="en-GB"/>
        </w:rPr>
        <w:t xml:space="preserve">The TSOs shall </w:t>
      </w:r>
      <w:r w:rsidR="00B50795" w:rsidRPr="0041608F">
        <w:rPr>
          <w:rFonts w:cs="Arial"/>
          <w:b w:val="0"/>
          <w:lang w:val="en-GB"/>
        </w:rPr>
        <w:t>implement</w:t>
      </w:r>
      <w:r w:rsidRPr="0041608F">
        <w:rPr>
          <w:rFonts w:cs="Arial"/>
          <w:b w:val="0"/>
          <w:lang w:val="en-GB"/>
        </w:rPr>
        <w:t xml:space="preserve"> </w:t>
      </w:r>
      <w:r w:rsidR="00E14356" w:rsidRPr="0041608F">
        <w:rPr>
          <w:rFonts w:cs="Arial"/>
          <w:b w:val="0"/>
          <w:lang w:val="en-GB"/>
        </w:rPr>
        <w:t>th</w:t>
      </w:r>
      <w:r w:rsidR="00B50795" w:rsidRPr="0041608F">
        <w:rPr>
          <w:rFonts w:cs="Arial"/>
          <w:b w:val="0"/>
          <w:lang w:val="en-GB"/>
        </w:rPr>
        <w:t>is</w:t>
      </w:r>
      <w:r w:rsidR="0086621E" w:rsidRPr="0041608F">
        <w:rPr>
          <w:rFonts w:cs="Arial"/>
          <w:b w:val="0"/>
          <w:lang w:val="en-GB"/>
        </w:rPr>
        <w:t xml:space="preserve"> </w:t>
      </w:r>
      <w:r w:rsidR="00285B9D" w:rsidRPr="0041608F">
        <w:rPr>
          <w:rFonts w:cs="Arial"/>
          <w:b w:val="0"/>
          <w:lang w:val="en-GB"/>
        </w:rPr>
        <w:t xml:space="preserve">Long-term </w:t>
      </w:r>
      <w:r w:rsidR="00FA7434" w:rsidRPr="0041608F">
        <w:rPr>
          <w:rFonts w:cs="Arial"/>
          <w:b w:val="0"/>
          <w:lang w:val="en-GB"/>
        </w:rPr>
        <w:t xml:space="preserve">CCM </w:t>
      </w:r>
      <w:r w:rsidR="000567B6" w:rsidRPr="0041608F">
        <w:rPr>
          <w:rFonts w:cs="Arial"/>
          <w:b w:val="0"/>
          <w:lang w:val="en-GB"/>
        </w:rPr>
        <w:t>with</w:t>
      </w:r>
      <w:r w:rsidR="00874634" w:rsidRPr="0041608F">
        <w:rPr>
          <w:rFonts w:cs="Arial"/>
          <w:b w:val="0"/>
          <w:lang w:val="en-GB"/>
        </w:rPr>
        <w:t xml:space="preserve">in </w:t>
      </w:r>
      <w:r w:rsidR="006A36B8" w:rsidRPr="0041608F">
        <w:rPr>
          <w:rFonts w:cs="Arial"/>
          <w:b w:val="0"/>
          <w:lang w:val="en-GB"/>
        </w:rPr>
        <w:t xml:space="preserve">6 </w:t>
      </w:r>
      <w:r w:rsidR="00E14356" w:rsidRPr="0041608F">
        <w:rPr>
          <w:rFonts w:cs="Arial"/>
          <w:b w:val="0"/>
          <w:lang w:val="en-GB"/>
        </w:rPr>
        <w:t>months</w:t>
      </w:r>
      <w:r w:rsidR="000154C9" w:rsidRPr="0041608F">
        <w:rPr>
          <w:rFonts w:cs="Arial"/>
          <w:b w:val="0"/>
          <w:lang w:val="en-GB"/>
        </w:rPr>
        <w:t xml:space="preserve"> after</w:t>
      </w:r>
      <w:r w:rsidR="00E14356" w:rsidRPr="0041608F">
        <w:rPr>
          <w:rFonts w:cs="Arial"/>
          <w:b w:val="0"/>
          <w:lang w:val="en-GB"/>
        </w:rPr>
        <w:t xml:space="preserve"> </w:t>
      </w:r>
      <w:r w:rsidR="00AF4BAB" w:rsidRPr="0041608F">
        <w:rPr>
          <w:rFonts w:cs="Arial"/>
          <w:b w:val="0"/>
          <w:lang w:val="en-GB"/>
        </w:rPr>
        <w:t>national regulatory authorities</w:t>
      </w:r>
      <w:r w:rsidR="0041783D" w:rsidRPr="0041608F">
        <w:rPr>
          <w:rFonts w:cs="Arial"/>
          <w:b w:val="0"/>
          <w:lang w:val="en-GB"/>
        </w:rPr>
        <w:t xml:space="preserve"> approv</w:t>
      </w:r>
      <w:r w:rsidR="00805A3C" w:rsidRPr="0041608F">
        <w:rPr>
          <w:rFonts w:cs="Arial"/>
          <w:b w:val="0"/>
          <w:lang w:val="en-GB"/>
        </w:rPr>
        <w:t>al</w:t>
      </w:r>
      <w:r w:rsidR="0041783D" w:rsidRPr="0041608F">
        <w:rPr>
          <w:rFonts w:cs="Arial"/>
          <w:b w:val="0"/>
          <w:lang w:val="en-GB"/>
        </w:rPr>
        <w:t xml:space="preserve"> </w:t>
      </w:r>
      <w:r w:rsidR="00805A3C" w:rsidRPr="0041608F">
        <w:rPr>
          <w:rFonts w:cs="Arial"/>
          <w:b w:val="0"/>
          <w:lang w:val="en-GB"/>
        </w:rPr>
        <w:t xml:space="preserve">of </w:t>
      </w:r>
      <w:r w:rsidR="0041783D" w:rsidRPr="0041608F">
        <w:rPr>
          <w:rFonts w:cs="Arial"/>
          <w:b w:val="0"/>
          <w:lang w:val="en-GB"/>
        </w:rPr>
        <w:t xml:space="preserve">the </w:t>
      </w:r>
      <w:r w:rsidR="00285B9D" w:rsidRPr="0041608F">
        <w:rPr>
          <w:rFonts w:cs="Arial"/>
          <w:b w:val="0"/>
          <w:lang w:val="en-GB"/>
        </w:rPr>
        <w:t xml:space="preserve">Long-term </w:t>
      </w:r>
      <w:r w:rsidR="000154C9" w:rsidRPr="0041608F">
        <w:rPr>
          <w:rFonts w:cs="Arial"/>
          <w:b w:val="0"/>
          <w:lang w:val="en-GB"/>
        </w:rPr>
        <w:t>CCM</w:t>
      </w:r>
      <w:r w:rsidR="0041783D" w:rsidRPr="0041608F">
        <w:rPr>
          <w:rFonts w:cs="Arial"/>
          <w:b w:val="0"/>
          <w:lang w:val="en-GB"/>
        </w:rPr>
        <w:t xml:space="preserve"> </w:t>
      </w:r>
      <w:r w:rsidR="000C6DBF" w:rsidRPr="0041608F">
        <w:rPr>
          <w:rFonts w:cs="Arial"/>
          <w:b w:val="0"/>
          <w:lang w:val="en-GB"/>
        </w:rPr>
        <w:t xml:space="preserve">within the Baltic CCR </w:t>
      </w:r>
      <w:r w:rsidRPr="0041608F">
        <w:rPr>
          <w:rFonts w:cs="Arial"/>
          <w:b w:val="0"/>
          <w:lang w:val="en-GB"/>
        </w:rPr>
        <w:t xml:space="preserve">or a decision has been taken by the Agency for the Cooperation of Energy Regulators in accordance with Article </w:t>
      </w:r>
      <w:r w:rsidR="004E50E1" w:rsidRPr="0041608F">
        <w:rPr>
          <w:rFonts w:cs="Arial"/>
          <w:b w:val="0"/>
          <w:lang w:val="en-GB"/>
        </w:rPr>
        <w:t>4</w:t>
      </w:r>
      <w:r w:rsidRPr="0041608F">
        <w:rPr>
          <w:rFonts w:cs="Arial"/>
          <w:b w:val="0"/>
          <w:lang w:val="en-GB"/>
        </w:rPr>
        <w:t>(</w:t>
      </w:r>
      <w:r w:rsidR="004E50E1" w:rsidRPr="0041608F">
        <w:rPr>
          <w:rFonts w:cs="Arial"/>
          <w:b w:val="0"/>
          <w:lang w:val="en-GB"/>
        </w:rPr>
        <w:t>4</w:t>
      </w:r>
      <w:r w:rsidRPr="0041608F">
        <w:rPr>
          <w:rFonts w:cs="Arial"/>
          <w:b w:val="0"/>
          <w:lang w:val="en-GB"/>
        </w:rPr>
        <w:t xml:space="preserve">) </w:t>
      </w:r>
      <w:r w:rsidR="00C603D4" w:rsidRPr="0041608F">
        <w:rPr>
          <w:rFonts w:cs="Arial"/>
          <w:b w:val="0"/>
          <w:lang w:val="en-GB"/>
        </w:rPr>
        <w:t>and/or Article 4(10)</w:t>
      </w:r>
      <w:r w:rsidR="00B51510" w:rsidRPr="0041608F">
        <w:rPr>
          <w:rFonts w:cs="Arial"/>
          <w:b w:val="0"/>
          <w:lang w:val="en-GB"/>
        </w:rPr>
        <w:t xml:space="preserve"> and/or Article 4(11) </w:t>
      </w:r>
      <w:r w:rsidRPr="0041608F">
        <w:rPr>
          <w:rFonts w:cs="Arial"/>
          <w:b w:val="0"/>
          <w:lang w:val="en-GB"/>
        </w:rPr>
        <w:t xml:space="preserve">of the </w:t>
      </w:r>
      <w:r w:rsidR="004E50E1" w:rsidRPr="0041608F">
        <w:rPr>
          <w:rFonts w:cs="Arial"/>
          <w:b w:val="0"/>
          <w:lang w:val="en-GB"/>
        </w:rPr>
        <w:t>FCA</w:t>
      </w:r>
      <w:r w:rsidRPr="0041608F">
        <w:rPr>
          <w:rFonts w:cs="Arial"/>
          <w:b w:val="0"/>
          <w:lang w:val="en-GB"/>
        </w:rPr>
        <w:t xml:space="preserve"> Regulation</w:t>
      </w:r>
      <w:r w:rsidR="00BC1640" w:rsidRPr="0041608F">
        <w:rPr>
          <w:rFonts w:cs="Arial"/>
          <w:b w:val="0"/>
          <w:lang w:val="en-GB"/>
        </w:rPr>
        <w:t>, but not earlier than</w:t>
      </w:r>
      <w:r w:rsidR="00121D9D" w:rsidRPr="0041608F">
        <w:rPr>
          <w:rFonts w:cs="Arial"/>
          <w:b w:val="0"/>
          <w:lang w:val="en-GB"/>
        </w:rPr>
        <w:t xml:space="preserve"> implementation of the Baltic CCR TSOs’ Common Methodology for Splitting Long-Term Cross-Zonal Capacity in Accordance with Article 16 of FCA</w:t>
      </w:r>
      <w:r w:rsidR="000F0EFE" w:rsidRPr="0041608F">
        <w:rPr>
          <w:rFonts w:cs="Arial"/>
          <w:b w:val="0"/>
          <w:lang w:val="en-GB"/>
        </w:rPr>
        <w:t xml:space="preserve"> Regulation</w:t>
      </w:r>
      <w:r w:rsidR="00F66C2F" w:rsidRPr="0041608F">
        <w:rPr>
          <w:rFonts w:cs="Arial"/>
          <w:b w:val="0"/>
          <w:lang w:val="en-GB"/>
        </w:rPr>
        <w:t xml:space="preserve"> and not earlier than Balti</w:t>
      </w:r>
      <w:r w:rsidR="005E7121" w:rsidRPr="0041608F">
        <w:rPr>
          <w:rFonts w:cs="Arial"/>
          <w:b w:val="0"/>
          <w:lang w:val="en-GB"/>
        </w:rPr>
        <w:t>c states electrical system synchronisation with continental Europe synchronous area</w:t>
      </w:r>
      <w:r w:rsidR="00121D9D" w:rsidRPr="0041608F">
        <w:rPr>
          <w:rFonts w:cs="Arial"/>
          <w:b w:val="0"/>
          <w:lang w:val="en-GB"/>
        </w:rPr>
        <w:t>.</w:t>
      </w:r>
    </w:p>
    <w:p w14:paraId="61F9BAEF" w14:textId="77777777" w:rsidR="000A7033" w:rsidRPr="0041608F" w:rsidRDefault="0061400B" w:rsidP="008E4773">
      <w:pPr>
        <w:pStyle w:val="ListParagraph"/>
        <w:numPr>
          <w:ilvl w:val="1"/>
          <w:numId w:val="10"/>
        </w:numPr>
        <w:contextualSpacing w:val="0"/>
        <w:jc w:val="both"/>
        <w:rPr>
          <w:rFonts w:cs="Arial"/>
          <w:b w:val="0"/>
          <w:bCs/>
          <w:lang w:val="en-GB"/>
        </w:rPr>
      </w:pPr>
      <w:r w:rsidRPr="0041608F">
        <w:rPr>
          <w:rFonts w:cs="Arial"/>
          <w:b w:val="0"/>
          <w:bCs/>
          <w:lang w:val="en-GB"/>
        </w:rPr>
        <w:t>Baltic CCR TSOs’ shall publish Long-term CCM on the internet after approval by the competent regulatory authorities.</w:t>
      </w:r>
    </w:p>
    <w:p w14:paraId="38D33F59" w14:textId="197150D5" w:rsidR="00297718" w:rsidRPr="0041608F" w:rsidRDefault="00297718" w:rsidP="008E4773">
      <w:pPr>
        <w:pStyle w:val="ListParagraph"/>
        <w:numPr>
          <w:ilvl w:val="1"/>
          <w:numId w:val="10"/>
        </w:numPr>
        <w:contextualSpacing w:val="0"/>
        <w:jc w:val="both"/>
        <w:rPr>
          <w:rFonts w:cs="Arial"/>
          <w:b w:val="0"/>
          <w:bCs/>
          <w:lang w:val="en-GB"/>
        </w:rPr>
      </w:pPr>
      <w:r w:rsidRPr="0041608F">
        <w:rPr>
          <w:rFonts w:cs="Arial"/>
          <w:b w:val="0"/>
          <w:bCs/>
          <w:lang w:val="en-GB"/>
        </w:rPr>
        <w:t>Until CCC is ready to perform their functions, capacity calculation and coordination is performed by TSOs related to respective borders.</w:t>
      </w:r>
    </w:p>
    <w:p w14:paraId="239282F5" w14:textId="28680D55" w:rsidR="003D52DD" w:rsidRPr="0041608F" w:rsidRDefault="003D52DD" w:rsidP="004E30D4">
      <w:pPr>
        <w:pStyle w:val="Heading1"/>
      </w:pPr>
      <w:bookmarkStart w:id="186" w:name="_Toc432586786"/>
      <w:bookmarkStart w:id="187" w:name="_Toc432586806"/>
      <w:bookmarkStart w:id="188" w:name="_Toc464485821"/>
      <w:bookmarkStart w:id="189" w:name="_Toc153355194"/>
      <w:bookmarkStart w:id="190" w:name="_Toc153355323"/>
      <w:bookmarkStart w:id="191" w:name="_Toc153355561"/>
      <w:bookmarkStart w:id="192" w:name="_Toc158275596"/>
      <w:r w:rsidRPr="0041608F">
        <w:t>Language</w:t>
      </w:r>
      <w:bookmarkEnd w:id="186"/>
      <w:bookmarkEnd w:id="187"/>
      <w:bookmarkEnd w:id="188"/>
      <w:bookmarkEnd w:id="189"/>
      <w:bookmarkEnd w:id="190"/>
      <w:bookmarkEnd w:id="191"/>
      <w:bookmarkEnd w:id="192"/>
    </w:p>
    <w:p w14:paraId="60DA2C8C" w14:textId="77777777" w:rsidR="00A529DD" w:rsidRPr="0041608F" w:rsidRDefault="00A529DD" w:rsidP="008E4773">
      <w:pPr>
        <w:pStyle w:val="ListParagraph"/>
        <w:numPr>
          <w:ilvl w:val="0"/>
          <w:numId w:val="10"/>
        </w:numPr>
        <w:contextualSpacing w:val="0"/>
        <w:jc w:val="both"/>
        <w:rPr>
          <w:rFonts w:cs="Arial"/>
          <w:b w:val="0"/>
          <w:bCs/>
          <w:vanish/>
          <w:lang w:val="en-GB"/>
        </w:rPr>
      </w:pPr>
    </w:p>
    <w:p w14:paraId="46B6BC88" w14:textId="313BDEAC" w:rsidR="00622B7B" w:rsidRPr="0041608F" w:rsidRDefault="003D52DD" w:rsidP="008E4773">
      <w:pPr>
        <w:pStyle w:val="ListParagraph"/>
        <w:numPr>
          <w:ilvl w:val="1"/>
          <w:numId w:val="10"/>
        </w:numPr>
        <w:contextualSpacing w:val="0"/>
        <w:jc w:val="both"/>
        <w:rPr>
          <w:rFonts w:cs="Arial"/>
          <w:b w:val="0"/>
          <w:bCs/>
          <w:lang w:val="en-GB"/>
        </w:rPr>
      </w:pPr>
      <w:r w:rsidRPr="0041608F">
        <w:rPr>
          <w:rFonts w:cs="Arial"/>
          <w:b w:val="0"/>
          <w:bCs/>
          <w:lang w:val="en-GB"/>
        </w:rPr>
        <w:t xml:space="preserve">The reference language for this </w:t>
      </w:r>
      <w:r w:rsidR="00285B9D" w:rsidRPr="0041608F">
        <w:rPr>
          <w:rFonts w:cs="Arial"/>
          <w:b w:val="0"/>
          <w:bCs/>
          <w:lang w:val="en-GB"/>
        </w:rPr>
        <w:t xml:space="preserve">Long-term </w:t>
      </w:r>
      <w:r w:rsidR="000D6189" w:rsidRPr="0041608F">
        <w:rPr>
          <w:rFonts w:cs="Arial"/>
          <w:b w:val="0"/>
          <w:bCs/>
          <w:lang w:val="en-GB"/>
        </w:rPr>
        <w:t>CCM</w:t>
      </w:r>
      <w:r w:rsidRPr="0041608F">
        <w:rPr>
          <w:rFonts w:cs="Arial"/>
          <w:b w:val="0"/>
          <w:bCs/>
          <w:lang w:val="en-GB"/>
        </w:rPr>
        <w:t xml:space="preserve"> shall be English. For the avoidance of doubt, where TSOs need to translate this</w:t>
      </w:r>
      <w:r w:rsidR="00861CD4" w:rsidRPr="0041608F">
        <w:rPr>
          <w:rFonts w:cs="Arial"/>
          <w:b w:val="0"/>
          <w:bCs/>
          <w:lang w:val="en-GB"/>
        </w:rPr>
        <w:t xml:space="preserve"> </w:t>
      </w:r>
      <w:r w:rsidR="00285B9D" w:rsidRPr="0041608F">
        <w:rPr>
          <w:rFonts w:cs="Arial"/>
          <w:b w:val="0"/>
          <w:bCs/>
          <w:lang w:val="en-GB"/>
        </w:rPr>
        <w:t xml:space="preserve">Long-term </w:t>
      </w:r>
      <w:r w:rsidR="000D6189" w:rsidRPr="0041608F">
        <w:rPr>
          <w:rFonts w:cs="Arial"/>
          <w:b w:val="0"/>
          <w:bCs/>
          <w:lang w:val="en-GB"/>
        </w:rPr>
        <w:t xml:space="preserve">CCM </w:t>
      </w:r>
      <w:r w:rsidRPr="0041608F">
        <w:rPr>
          <w:rFonts w:cs="Arial"/>
          <w:b w:val="0"/>
          <w:bCs/>
          <w:lang w:val="en-GB"/>
        </w:rPr>
        <w:t>into their national language(s), in the event of inconsistencies between the English version published by TSOs in accordance with Article</w:t>
      </w:r>
      <w:r w:rsidR="00173A81" w:rsidRPr="0041608F">
        <w:rPr>
          <w:rFonts w:cs="Arial"/>
          <w:b w:val="0"/>
          <w:bCs/>
          <w:lang w:val="en-GB"/>
        </w:rPr>
        <w:t> </w:t>
      </w:r>
      <w:r w:rsidR="002C769D" w:rsidRPr="0041608F">
        <w:rPr>
          <w:rFonts w:cs="Arial"/>
          <w:b w:val="0"/>
          <w:bCs/>
          <w:lang w:val="en-GB"/>
        </w:rPr>
        <w:t>4</w:t>
      </w:r>
      <w:r w:rsidRPr="0041608F">
        <w:rPr>
          <w:rFonts w:cs="Arial"/>
          <w:b w:val="0"/>
          <w:bCs/>
          <w:lang w:val="en-GB"/>
        </w:rPr>
        <w:t>(1</w:t>
      </w:r>
      <w:r w:rsidR="002C769D" w:rsidRPr="0041608F">
        <w:rPr>
          <w:rFonts w:cs="Arial"/>
          <w:b w:val="0"/>
          <w:bCs/>
          <w:lang w:val="en-GB"/>
        </w:rPr>
        <w:t>3</w:t>
      </w:r>
      <w:r w:rsidRPr="0041608F">
        <w:rPr>
          <w:rFonts w:cs="Arial"/>
          <w:b w:val="0"/>
          <w:bCs/>
          <w:lang w:val="en-GB"/>
        </w:rPr>
        <w:t xml:space="preserve">) of the </w:t>
      </w:r>
      <w:r w:rsidR="002C769D" w:rsidRPr="0041608F">
        <w:rPr>
          <w:rFonts w:cs="Arial"/>
          <w:b w:val="0"/>
          <w:bCs/>
          <w:lang w:val="en-GB"/>
        </w:rPr>
        <w:t xml:space="preserve">FCA </w:t>
      </w:r>
      <w:r w:rsidRPr="0041608F">
        <w:rPr>
          <w:rFonts w:cs="Arial"/>
          <w:b w:val="0"/>
          <w:bCs/>
          <w:lang w:val="en-GB"/>
        </w:rPr>
        <w:t xml:space="preserve">Regulation and any version in another language, the relevant TSOs shall, in accordance with national legislation, provide the relevant national regulatory authorities with an updated translation of the </w:t>
      </w:r>
      <w:bookmarkEnd w:id="169"/>
      <w:r w:rsidR="00285B9D" w:rsidRPr="0041608F">
        <w:rPr>
          <w:rFonts w:cs="Arial"/>
          <w:b w:val="0"/>
          <w:bCs/>
          <w:lang w:val="en-GB"/>
        </w:rPr>
        <w:t xml:space="preserve">Long-term </w:t>
      </w:r>
      <w:r w:rsidR="000D6189" w:rsidRPr="0041608F">
        <w:rPr>
          <w:rFonts w:cs="Arial"/>
          <w:b w:val="0"/>
          <w:bCs/>
          <w:lang w:val="en-GB"/>
        </w:rPr>
        <w:t>CCM</w:t>
      </w:r>
      <w:r w:rsidR="00514E3D" w:rsidRPr="0041608F">
        <w:rPr>
          <w:rFonts w:cs="Arial"/>
          <w:b w:val="0"/>
          <w:bCs/>
          <w:lang w:val="en-GB"/>
        </w:rPr>
        <w:t>.</w:t>
      </w:r>
    </w:p>
    <w:sectPr w:rsidR="00622B7B" w:rsidRPr="0041608F" w:rsidSect="00CD57CE">
      <w:footerReference w:type="default" r:id="rId17"/>
      <w:pgSz w:w="11906" w:h="16838" w:code="9"/>
      <w:pgMar w:top="1440" w:right="1080" w:bottom="1440" w:left="108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6" w:author="Tarmo.Rahmonen" w:date="2024-01-05T11:55:00Z" w:initials="Ta">
    <w:p w14:paraId="1EFC3660" w14:textId="3D1374E5" w:rsidR="004D5721" w:rsidRDefault="004D5721">
      <w:pPr>
        <w:pStyle w:val="CommentText"/>
      </w:pPr>
      <w:r>
        <w:t xml:space="preserve">Issue is with FTR monthly auctions which require that data is published 2 working days before hte gate closure of the monthly allocation process (the auction process). The FTRs auctions happen earliest on the 14th of the month, which would mean that the capacities should be published on 12th of the month. This is quite unrealistic timeschedule, as we do not have the full coordinated outage plan on 12th. </w:t>
      </w:r>
      <w:r>
        <w:rPr>
          <w:rStyle w:val="CommentReference"/>
        </w:rPr>
        <w:annotationRef/>
      </w:r>
    </w:p>
  </w:comment>
  <w:comment w:id="137" w:author="Tarmo.Rahmonen" w:date="2024-01-05T11:56:00Z" w:initials="Ta">
    <w:p w14:paraId="1DD596DC" w14:textId="5012FA9E" w:rsidR="004D5721" w:rsidRDefault="004D5721">
      <w:pPr>
        <w:pStyle w:val="CommentText"/>
      </w:pPr>
      <w:r>
        <w:t>I tried to explain this issue to market department, but we agreed to discuss, if there would be option to move this date earlier somehow or add some additional clause to explain how can we provide sufficient capacity information for the FTR markets.</w:t>
      </w:r>
      <w:r>
        <w:rPr>
          <w:rStyle w:val="CommentReference"/>
        </w:rPr>
        <w:annotationRef/>
      </w:r>
    </w:p>
  </w:comment>
  <w:comment w:id="138" w:author="Tarmo.Rahmonen" w:date="2024-01-05T12:14:00Z" w:initials="Ta">
    <w:p w14:paraId="3BC127B9" w14:textId="3602C552" w:rsidR="004D5721" w:rsidRDefault="004D5721">
      <w:pPr>
        <w:pStyle w:val="CommentText"/>
      </w:pPr>
      <w:r>
        <w:t>In practice the quarterly/yearly capacity calculation results could be used for the monhtly FTR market, but it includes some risks that in case monthly there is reduction of capacity, then TSO pays for the extra FTR.</w:t>
      </w:r>
      <w:r>
        <w:rPr>
          <w:rStyle w:val="CommentReference"/>
        </w:rPr>
        <w:annotationRef/>
      </w:r>
    </w:p>
    <w:p w14:paraId="4EC43575" w14:textId="29AE6CE2" w:rsidR="004D5721" w:rsidRDefault="004D5721">
      <w:pPr>
        <w:pStyle w:val="CommentText"/>
      </w:pPr>
    </w:p>
  </w:comment>
  <w:comment w:id="139" w:author="Tarmo.Rahmonen" w:date="2024-01-05T12:15:00Z" w:initials="Ta">
    <w:p w14:paraId="4044C270" w14:textId="3CD4047C" w:rsidR="004D5721" w:rsidRDefault="004D5721">
      <w:pPr>
        <w:pStyle w:val="CommentText"/>
      </w:pPr>
      <w:r>
        <w:t>Alternative would be to have something similar for EE-LV and EE-FI for monthly as there was difference for yearly capcaities that for Ee-FI and EE-LV the capacities shall be provided latest by 12th of the month with regard that cross-border affecting outages would need to be coordinated more earlier.</w:t>
      </w:r>
      <w:r>
        <w:rPr>
          <w:rStyle w:val="CommentReference"/>
        </w:rPr>
        <w:annotationRef/>
      </w:r>
    </w:p>
    <w:p w14:paraId="3F94DF96" w14:textId="52C3D001" w:rsidR="004D5721" w:rsidRDefault="004D572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C3660" w15:done="1"/>
  <w15:commentEx w15:paraId="1DD596DC" w15:paraIdParent="1EFC3660" w15:done="1"/>
  <w15:commentEx w15:paraId="4EC43575" w15:paraIdParent="1EFC3660" w15:done="1"/>
  <w15:commentEx w15:paraId="3F94DF96" w15:paraIdParent="1EFC366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3F8648" w16cex:dateUtc="2024-01-05T09:55:00Z"/>
  <w16cex:commentExtensible w16cex:durableId="6FA87542" w16cex:dateUtc="2024-01-05T09:56:00Z"/>
  <w16cex:commentExtensible w16cex:durableId="1CE511A5" w16cex:dateUtc="2024-01-05T10:14:00Z"/>
  <w16cex:commentExtensible w16cex:durableId="795B408D" w16cex:dateUtc="2024-01-05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C3660" w16cid:durableId="783F8648"/>
  <w16cid:commentId w16cid:paraId="1DD596DC" w16cid:durableId="6FA87542"/>
  <w16cid:commentId w16cid:paraId="4EC43575" w16cid:durableId="1CE511A5"/>
  <w16cid:commentId w16cid:paraId="3F94DF96" w16cid:durableId="795B40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D9B1" w14:textId="77777777" w:rsidR="00CD57CE" w:rsidRDefault="00CD57CE" w:rsidP="002E09F9">
      <w:r>
        <w:separator/>
      </w:r>
    </w:p>
    <w:p w14:paraId="273F5270" w14:textId="77777777" w:rsidR="00CD57CE" w:rsidRDefault="00CD57CE"/>
  </w:endnote>
  <w:endnote w:type="continuationSeparator" w:id="0">
    <w:p w14:paraId="18189564" w14:textId="77777777" w:rsidR="00CD57CE" w:rsidRDefault="00CD57CE" w:rsidP="002E09F9">
      <w:r>
        <w:continuationSeparator/>
      </w:r>
    </w:p>
    <w:p w14:paraId="0227E497" w14:textId="77777777" w:rsidR="00CD57CE" w:rsidRDefault="00CD57CE"/>
  </w:endnote>
  <w:endnote w:type="continuationNotice" w:id="1">
    <w:p w14:paraId="748EC7C0" w14:textId="77777777" w:rsidR="00CD57CE" w:rsidRDefault="00CD5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59237"/>
      <w:docPartObj>
        <w:docPartGallery w:val="Page Numbers (Bottom of Page)"/>
        <w:docPartUnique/>
      </w:docPartObj>
    </w:sdtPr>
    <w:sdtContent>
      <w:p w14:paraId="7379D752" w14:textId="1E47D571" w:rsidR="004D5721" w:rsidRDefault="004D5721">
        <w:pPr>
          <w:pStyle w:val="Footer"/>
          <w:jc w:val="right"/>
        </w:pPr>
        <w:r>
          <w:fldChar w:fldCharType="begin"/>
        </w:r>
        <w:r>
          <w:instrText>PAGE   \* MERGEFORMAT</w:instrText>
        </w:r>
        <w:r>
          <w:fldChar w:fldCharType="separate"/>
        </w:r>
        <w:r w:rsidR="00030681" w:rsidRPr="00030681">
          <w:rPr>
            <w:noProof/>
            <w:lang w:val="pl-PL"/>
          </w:rPr>
          <w:t>19</w:t>
        </w:r>
        <w:r>
          <w:fldChar w:fldCharType="end"/>
        </w:r>
      </w:p>
    </w:sdtContent>
  </w:sdt>
  <w:p w14:paraId="244662BF" w14:textId="77777777" w:rsidR="004D5721" w:rsidRDefault="004D5721">
    <w:pPr>
      <w:pStyle w:val="Footer"/>
    </w:pPr>
  </w:p>
  <w:p w14:paraId="3B46F9E7" w14:textId="77777777" w:rsidR="004D5721" w:rsidRDefault="004D5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2BD6" w14:textId="77777777" w:rsidR="00CD57CE" w:rsidRDefault="00CD57CE" w:rsidP="002E09F9">
      <w:r>
        <w:separator/>
      </w:r>
    </w:p>
    <w:p w14:paraId="2D556B56" w14:textId="77777777" w:rsidR="00CD57CE" w:rsidRDefault="00CD57CE"/>
  </w:footnote>
  <w:footnote w:type="continuationSeparator" w:id="0">
    <w:p w14:paraId="42C6E075" w14:textId="77777777" w:rsidR="00CD57CE" w:rsidRDefault="00CD57CE" w:rsidP="002E09F9">
      <w:r>
        <w:continuationSeparator/>
      </w:r>
    </w:p>
    <w:p w14:paraId="629DB3F4" w14:textId="77777777" w:rsidR="00CD57CE" w:rsidRDefault="00CD57CE"/>
  </w:footnote>
  <w:footnote w:type="continuationNotice" w:id="1">
    <w:p w14:paraId="3F05B0F6" w14:textId="77777777" w:rsidR="00CD57CE" w:rsidRDefault="00CD57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4E1"/>
    <w:multiLevelType w:val="hybridMultilevel"/>
    <w:tmpl w:val="CA6287C4"/>
    <w:lvl w:ilvl="0" w:tplc="B31CB8DE">
      <w:start w:val="2"/>
      <w:numFmt w:val="bullet"/>
      <w:lvlText w:val="-"/>
      <w:lvlJc w:val="left"/>
      <w:pPr>
        <w:ind w:left="1068" w:hanging="360"/>
      </w:pPr>
      <w:rPr>
        <w:rFonts w:ascii="Calibri" w:eastAsiaTheme="minorHAnsi" w:hAnsi="Calibri" w:cs="Calibri" w:hint="default"/>
        <w:b w:val="0"/>
      </w:rPr>
    </w:lvl>
    <w:lvl w:ilvl="1" w:tplc="6DEEA86A">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29A088C"/>
    <w:multiLevelType w:val="multilevel"/>
    <w:tmpl w:val="709EF706"/>
    <w:lvl w:ilvl="0">
      <w:start w:val="17"/>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7B26E66"/>
    <w:multiLevelType w:val="multilevel"/>
    <w:tmpl w:val="9E942BE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8A12E40"/>
    <w:multiLevelType w:val="multilevel"/>
    <w:tmpl w:val="F11EA5F0"/>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98E2D1C"/>
    <w:multiLevelType w:val="multilevel"/>
    <w:tmpl w:val="F11EA5F0"/>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02A6098"/>
    <w:multiLevelType w:val="hybridMultilevel"/>
    <w:tmpl w:val="3CEA2708"/>
    <w:lvl w:ilvl="0" w:tplc="CB481F1E">
      <w:start w:val="1"/>
      <w:numFmt w:val="decimal"/>
      <w:lvlText w:val="(%1)"/>
      <w:lvlJc w:val="left"/>
      <w:pPr>
        <w:ind w:left="1068" w:hanging="360"/>
      </w:pPr>
      <w:rPr>
        <w:rFonts w:hint="default"/>
        <w:b w:val="0"/>
      </w:rPr>
    </w:lvl>
    <w:lvl w:ilvl="1" w:tplc="6DEEA86A">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32936B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3D68DD"/>
    <w:multiLevelType w:val="multilevel"/>
    <w:tmpl w:val="339676E4"/>
    <w:lvl w:ilvl="0">
      <w:start w:val="1"/>
      <w:numFmt w:val="lowerRoman"/>
      <w:lvlText w:val="%1."/>
      <w:lvlJc w:val="right"/>
      <w:pPr>
        <w:ind w:left="1080" w:hanging="360"/>
      </w:pPr>
    </w:lvl>
    <w:lvl w:ilvl="1">
      <w:start w:val="1"/>
      <w:numFmt w:val="decimal"/>
      <w:lvlText w:val="%1."/>
      <w:lvlJc w:val="left"/>
      <w:pPr>
        <w:ind w:left="1152"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727786F"/>
    <w:multiLevelType w:val="multilevel"/>
    <w:tmpl w:val="F11EA5F0"/>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A503605"/>
    <w:multiLevelType w:val="hybridMultilevel"/>
    <w:tmpl w:val="4E22E56C"/>
    <w:lvl w:ilvl="0" w:tplc="04260017">
      <w:start w:val="1"/>
      <w:numFmt w:val="lowerLetter"/>
      <w:lvlText w:val="%1)"/>
      <w:lvlJc w:val="left"/>
      <w:pPr>
        <w:ind w:left="1644" w:hanging="360"/>
      </w:pPr>
    </w:lvl>
    <w:lvl w:ilvl="1" w:tplc="04260019">
      <w:start w:val="1"/>
      <w:numFmt w:val="lowerLetter"/>
      <w:lvlText w:val="%2."/>
      <w:lvlJc w:val="left"/>
      <w:pPr>
        <w:ind w:left="2364" w:hanging="360"/>
      </w:pPr>
    </w:lvl>
    <w:lvl w:ilvl="2" w:tplc="0426001B" w:tentative="1">
      <w:start w:val="1"/>
      <w:numFmt w:val="lowerRoman"/>
      <w:lvlText w:val="%3."/>
      <w:lvlJc w:val="right"/>
      <w:pPr>
        <w:ind w:left="3084" w:hanging="180"/>
      </w:pPr>
    </w:lvl>
    <w:lvl w:ilvl="3" w:tplc="0426000F" w:tentative="1">
      <w:start w:val="1"/>
      <w:numFmt w:val="decimal"/>
      <w:lvlText w:val="%4."/>
      <w:lvlJc w:val="left"/>
      <w:pPr>
        <w:ind w:left="3804" w:hanging="360"/>
      </w:pPr>
    </w:lvl>
    <w:lvl w:ilvl="4" w:tplc="04260019" w:tentative="1">
      <w:start w:val="1"/>
      <w:numFmt w:val="lowerLetter"/>
      <w:lvlText w:val="%5."/>
      <w:lvlJc w:val="left"/>
      <w:pPr>
        <w:ind w:left="4524" w:hanging="360"/>
      </w:pPr>
    </w:lvl>
    <w:lvl w:ilvl="5" w:tplc="0426001B" w:tentative="1">
      <w:start w:val="1"/>
      <w:numFmt w:val="lowerRoman"/>
      <w:lvlText w:val="%6."/>
      <w:lvlJc w:val="right"/>
      <w:pPr>
        <w:ind w:left="5244" w:hanging="180"/>
      </w:pPr>
    </w:lvl>
    <w:lvl w:ilvl="6" w:tplc="0426000F" w:tentative="1">
      <w:start w:val="1"/>
      <w:numFmt w:val="decimal"/>
      <w:lvlText w:val="%7."/>
      <w:lvlJc w:val="left"/>
      <w:pPr>
        <w:ind w:left="5964" w:hanging="360"/>
      </w:pPr>
    </w:lvl>
    <w:lvl w:ilvl="7" w:tplc="04260019" w:tentative="1">
      <w:start w:val="1"/>
      <w:numFmt w:val="lowerLetter"/>
      <w:lvlText w:val="%8."/>
      <w:lvlJc w:val="left"/>
      <w:pPr>
        <w:ind w:left="6684" w:hanging="360"/>
      </w:pPr>
    </w:lvl>
    <w:lvl w:ilvl="8" w:tplc="0426001B" w:tentative="1">
      <w:start w:val="1"/>
      <w:numFmt w:val="lowerRoman"/>
      <w:lvlText w:val="%9."/>
      <w:lvlJc w:val="right"/>
      <w:pPr>
        <w:ind w:left="7404" w:hanging="180"/>
      </w:pPr>
    </w:lvl>
  </w:abstractNum>
  <w:abstractNum w:abstractNumId="10" w15:restartNumberingAfterBreak="0">
    <w:nsid w:val="2B047889"/>
    <w:multiLevelType w:val="multilevel"/>
    <w:tmpl w:val="8C7CE4A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E23DC4"/>
    <w:multiLevelType w:val="multilevel"/>
    <w:tmpl w:val="9E942BE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82821B9"/>
    <w:multiLevelType w:val="multilevel"/>
    <w:tmpl w:val="339676E4"/>
    <w:lvl w:ilvl="0">
      <w:start w:val="1"/>
      <w:numFmt w:val="lowerRoman"/>
      <w:lvlText w:val="%1."/>
      <w:lvlJc w:val="right"/>
      <w:pPr>
        <w:ind w:left="1080" w:hanging="360"/>
      </w:pPr>
    </w:lvl>
    <w:lvl w:ilvl="1">
      <w:start w:val="1"/>
      <w:numFmt w:val="decimal"/>
      <w:lvlText w:val="%1."/>
      <w:lvlJc w:val="left"/>
      <w:pPr>
        <w:ind w:left="1152"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3C735215"/>
    <w:multiLevelType w:val="multilevel"/>
    <w:tmpl w:val="6D5C04DE"/>
    <w:lvl w:ilvl="0">
      <w:start w:val="7"/>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CD16167"/>
    <w:multiLevelType w:val="multilevel"/>
    <w:tmpl w:val="9E942BE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FB37670"/>
    <w:multiLevelType w:val="multilevel"/>
    <w:tmpl w:val="F11EA5F0"/>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20D33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681087"/>
    <w:multiLevelType w:val="hybridMultilevel"/>
    <w:tmpl w:val="8196DE5E"/>
    <w:lvl w:ilvl="0" w:tplc="EBE8BB22">
      <w:start w:val="1"/>
      <w:numFmt w:val="decimal"/>
      <w:pStyle w:val="HeadingforCross-zone"/>
      <w:lvlText w:val="8.%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F933D9"/>
    <w:multiLevelType w:val="multilevel"/>
    <w:tmpl w:val="F11EA5F0"/>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BE5597E"/>
    <w:multiLevelType w:val="multilevel"/>
    <w:tmpl w:val="9E942BE4"/>
    <w:lvl w:ilvl="0">
      <w:start w:val="1"/>
      <w:numFmt w:val="decimal"/>
      <w:lvlText w:val="%1."/>
      <w:lvlJc w:val="left"/>
      <w:pPr>
        <w:ind w:left="0" w:firstLine="0"/>
      </w:pPr>
      <w:rPr>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C3F4E38"/>
    <w:multiLevelType w:val="multilevel"/>
    <w:tmpl w:val="9E942BE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BCC78B1"/>
    <w:multiLevelType w:val="multilevel"/>
    <w:tmpl w:val="F914FB74"/>
    <w:lvl w:ilvl="0">
      <w:start w:val="1"/>
      <w:numFmt w:val="decimal"/>
      <w:lvlText w:val="%1."/>
      <w:lvlJc w:val="left"/>
      <w:pPr>
        <w:ind w:left="360" w:hanging="360"/>
      </w:pPr>
    </w:lvl>
    <w:lvl w:ilvl="1">
      <w:start w:val="1"/>
      <w:numFmt w:val="decimal"/>
      <w:lvlText w:val="%1."/>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051A18"/>
    <w:multiLevelType w:val="multilevel"/>
    <w:tmpl w:val="F11EA5F0"/>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8F347B7"/>
    <w:multiLevelType w:val="multilevel"/>
    <w:tmpl w:val="9E942BE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7AEB544B"/>
    <w:multiLevelType w:val="hybridMultilevel"/>
    <w:tmpl w:val="2C2A95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D5B652D"/>
    <w:multiLevelType w:val="multilevel"/>
    <w:tmpl w:val="9E942BE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7F024F47"/>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573389866">
    <w:abstractNumId w:val="5"/>
  </w:num>
  <w:num w:numId="2" w16cid:durableId="896284734">
    <w:abstractNumId w:val="9"/>
  </w:num>
  <w:num w:numId="3" w16cid:durableId="2104376814">
    <w:abstractNumId w:val="0"/>
  </w:num>
  <w:num w:numId="4" w16cid:durableId="5986830">
    <w:abstractNumId w:val="17"/>
  </w:num>
  <w:num w:numId="5" w16cid:durableId="1489635608">
    <w:abstractNumId w:val="10"/>
  </w:num>
  <w:num w:numId="6" w16cid:durableId="1783916844">
    <w:abstractNumId w:val="4"/>
  </w:num>
  <w:num w:numId="7" w16cid:durableId="1767077347">
    <w:abstractNumId w:val="2"/>
  </w:num>
  <w:num w:numId="8" w16cid:durableId="850685996">
    <w:abstractNumId w:val="23"/>
  </w:num>
  <w:num w:numId="9" w16cid:durableId="1488089987">
    <w:abstractNumId w:val="19"/>
  </w:num>
  <w:num w:numId="10" w16cid:durableId="2081831399">
    <w:abstractNumId w:val="18"/>
  </w:num>
  <w:num w:numId="11" w16cid:durableId="85927562">
    <w:abstractNumId w:val="15"/>
  </w:num>
  <w:num w:numId="12" w16cid:durableId="162401991">
    <w:abstractNumId w:val="20"/>
  </w:num>
  <w:num w:numId="13" w16cid:durableId="358090674">
    <w:abstractNumId w:val="25"/>
  </w:num>
  <w:num w:numId="14" w16cid:durableId="1760364728">
    <w:abstractNumId w:val="26"/>
  </w:num>
  <w:num w:numId="15" w16cid:durableId="736365572">
    <w:abstractNumId w:val="14"/>
  </w:num>
  <w:num w:numId="16" w16cid:durableId="1087310612">
    <w:abstractNumId w:val="22"/>
  </w:num>
  <w:num w:numId="17" w16cid:durableId="1289821066">
    <w:abstractNumId w:val="11"/>
  </w:num>
  <w:num w:numId="18" w16cid:durableId="1397050653">
    <w:abstractNumId w:val="13"/>
  </w:num>
  <w:num w:numId="19" w16cid:durableId="227033413">
    <w:abstractNumId w:val="21"/>
  </w:num>
  <w:num w:numId="20" w16cid:durableId="1262448692">
    <w:abstractNumId w:val="7"/>
  </w:num>
  <w:num w:numId="21" w16cid:durableId="1968663940">
    <w:abstractNumId w:val="8"/>
  </w:num>
  <w:num w:numId="22" w16cid:durableId="1356037191">
    <w:abstractNumId w:val="12"/>
  </w:num>
  <w:num w:numId="23" w16cid:durableId="313534760">
    <w:abstractNumId w:val="26"/>
  </w:num>
  <w:num w:numId="24" w16cid:durableId="687560968">
    <w:abstractNumId w:val="16"/>
  </w:num>
  <w:num w:numId="25" w16cid:durableId="908033210">
    <w:abstractNumId w:val="3"/>
  </w:num>
  <w:num w:numId="26" w16cid:durableId="2028873420">
    <w:abstractNumId w:val="24"/>
  </w:num>
  <w:num w:numId="27" w16cid:durableId="1897546386">
    <w:abstractNumId w:val="26"/>
  </w:num>
  <w:num w:numId="28" w16cid:durableId="747070258">
    <w:abstractNumId w:val="26"/>
  </w:num>
  <w:num w:numId="29" w16cid:durableId="2036148614">
    <w:abstractNumId w:val="6"/>
  </w:num>
  <w:num w:numId="30" w16cid:durableId="159276019">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mo.Rahmonen">
    <w15:presenceInfo w15:providerId="AD" w15:userId="S::tarmo.rahmonen_elering.ee#ext#@litgrid.onmicrosoft.com::234090bb-dd83-46f5-9b63-a5fc41e8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A3"/>
    <w:rsid w:val="0000122B"/>
    <w:rsid w:val="0000145C"/>
    <w:rsid w:val="00002941"/>
    <w:rsid w:val="000049AC"/>
    <w:rsid w:val="0000653B"/>
    <w:rsid w:val="00006BB0"/>
    <w:rsid w:val="000072AC"/>
    <w:rsid w:val="0001009B"/>
    <w:rsid w:val="00010BAD"/>
    <w:rsid w:val="00011FC9"/>
    <w:rsid w:val="000121B4"/>
    <w:rsid w:val="000130EA"/>
    <w:rsid w:val="000143D3"/>
    <w:rsid w:val="00014736"/>
    <w:rsid w:val="000154C9"/>
    <w:rsid w:val="00017F20"/>
    <w:rsid w:val="00021672"/>
    <w:rsid w:val="00022293"/>
    <w:rsid w:val="00022352"/>
    <w:rsid w:val="0002297B"/>
    <w:rsid w:val="000248FB"/>
    <w:rsid w:val="00024E26"/>
    <w:rsid w:val="000258AA"/>
    <w:rsid w:val="000261DD"/>
    <w:rsid w:val="00027E01"/>
    <w:rsid w:val="00030681"/>
    <w:rsid w:val="00030AF7"/>
    <w:rsid w:val="0003122B"/>
    <w:rsid w:val="0003166B"/>
    <w:rsid w:val="00031FB1"/>
    <w:rsid w:val="00032391"/>
    <w:rsid w:val="00032644"/>
    <w:rsid w:val="000327BC"/>
    <w:rsid w:val="00032CE5"/>
    <w:rsid w:val="00032E70"/>
    <w:rsid w:val="0003410A"/>
    <w:rsid w:val="00034F0F"/>
    <w:rsid w:val="000350AA"/>
    <w:rsid w:val="00035AE2"/>
    <w:rsid w:val="00035B1A"/>
    <w:rsid w:val="00036C22"/>
    <w:rsid w:val="0003747E"/>
    <w:rsid w:val="00040419"/>
    <w:rsid w:val="0004209E"/>
    <w:rsid w:val="000426BB"/>
    <w:rsid w:val="000445AE"/>
    <w:rsid w:val="0004463D"/>
    <w:rsid w:val="000447BD"/>
    <w:rsid w:val="00044B37"/>
    <w:rsid w:val="00045EFF"/>
    <w:rsid w:val="00047B33"/>
    <w:rsid w:val="00050DBE"/>
    <w:rsid w:val="00052570"/>
    <w:rsid w:val="00052785"/>
    <w:rsid w:val="00052DB8"/>
    <w:rsid w:val="00053F46"/>
    <w:rsid w:val="00054508"/>
    <w:rsid w:val="00054CD5"/>
    <w:rsid w:val="00054D60"/>
    <w:rsid w:val="00055696"/>
    <w:rsid w:val="00055850"/>
    <w:rsid w:val="000567B6"/>
    <w:rsid w:val="000575A3"/>
    <w:rsid w:val="0006128C"/>
    <w:rsid w:val="00061630"/>
    <w:rsid w:val="000616AC"/>
    <w:rsid w:val="00062718"/>
    <w:rsid w:val="00062A14"/>
    <w:rsid w:val="00062D30"/>
    <w:rsid w:val="000657AE"/>
    <w:rsid w:val="00065B6B"/>
    <w:rsid w:val="00065E08"/>
    <w:rsid w:val="000674C2"/>
    <w:rsid w:val="000712EF"/>
    <w:rsid w:val="00071732"/>
    <w:rsid w:val="00071AFA"/>
    <w:rsid w:val="00076198"/>
    <w:rsid w:val="0007775F"/>
    <w:rsid w:val="00077E99"/>
    <w:rsid w:val="00080EB6"/>
    <w:rsid w:val="000817DD"/>
    <w:rsid w:val="00081AA0"/>
    <w:rsid w:val="00081CBD"/>
    <w:rsid w:val="00082335"/>
    <w:rsid w:val="000826DF"/>
    <w:rsid w:val="00082700"/>
    <w:rsid w:val="00084B7F"/>
    <w:rsid w:val="00085283"/>
    <w:rsid w:val="00087196"/>
    <w:rsid w:val="00087B9D"/>
    <w:rsid w:val="00091420"/>
    <w:rsid w:val="00091BBA"/>
    <w:rsid w:val="000922BF"/>
    <w:rsid w:val="000939F0"/>
    <w:rsid w:val="00094844"/>
    <w:rsid w:val="0009537B"/>
    <w:rsid w:val="0009551E"/>
    <w:rsid w:val="00097324"/>
    <w:rsid w:val="000973F9"/>
    <w:rsid w:val="000975D3"/>
    <w:rsid w:val="000A020C"/>
    <w:rsid w:val="000A02A7"/>
    <w:rsid w:val="000A0A64"/>
    <w:rsid w:val="000A1495"/>
    <w:rsid w:val="000A1774"/>
    <w:rsid w:val="000A29D6"/>
    <w:rsid w:val="000A527B"/>
    <w:rsid w:val="000A6DD6"/>
    <w:rsid w:val="000A7033"/>
    <w:rsid w:val="000B1719"/>
    <w:rsid w:val="000B301C"/>
    <w:rsid w:val="000B3129"/>
    <w:rsid w:val="000B4903"/>
    <w:rsid w:val="000B53F2"/>
    <w:rsid w:val="000C10DB"/>
    <w:rsid w:val="000C282A"/>
    <w:rsid w:val="000C2F9D"/>
    <w:rsid w:val="000C5082"/>
    <w:rsid w:val="000C66F2"/>
    <w:rsid w:val="000C6DBF"/>
    <w:rsid w:val="000C7CED"/>
    <w:rsid w:val="000D0626"/>
    <w:rsid w:val="000D0E0D"/>
    <w:rsid w:val="000D19B7"/>
    <w:rsid w:val="000D3BF9"/>
    <w:rsid w:val="000D43D7"/>
    <w:rsid w:val="000D4905"/>
    <w:rsid w:val="000D5717"/>
    <w:rsid w:val="000D59B0"/>
    <w:rsid w:val="000D5C48"/>
    <w:rsid w:val="000D5E3C"/>
    <w:rsid w:val="000D6189"/>
    <w:rsid w:val="000D6632"/>
    <w:rsid w:val="000D6C14"/>
    <w:rsid w:val="000D6F3B"/>
    <w:rsid w:val="000D72D5"/>
    <w:rsid w:val="000E113F"/>
    <w:rsid w:val="000E182F"/>
    <w:rsid w:val="000E18F1"/>
    <w:rsid w:val="000E1A9F"/>
    <w:rsid w:val="000E2864"/>
    <w:rsid w:val="000E351C"/>
    <w:rsid w:val="000E36FC"/>
    <w:rsid w:val="000E3DB0"/>
    <w:rsid w:val="000E3F56"/>
    <w:rsid w:val="000E437C"/>
    <w:rsid w:val="000E497D"/>
    <w:rsid w:val="000E4C3C"/>
    <w:rsid w:val="000E695C"/>
    <w:rsid w:val="000E6D91"/>
    <w:rsid w:val="000F0346"/>
    <w:rsid w:val="000F046A"/>
    <w:rsid w:val="000F04EC"/>
    <w:rsid w:val="000F0EFE"/>
    <w:rsid w:val="000F2911"/>
    <w:rsid w:val="000F35EE"/>
    <w:rsid w:val="000F371D"/>
    <w:rsid w:val="000F3C37"/>
    <w:rsid w:val="000F3F9A"/>
    <w:rsid w:val="000F5D95"/>
    <w:rsid w:val="000F5DE5"/>
    <w:rsid w:val="000F6316"/>
    <w:rsid w:val="000F6BA0"/>
    <w:rsid w:val="000F73F9"/>
    <w:rsid w:val="001004C9"/>
    <w:rsid w:val="00100713"/>
    <w:rsid w:val="00101045"/>
    <w:rsid w:val="00105C46"/>
    <w:rsid w:val="001062A6"/>
    <w:rsid w:val="00107D14"/>
    <w:rsid w:val="00110B39"/>
    <w:rsid w:val="00112081"/>
    <w:rsid w:val="00112117"/>
    <w:rsid w:val="001121D0"/>
    <w:rsid w:val="0011276E"/>
    <w:rsid w:val="00114417"/>
    <w:rsid w:val="00114419"/>
    <w:rsid w:val="00114892"/>
    <w:rsid w:val="00115069"/>
    <w:rsid w:val="0011557F"/>
    <w:rsid w:val="00115891"/>
    <w:rsid w:val="00115A56"/>
    <w:rsid w:val="001167B5"/>
    <w:rsid w:val="00116AB3"/>
    <w:rsid w:val="001175A6"/>
    <w:rsid w:val="00117F9C"/>
    <w:rsid w:val="00120CDF"/>
    <w:rsid w:val="00120E3E"/>
    <w:rsid w:val="00121719"/>
    <w:rsid w:val="00121D9D"/>
    <w:rsid w:val="00124344"/>
    <w:rsid w:val="001257F6"/>
    <w:rsid w:val="001261F3"/>
    <w:rsid w:val="00127427"/>
    <w:rsid w:val="0012743B"/>
    <w:rsid w:val="0012748D"/>
    <w:rsid w:val="00130B31"/>
    <w:rsid w:val="00130DCC"/>
    <w:rsid w:val="001323D4"/>
    <w:rsid w:val="00133BAA"/>
    <w:rsid w:val="001351A0"/>
    <w:rsid w:val="0013767F"/>
    <w:rsid w:val="00140C1D"/>
    <w:rsid w:val="00141F77"/>
    <w:rsid w:val="00145CAE"/>
    <w:rsid w:val="00145DF9"/>
    <w:rsid w:val="001466DF"/>
    <w:rsid w:val="001469E6"/>
    <w:rsid w:val="00150307"/>
    <w:rsid w:val="00151C38"/>
    <w:rsid w:val="00152095"/>
    <w:rsid w:val="00152115"/>
    <w:rsid w:val="00154607"/>
    <w:rsid w:val="00155E48"/>
    <w:rsid w:val="00156B35"/>
    <w:rsid w:val="00156F42"/>
    <w:rsid w:val="00161293"/>
    <w:rsid w:val="00162DEE"/>
    <w:rsid w:val="0016500A"/>
    <w:rsid w:val="001665D3"/>
    <w:rsid w:val="00167685"/>
    <w:rsid w:val="0016791D"/>
    <w:rsid w:val="00170E55"/>
    <w:rsid w:val="0017112C"/>
    <w:rsid w:val="0017178C"/>
    <w:rsid w:val="0017189E"/>
    <w:rsid w:val="001727A0"/>
    <w:rsid w:val="00172A36"/>
    <w:rsid w:val="00173A15"/>
    <w:rsid w:val="00173A81"/>
    <w:rsid w:val="00173B65"/>
    <w:rsid w:val="0017450B"/>
    <w:rsid w:val="00175819"/>
    <w:rsid w:val="00176191"/>
    <w:rsid w:val="00176683"/>
    <w:rsid w:val="00180DDC"/>
    <w:rsid w:val="00181085"/>
    <w:rsid w:val="00181113"/>
    <w:rsid w:val="001829F8"/>
    <w:rsid w:val="0018340B"/>
    <w:rsid w:val="00185291"/>
    <w:rsid w:val="00186AF2"/>
    <w:rsid w:val="00187919"/>
    <w:rsid w:val="00187F1F"/>
    <w:rsid w:val="00187F93"/>
    <w:rsid w:val="001913F4"/>
    <w:rsid w:val="001916FB"/>
    <w:rsid w:val="00191E2E"/>
    <w:rsid w:val="001929A0"/>
    <w:rsid w:val="001937F8"/>
    <w:rsid w:val="00193F70"/>
    <w:rsid w:val="00194933"/>
    <w:rsid w:val="001959AC"/>
    <w:rsid w:val="001959F6"/>
    <w:rsid w:val="00196575"/>
    <w:rsid w:val="00197A1D"/>
    <w:rsid w:val="001A0309"/>
    <w:rsid w:val="001A03F7"/>
    <w:rsid w:val="001A045C"/>
    <w:rsid w:val="001A0E66"/>
    <w:rsid w:val="001A1C37"/>
    <w:rsid w:val="001A30F2"/>
    <w:rsid w:val="001A373F"/>
    <w:rsid w:val="001A42A1"/>
    <w:rsid w:val="001A498A"/>
    <w:rsid w:val="001A543C"/>
    <w:rsid w:val="001A584B"/>
    <w:rsid w:val="001A652B"/>
    <w:rsid w:val="001B05C8"/>
    <w:rsid w:val="001B0B03"/>
    <w:rsid w:val="001B0C63"/>
    <w:rsid w:val="001B2AE3"/>
    <w:rsid w:val="001B2BBE"/>
    <w:rsid w:val="001B334E"/>
    <w:rsid w:val="001B4076"/>
    <w:rsid w:val="001B4168"/>
    <w:rsid w:val="001C080C"/>
    <w:rsid w:val="001C0A8D"/>
    <w:rsid w:val="001C0EC3"/>
    <w:rsid w:val="001C1813"/>
    <w:rsid w:val="001C200A"/>
    <w:rsid w:val="001C30F9"/>
    <w:rsid w:val="001C440B"/>
    <w:rsid w:val="001C4E31"/>
    <w:rsid w:val="001C58E5"/>
    <w:rsid w:val="001C715C"/>
    <w:rsid w:val="001C77D4"/>
    <w:rsid w:val="001D0009"/>
    <w:rsid w:val="001D0703"/>
    <w:rsid w:val="001D1165"/>
    <w:rsid w:val="001D16FC"/>
    <w:rsid w:val="001D171B"/>
    <w:rsid w:val="001D3495"/>
    <w:rsid w:val="001D4352"/>
    <w:rsid w:val="001D552F"/>
    <w:rsid w:val="001D637F"/>
    <w:rsid w:val="001D67D3"/>
    <w:rsid w:val="001D758D"/>
    <w:rsid w:val="001E02BA"/>
    <w:rsid w:val="001E0EEF"/>
    <w:rsid w:val="001E50A5"/>
    <w:rsid w:val="001E53B8"/>
    <w:rsid w:val="001E57F0"/>
    <w:rsid w:val="001E5CDF"/>
    <w:rsid w:val="001E5E63"/>
    <w:rsid w:val="001E6392"/>
    <w:rsid w:val="001E7680"/>
    <w:rsid w:val="001E7869"/>
    <w:rsid w:val="001E7E9A"/>
    <w:rsid w:val="001F0370"/>
    <w:rsid w:val="001F05DC"/>
    <w:rsid w:val="001F06E5"/>
    <w:rsid w:val="001F2817"/>
    <w:rsid w:val="001F3008"/>
    <w:rsid w:val="001F3D46"/>
    <w:rsid w:val="001F4AA1"/>
    <w:rsid w:val="001F568D"/>
    <w:rsid w:val="001F5EAD"/>
    <w:rsid w:val="001F6149"/>
    <w:rsid w:val="001F6587"/>
    <w:rsid w:val="001F6B1E"/>
    <w:rsid w:val="001F77CC"/>
    <w:rsid w:val="0020145B"/>
    <w:rsid w:val="00202643"/>
    <w:rsid w:val="0020366A"/>
    <w:rsid w:val="00203BC3"/>
    <w:rsid w:val="00205AC0"/>
    <w:rsid w:val="002065C1"/>
    <w:rsid w:val="00207784"/>
    <w:rsid w:val="002102AA"/>
    <w:rsid w:val="0021049A"/>
    <w:rsid w:val="00211CA4"/>
    <w:rsid w:val="00212185"/>
    <w:rsid w:val="00212A00"/>
    <w:rsid w:val="00212BE1"/>
    <w:rsid w:val="00213286"/>
    <w:rsid w:val="00213344"/>
    <w:rsid w:val="0021387E"/>
    <w:rsid w:val="0021413A"/>
    <w:rsid w:val="00214CF7"/>
    <w:rsid w:val="002150AA"/>
    <w:rsid w:val="00215553"/>
    <w:rsid w:val="002159DA"/>
    <w:rsid w:val="00220666"/>
    <w:rsid w:val="00220AF2"/>
    <w:rsid w:val="0022102D"/>
    <w:rsid w:val="00221F79"/>
    <w:rsid w:val="00222CC3"/>
    <w:rsid w:val="002230CC"/>
    <w:rsid w:val="00223531"/>
    <w:rsid w:val="00223857"/>
    <w:rsid w:val="00223D01"/>
    <w:rsid w:val="00223FD6"/>
    <w:rsid w:val="00224177"/>
    <w:rsid w:val="00225A5B"/>
    <w:rsid w:val="00226D57"/>
    <w:rsid w:val="00230D93"/>
    <w:rsid w:val="0023116E"/>
    <w:rsid w:val="00232A69"/>
    <w:rsid w:val="00234613"/>
    <w:rsid w:val="00234FA4"/>
    <w:rsid w:val="00235F54"/>
    <w:rsid w:val="00236144"/>
    <w:rsid w:val="002364E8"/>
    <w:rsid w:val="00236AB5"/>
    <w:rsid w:val="00240D42"/>
    <w:rsid w:val="002420ED"/>
    <w:rsid w:val="00243BE0"/>
    <w:rsid w:val="00245E1D"/>
    <w:rsid w:val="00251951"/>
    <w:rsid w:val="00251BAB"/>
    <w:rsid w:val="00252DEA"/>
    <w:rsid w:val="00255AC2"/>
    <w:rsid w:val="002571F8"/>
    <w:rsid w:val="00257BC6"/>
    <w:rsid w:val="00260496"/>
    <w:rsid w:val="002608EC"/>
    <w:rsid w:val="00260F5E"/>
    <w:rsid w:val="00262496"/>
    <w:rsid w:val="0026307D"/>
    <w:rsid w:val="002631E2"/>
    <w:rsid w:val="00264396"/>
    <w:rsid w:val="002647C2"/>
    <w:rsid w:val="00264E35"/>
    <w:rsid w:val="002651A2"/>
    <w:rsid w:val="00266E39"/>
    <w:rsid w:val="002708DD"/>
    <w:rsid w:val="0027110C"/>
    <w:rsid w:val="002712CC"/>
    <w:rsid w:val="00271402"/>
    <w:rsid w:val="00271A26"/>
    <w:rsid w:val="00271F2B"/>
    <w:rsid w:val="0027206B"/>
    <w:rsid w:val="00272253"/>
    <w:rsid w:val="0027314C"/>
    <w:rsid w:val="0027497F"/>
    <w:rsid w:val="002753CF"/>
    <w:rsid w:val="00276988"/>
    <w:rsid w:val="00276D68"/>
    <w:rsid w:val="00277087"/>
    <w:rsid w:val="00277089"/>
    <w:rsid w:val="00277CB5"/>
    <w:rsid w:val="00280663"/>
    <w:rsid w:val="0028127F"/>
    <w:rsid w:val="00283F68"/>
    <w:rsid w:val="00284F10"/>
    <w:rsid w:val="00285B65"/>
    <w:rsid w:val="00285B9D"/>
    <w:rsid w:val="00285BEE"/>
    <w:rsid w:val="002866D1"/>
    <w:rsid w:val="00290AE3"/>
    <w:rsid w:val="00291BFB"/>
    <w:rsid w:val="00291EBC"/>
    <w:rsid w:val="00292516"/>
    <w:rsid w:val="0029302C"/>
    <w:rsid w:val="00293E30"/>
    <w:rsid w:val="00294D54"/>
    <w:rsid w:val="00294E93"/>
    <w:rsid w:val="002951BA"/>
    <w:rsid w:val="00297343"/>
    <w:rsid w:val="00297718"/>
    <w:rsid w:val="002A1D69"/>
    <w:rsid w:val="002A21FC"/>
    <w:rsid w:val="002A2674"/>
    <w:rsid w:val="002A2C42"/>
    <w:rsid w:val="002A3582"/>
    <w:rsid w:val="002A629E"/>
    <w:rsid w:val="002A6307"/>
    <w:rsid w:val="002A6C63"/>
    <w:rsid w:val="002B0E1C"/>
    <w:rsid w:val="002B148E"/>
    <w:rsid w:val="002B349F"/>
    <w:rsid w:val="002B3ED9"/>
    <w:rsid w:val="002B414D"/>
    <w:rsid w:val="002B593B"/>
    <w:rsid w:val="002B6EF1"/>
    <w:rsid w:val="002B7ACB"/>
    <w:rsid w:val="002C01D6"/>
    <w:rsid w:val="002C02FB"/>
    <w:rsid w:val="002C069A"/>
    <w:rsid w:val="002C0D6B"/>
    <w:rsid w:val="002C0FAF"/>
    <w:rsid w:val="002C15D3"/>
    <w:rsid w:val="002C15F7"/>
    <w:rsid w:val="002C2926"/>
    <w:rsid w:val="002C2D00"/>
    <w:rsid w:val="002C4FC4"/>
    <w:rsid w:val="002C62FE"/>
    <w:rsid w:val="002C70C2"/>
    <w:rsid w:val="002C736F"/>
    <w:rsid w:val="002C769D"/>
    <w:rsid w:val="002D149D"/>
    <w:rsid w:val="002D3182"/>
    <w:rsid w:val="002D3603"/>
    <w:rsid w:val="002D5B49"/>
    <w:rsid w:val="002D60D8"/>
    <w:rsid w:val="002D7B55"/>
    <w:rsid w:val="002E0418"/>
    <w:rsid w:val="002E09F9"/>
    <w:rsid w:val="002E0C6D"/>
    <w:rsid w:val="002E1297"/>
    <w:rsid w:val="002E18A5"/>
    <w:rsid w:val="002E41CE"/>
    <w:rsid w:val="002E45BE"/>
    <w:rsid w:val="002E66A1"/>
    <w:rsid w:val="002E6C3C"/>
    <w:rsid w:val="002E79A5"/>
    <w:rsid w:val="002E7A06"/>
    <w:rsid w:val="002F0874"/>
    <w:rsid w:val="002F336C"/>
    <w:rsid w:val="002F4A84"/>
    <w:rsid w:val="002F4D52"/>
    <w:rsid w:val="002F5A0D"/>
    <w:rsid w:val="002F5CD7"/>
    <w:rsid w:val="00300074"/>
    <w:rsid w:val="00301A3E"/>
    <w:rsid w:val="00302DE7"/>
    <w:rsid w:val="0030346F"/>
    <w:rsid w:val="00304169"/>
    <w:rsid w:val="00305CDA"/>
    <w:rsid w:val="003062EA"/>
    <w:rsid w:val="003102B7"/>
    <w:rsid w:val="00313B8C"/>
    <w:rsid w:val="00315F93"/>
    <w:rsid w:val="00316AD4"/>
    <w:rsid w:val="00320590"/>
    <w:rsid w:val="003217B8"/>
    <w:rsid w:val="00321CBA"/>
    <w:rsid w:val="003246A3"/>
    <w:rsid w:val="00324D2F"/>
    <w:rsid w:val="003263B2"/>
    <w:rsid w:val="00326474"/>
    <w:rsid w:val="00330E3A"/>
    <w:rsid w:val="00332B4B"/>
    <w:rsid w:val="00335A97"/>
    <w:rsid w:val="00336161"/>
    <w:rsid w:val="0033655B"/>
    <w:rsid w:val="003365A6"/>
    <w:rsid w:val="003368E3"/>
    <w:rsid w:val="00337017"/>
    <w:rsid w:val="00337506"/>
    <w:rsid w:val="0033767F"/>
    <w:rsid w:val="0034079C"/>
    <w:rsid w:val="00340D37"/>
    <w:rsid w:val="00342013"/>
    <w:rsid w:val="003430C8"/>
    <w:rsid w:val="003466E1"/>
    <w:rsid w:val="0035034C"/>
    <w:rsid w:val="0035123E"/>
    <w:rsid w:val="00352112"/>
    <w:rsid w:val="00353BF5"/>
    <w:rsid w:val="00353F75"/>
    <w:rsid w:val="003540F9"/>
    <w:rsid w:val="00354D7F"/>
    <w:rsid w:val="00355925"/>
    <w:rsid w:val="00356736"/>
    <w:rsid w:val="00356912"/>
    <w:rsid w:val="00357852"/>
    <w:rsid w:val="00360F40"/>
    <w:rsid w:val="00361AED"/>
    <w:rsid w:val="00362429"/>
    <w:rsid w:val="00362867"/>
    <w:rsid w:val="00362F3B"/>
    <w:rsid w:val="00364337"/>
    <w:rsid w:val="00364EF5"/>
    <w:rsid w:val="00366ABD"/>
    <w:rsid w:val="003716CC"/>
    <w:rsid w:val="00371B7B"/>
    <w:rsid w:val="003729CB"/>
    <w:rsid w:val="003732B4"/>
    <w:rsid w:val="00373503"/>
    <w:rsid w:val="00374CF7"/>
    <w:rsid w:val="00377694"/>
    <w:rsid w:val="00382AD9"/>
    <w:rsid w:val="003831F7"/>
    <w:rsid w:val="003835A5"/>
    <w:rsid w:val="0038448B"/>
    <w:rsid w:val="00384BEC"/>
    <w:rsid w:val="00384D25"/>
    <w:rsid w:val="003855E6"/>
    <w:rsid w:val="00385888"/>
    <w:rsid w:val="00385E33"/>
    <w:rsid w:val="00386361"/>
    <w:rsid w:val="00386B7E"/>
    <w:rsid w:val="003872A9"/>
    <w:rsid w:val="003874FD"/>
    <w:rsid w:val="00387807"/>
    <w:rsid w:val="00387F53"/>
    <w:rsid w:val="0039045A"/>
    <w:rsid w:val="00390768"/>
    <w:rsid w:val="003929C7"/>
    <w:rsid w:val="00393582"/>
    <w:rsid w:val="003973C9"/>
    <w:rsid w:val="00397ED9"/>
    <w:rsid w:val="003A01B9"/>
    <w:rsid w:val="003A0F1E"/>
    <w:rsid w:val="003A2006"/>
    <w:rsid w:val="003A3105"/>
    <w:rsid w:val="003A60D8"/>
    <w:rsid w:val="003A6386"/>
    <w:rsid w:val="003A7969"/>
    <w:rsid w:val="003A7E02"/>
    <w:rsid w:val="003B0324"/>
    <w:rsid w:val="003B1DC2"/>
    <w:rsid w:val="003B1E1B"/>
    <w:rsid w:val="003B2BAD"/>
    <w:rsid w:val="003B3EB4"/>
    <w:rsid w:val="003B4298"/>
    <w:rsid w:val="003B457E"/>
    <w:rsid w:val="003B4987"/>
    <w:rsid w:val="003B6AC1"/>
    <w:rsid w:val="003C0161"/>
    <w:rsid w:val="003C04D1"/>
    <w:rsid w:val="003C322A"/>
    <w:rsid w:val="003C3454"/>
    <w:rsid w:val="003C34C0"/>
    <w:rsid w:val="003C5DD1"/>
    <w:rsid w:val="003C6EDE"/>
    <w:rsid w:val="003D0700"/>
    <w:rsid w:val="003D10C6"/>
    <w:rsid w:val="003D15CF"/>
    <w:rsid w:val="003D1BD8"/>
    <w:rsid w:val="003D33D6"/>
    <w:rsid w:val="003D4055"/>
    <w:rsid w:val="003D40E8"/>
    <w:rsid w:val="003D470E"/>
    <w:rsid w:val="003D52DD"/>
    <w:rsid w:val="003D6603"/>
    <w:rsid w:val="003E1150"/>
    <w:rsid w:val="003E17AB"/>
    <w:rsid w:val="003E17E7"/>
    <w:rsid w:val="003E1C64"/>
    <w:rsid w:val="003E1C6E"/>
    <w:rsid w:val="003E2649"/>
    <w:rsid w:val="003E28C9"/>
    <w:rsid w:val="003E3CEB"/>
    <w:rsid w:val="003E4915"/>
    <w:rsid w:val="003E6F81"/>
    <w:rsid w:val="003E7BCD"/>
    <w:rsid w:val="003F01C5"/>
    <w:rsid w:val="003F2FC7"/>
    <w:rsid w:val="003F46EB"/>
    <w:rsid w:val="003F53A0"/>
    <w:rsid w:val="003F58A1"/>
    <w:rsid w:val="003F6051"/>
    <w:rsid w:val="003F624F"/>
    <w:rsid w:val="003F7F9B"/>
    <w:rsid w:val="00400191"/>
    <w:rsid w:val="00402235"/>
    <w:rsid w:val="004032C8"/>
    <w:rsid w:val="004044E6"/>
    <w:rsid w:val="00404D4A"/>
    <w:rsid w:val="004052C6"/>
    <w:rsid w:val="00405B66"/>
    <w:rsid w:val="00405EC9"/>
    <w:rsid w:val="00405F5F"/>
    <w:rsid w:val="0041064D"/>
    <w:rsid w:val="004111E3"/>
    <w:rsid w:val="004130A9"/>
    <w:rsid w:val="00413D67"/>
    <w:rsid w:val="00413EFD"/>
    <w:rsid w:val="00414ED7"/>
    <w:rsid w:val="00415807"/>
    <w:rsid w:val="00415B92"/>
    <w:rsid w:val="0041608F"/>
    <w:rsid w:val="0041783D"/>
    <w:rsid w:val="00420520"/>
    <w:rsid w:val="004222D8"/>
    <w:rsid w:val="00422FEE"/>
    <w:rsid w:val="0042371D"/>
    <w:rsid w:val="00424791"/>
    <w:rsid w:val="004259D9"/>
    <w:rsid w:val="00427F5E"/>
    <w:rsid w:val="0043004C"/>
    <w:rsid w:val="0043320D"/>
    <w:rsid w:val="0043329E"/>
    <w:rsid w:val="0043335B"/>
    <w:rsid w:val="004338EC"/>
    <w:rsid w:val="004339BE"/>
    <w:rsid w:val="004343BF"/>
    <w:rsid w:val="00434665"/>
    <w:rsid w:val="004356D2"/>
    <w:rsid w:val="00435A92"/>
    <w:rsid w:val="00435C90"/>
    <w:rsid w:val="00436B14"/>
    <w:rsid w:val="00437217"/>
    <w:rsid w:val="00441187"/>
    <w:rsid w:val="00441B07"/>
    <w:rsid w:val="004429F5"/>
    <w:rsid w:val="00442E5D"/>
    <w:rsid w:val="0044367E"/>
    <w:rsid w:val="00444827"/>
    <w:rsid w:val="004458A8"/>
    <w:rsid w:val="00445911"/>
    <w:rsid w:val="004464E6"/>
    <w:rsid w:val="00447DD9"/>
    <w:rsid w:val="004502D6"/>
    <w:rsid w:val="00450486"/>
    <w:rsid w:val="0045277B"/>
    <w:rsid w:val="00452C36"/>
    <w:rsid w:val="00454F8D"/>
    <w:rsid w:val="004553F9"/>
    <w:rsid w:val="00455DA7"/>
    <w:rsid w:val="00457087"/>
    <w:rsid w:val="00457687"/>
    <w:rsid w:val="0046039F"/>
    <w:rsid w:val="004607E7"/>
    <w:rsid w:val="00460D7C"/>
    <w:rsid w:val="00461C97"/>
    <w:rsid w:val="00462EBE"/>
    <w:rsid w:val="00463780"/>
    <w:rsid w:val="00463916"/>
    <w:rsid w:val="004642EE"/>
    <w:rsid w:val="004668EC"/>
    <w:rsid w:val="00466960"/>
    <w:rsid w:val="00466A8B"/>
    <w:rsid w:val="0046754B"/>
    <w:rsid w:val="00470F54"/>
    <w:rsid w:val="004718FB"/>
    <w:rsid w:val="00473421"/>
    <w:rsid w:val="004737CD"/>
    <w:rsid w:val="00473AA6"/>
    <w:rsid w:val="00473FBD"/>
    <w:rsid w:val="0047421E"/>
    <w:rsid w:val="0047691D"/>
    <w:rsid w:val="00477145"/>
    <w:rsid w:val="00482AF2"/>
    <w:rsid w:val="004836B3"/>
    <w:rsid w:val="00483906"/>
    <w:rsid w:val="00484001"/>
    <w:rsid w:val="0048406A"/>
    <w:rsid w:val="004843A0"/>
    <w:rsid w:val="00485609"/>
    <w:rsid w:val="00485B2A"/>
    <w:rsid w:val="00485D6A"/>
    <w:rsid w:val="004861C0"/>
    <w:rsid w:val="0048652F"/>
    <w:rsid w:val="00487709"/>
    <w:rsid w:val="0049040C"/>
    <w:rsid w:val="0049238E"/>
    <w:rsid w:val="00492408"/>
    <w:rsid w:val="004925D3"/>
    <w:rsid w:val="00495056"/>
    <w:rsid w:val="00495155"/>
    <w:rsid w:val="00496BB4"/>
    <w:rsid w:val="0049794C"/>
    <w:rsid w:val="004A0A06"/>
    <w:rsid w:val="004A2238"/>
    <w:rsid w:val="004A28BC"/>
    <w:rsid w:val="004A3BFE"/>
    <w:rsid w:val="004A5F0C"/>
    <w:rsid w:val="004A5F75"/>
    <w:rsid w:val="004A62ED"/>
    <w:rsid w:val="004B1A79"/>
    <w:rsid w:val="004B1C54"/>
    <w:rsid w:val="004B1C8B"/>
    <w:rsid w:val="004B1D91"/>
    <w:rsid w:val="004B5F3E"/>
    <w:rsid w:val="004B697A"/>
    <w:rsid w:val="004B77E4"/>
    <w:rsid w:val="004C339C"/>
    <w:rsid w:val="004C36E6"/>
    <w:rsid w:val="004C3CE3"/>
    <w:rsid w:val="004C4129"/>
    <w:rsid w:val="004C4E5F"/>
    <w:rsid w:val="004C60FE"/>
    <w:rsid w:val="004C62C1"/>
    <w:rsid w:val="004C7D56"/>
    <w:rsid w:val="004D0AD4"/>
    <w:rsid w:val="004D111E"/>
    <w:rsid w:val="004D1F07"/>
    <w:rsid w:val="004D316A"/>
    <w:rsid w:val="004D3260"/>
    <w:rsid w:val="004D40EF"/>
    <w:rsid w:val="004D40FE"/>
    <w:rsid w:val="004D4A72"/>
    <w:rsid w:val="004D5721"/>
    <w:rsid w:val="004D696D"/>
    <w:rsid w:val="004D6DEF"/>
    <w:rsid w:val="004D7035"/>
    <w:rsid w:val="004E0D23"/>
    <w:rsid w:val="004E133E"/>
    <w:rsid w:val="004E265C"/>
    <w:rsid w:val="004E30D4"/>
    <w:rsid w:val="004E3A6D"/>
    <w:rsid w:val="004E50E1"/>
    <w:rsid w:val="004E5AC4"/>
    <w:rsid w:val="004F2D80"/>
    <w:rsid w:val="004F41DD"/>
    <w:rsid w:val="004F5C48"/>
    <w:rsid w:val="004F67B8"/>
    <w:rsid w:val="005018FA"/>
    <w:rsid w:val="00501D04"/>
    <w:rsid w:val="00501DA3"/>
    <w:rsid w:val="00502CCD"/>
    <w:rsid w:val="0050342F"/>
    <w:rsid w:val="00506A6D"/>
    <w:rsid w:val="00507365"/>
    <w:rsid w:val="00510032"/>
    <w:rsid w:val="00510556"/>
    <w:rsid w:val="00510DCA"/>
    <w:rsid w:val="00511FAA"/>
    <w:rsid w:val="00514319"/>
    <w:rsid w:val="00514E3D"/>
    <w:rsid w:val="00515571"/>
    <w:rsid w:val="00516FEC"/>
    <w:rsid w:val="00521E51"/>
    <w:rsid w:val="00522085"/>
    <w:rsid w:val="00522E77"/>
    <w:rsid w:val="00522E8E"/>
    <w:rsid w:val="005251DB"/>
    <w:rsid w:val="00525EE1"/>
    <w:rsid w:val="005270B3"/>
    <w:rsid w:val="0053032F"/>
    <w:rsid w:val="00532365"/>
    <w:rsid w:val="00535666"/>
    <w:rsid w:val="0053614F"/>
    <w:rsid w:val="0053640A"/>
    <w:rsid w:val="00541640"/>
    <w:rsid w:val="005421C2"/>
    <w:rsid w:val="00543D33"/>
    <w:rsid w:val="00543F2E"/>
    <w:rsid w:val="005440AC"/>
    <w:rsid w:val="0054451D"/>
    <w:rsid w:val="00544982"/>
    <w:rsid w:val="005462A0"/>
    <w:rsid w:val="00546CC3"/>
    <w:rsid w:val="00551B18"/>
    <w:rsid w:val="00552F94"/>
    <w:rsid w:val="00554236"/>
    <w:rsid w:val="0055560F"/>
    <w:rsid w:val="00555F6F"/>
    <w:rsid w:val="00556D5B"/>
    <w:rsid w:val="0055701A"/>
    <w:rsid w:val="005570D6"/>
    <w:rsid w:val="005627BC"/>
    <w:rsid w:val="0056380B"/>
    <w:rsid w:val="00563E8E"/>
    <w:rsid w:val="00565078"/>
    <w:rsid w:val="005704BE"/>
    <w:rsid w:val="00570A87"/>
    <w:rsid w:val="0057129F"/>
    <w:rsid w:val="00571300"/>
    <w:rsid w:val="005714E0"/>
    <w:rsid w:val="00571671"/>
    <w:rsid w:val="005717A9"/>
    <w:rsid w:val="00571F4E"/>
    <w:rsid w:val="00572BAE"/>
    <w:rsid w:val="0057347D"/>
    <w:rsid w:val="00573C40"/>
    <w:rsid w:val="0057574E"/>
    <w:rsid w:val="00575ECB"/>
    <w:rsid w:val="005766AC"/>
    <w:rsid w:val="00576D27"/>
    <w:rsid w:val="00577296"/>
    <w:rsid w:val="0058108D"/>
    <w:rsid w:val="00582167"/>
    <w:rsid w:val="00582375"/>
    <w:rsid w:val="00582B63"/>
    <w:rsid w:val="00582E53"/>
    <w:rsid w:val="00583113"/>
    <w:rsid w:val="0058365C"/>
    <w:rsid w:val="00583DE7"/>
    <w:rsid w:val="00584DB1"/>
    <w:rsid w:val="00586A83"/>
    <w:rsid w:val="005876C9"/>
    <w:rsid w:val="00587E1E"/>
    <w:rsid w:val="00590145"/>
    <w:rsid w:val="005905B2"/>
    <w:rsid w:val="00590855"/>
    <w:rsid w:val="00591968"/>
    <w:rsid w:val="005934DA"/>
    <w:rsid w:val="0059476A"/>
    <w:rsid w:val="00594F60"/>
    <w:rsid w:val="005952E3"/>
    <w:rsid w:val="00595DE2"/>
    <w:rsid w:val="00596163"/>
    <w:rsid w:val="005962D2"/>
    <w:rsid w:val="005974B8"/>
    <w:rsid w:val="005A079F"/>
    <w:rsid w:val="005A1E0B"/>
    <w:rsid w:val="005A28EA"/>
    <w:rsid w:val="005A322C"/>
    <w:rsid w:val="005A41CC"/>
    <w:rsid w:val="005A56E6"/>
    <w:rsid w:val="005A618E"/>
    <w:rsid w:val="005A6CB4"/>
    <w:rsid w:val="005B12BB"/>
    <w:rsid w:val="005B25EA"/>
    <w:rsid w:val="005B40FE"/>
    <w:rsid w:val="005B52F0"/>
    <w:rsid w:val="005B6AD3"/>
    <w:rsid w:val="005B6E7A"/>
    <w:rsid w:val="005B7897"/>
    <w:rsid w:val="005B7D80"/>
    <w:rsid w:val="005C1058"/>
    <w:rsid w:val="005C189B"/>
    <w:rsid w:val="005C20C7"/>
    <w:rsid w:val="005C27F5"/>
    <w:rsid w:val="005C2AB5"/>
    <w:rsid w:val="005C3485"/>
    <w:rsid w:val="005C3F36"/>
    <w:rsid w:val="005C43B1"/>
    <w:rsid w:val="005C47E4"/>
    <w:rsid w:val="005C55D0"/>
    <w:rsid w:val="005C5653"/>
    <w:rsid w:val="005C574F"/>
    <w:rsid w:val="005D0382"/>
    <w:rsid w:val="005D0C87"/>
    <w:rsid w:val="005D1148"/>
    <w:rsid w:val="005D21E2"/>
    <w:rsid w:val="005D2510"/>
    <w:rsid w:val="005D467D"/>
    <w:rsid w:val="005D48C3"/>
    <w:rsid w:val="005D6338"/>
    <w:rsid w:val="005D6424"/>
    <w:rsid w:val="005D72BA"/>
    <w:rsid w:val="005D799B"/>
    <w:rsid w:val="005D7AC9"/>
    <w:rsid w:val="005E057F"/>
    <w:rsid w:val="005E31D3"/>
    <w:rsid w:val="005E35C2"/>
    <w:rsid w:val="005E5199"/>
    <w:rsid w:val="005E7121"/>
    <w:rsid w:val="005E720A"/>
    <w:rsid w:val="005E7356"/>
    <w:rsid w:val="005F00EE"/>
    <w:rsid w:val="005F3114"/>
    <w:rsid w:val="005F3538"/>
    <w:rsid w:val="005F4304"/>
    <w:rsid w:val="005F4CA0"/>
    <w:rsid w:val="005F4EC1"/>
    <w:rsid w:val="005F5244"/>
    <w:rsid w:val="005F5851"/>
    <w:rsid w:val="005F6511"/>
    <w:rsid w:val="00602D0E"/>
    <w:rsid w:val="00603431"/>
    <w:rsid w:val="0060451D"/>
    <w:rsid w:val="006049D7"/>
    <w:rsid w:val="0060777F"/>
    <w:rsid w:val="00607C14"/>
    <w:rsid w:val="00610BB0"/>
    <w:rsid w:val="006111F2"/>
    <w:rsid w:val="00611C5A"/>
    <w:rsid w:val="00613207"/>
    <w:rsid w:val="006134A5"/>
    <w:rsid w:val="00613D44"/>
    <w:rsid w:val="0061400B"/>
    <w:rsid w:val="0061464F"/>
    <w:rsid w:val="006148B1"/>
    <w:rsid w:val="006166BF"/>
    <w:rsid w:val="00617502"/>
    <w:rsid w:val="00617C10"/>
    <w:rsid w:val="0062095B"/>
    <w:rsid w:val="0062153B"/>
    <w:rsid w:val="00622485"/>
    <w:rsid w:val="00622B7B"/>
    <w:rsid w:val="00623C32"/>
    <w:rsid w:val="00624D75"/>
    <w:rsid w:val="00625070"/>
    <w:rsid w:val="00626CF9"/>
    <w:rsid w:val="006303A7"/>
    <w:rsid w:val="0063109B"/>
    <w:rsid w:val="00631317"/>
    <w:rsid w:val="006372BC"/>
    <w:rsid w:val="0064032A"/>
    <w:rsid w:val="00640426"/>
    <w:rsid w:val="0064110E"/>
    <w:rsid w:val="00642B0F"/>
    <w:rsid w:val="00643A1D"/>
    <w:rsid w:val="00643CE2"/>
    <w:rsid w:val="0064413D"/>
    <w:rsid w:val="006464B9"/>
    <w:rsid w:val="00647546"/>
    <w:rsid w:val="00647A06"/>
    <w:rsid w:val="00650533"/>
    <w:rsid w:val="00650751"/>
    <w:rsid w:val="00652192"/>
    <w:rsid w:val="00652279"/>
    <w:rsid w:val="006533D4"/>
    <w:rsid w:val="00653DA1"/>
    <w:rsid w:val="006544DB"/>
    <w:rsid w:val="006545A8"/>
    <w:rsid w:val="00656A95"/>
    <w:rsid w:val="00657865"/>
    <w:rsid w:val="00660268"/>
    <w:rsid w:val="00661D1C"/>
    <w:rsid w:val="00661FA3"/>
    <w:rsid w:val="006631F6"/>
    <w:rsid w:val="006634D0"/>
    <w:rsid w:val="0066377C"/>
    <w:rsid w:val="00663FF1"/>
    <w:rsid w:val="006640EA"/>
    <w:rsid w:val="00664393"/>
    <w:rsid w:val="00665E96"/>
    <w:rsid w:val="00666E37"/>
    <w:rsid w:val="00670E70"/>
    <w:rsid w:val="00672ED8"/>
    <w:rsid w:val="00672F67"/>
    <w:rsid w:val="00674A01"/>
    <w:rsid w:val="00675A90"/>
    <w:rsid w:val="006760BB"/>
    <w:rsid w:val="00676452"/>
    <w:rsid w:val="00677A1E"/>
    <w:rsid w:val="00677A2E"/>
    <w:rsid w:val="00677B50"/>
    <w:rsid w:val="006855B0"/>
    <w:rsid w:val="006905C6"/>
    <w:rsid w:val="006918B9"/>
    <w:rsid w:val="006919BC"/>
    <w:rsid w:val="00691F18"/>
    <w:rsid w:val="006924C9"/>
    <w:rsid w:val="006938DC"/>
    <w:rsid w:val="00693C72"/>
    <w:rsid w:val="00693C9C"/>
    <w:rsid w:val="0069655E"/>
    <w:rsid w:val="00697EAF"/>
    <w:rsid w:val="006A0EA7"/>
    <w:rsid w:val="006A2BAF"/>
    <w:rsid w:val="006A36B8"/>
    <w:rsid w:val="006A4014"/>
    <w:rsid w:val="006A4B6C"/>
    <w:rsid w:val="006A6493"/>
    <w:rsid w:val="006A6781"/>
    <w:rsid w:val="006A78BF"/>
    <w:rsid w:val="006B0409"/>
    <w:rsid w:val="006B13E8"/>
    <w:rsid w:val="006B1F16"/>
    <w:rsid w:val="006B35C7"/>
    <w:rsid w:val="006B370B"/>
    <w:rsid w:val="006B3DC9"/>
    <w:rsid w:val="006B4E7C"/>
    <w:rsid w:val="006B5FB6"/>
    <w:rsid w:val="006B6E03"/>
    <w:rsid w:val="006B79F4"/>
    <w:rsid w:val="006C065C"/>
    <w:rsid w:val="006C3435"/>
    <w:rsid w:val="006C543C"/>
    <w:rsid w:val="006C5521"/>
    <w:rsid w:val="006C6681"/>
    <w:rsid w:val="006C673F"/>
    <w:rsid w:val="006D0C5E"/>
    <w:rsid w:val="006D154F"/>
    <w:rsid w:val="006D164B"/>
    <w:rsid w:val="006D2082"/>
    <w:rsid w:val="006D24CE"/>
    <w:rsid w:val="006D35F5"/>
    <w:rsid w:val="006D46D5"/>
    <w:rsid w:val="006D6026"/>
    <w:rsid w:val="006D6D7B"/>
    <w:rsid w:val="006DF76B"/>
    <w:rsid w:val="006E5A3C"/>
    <w:rsid w:val="006E6893"/>
    <w:rsid w:val="006E703F"/>
    <w:rsid w:val="006E73EF"/>
    <w:rsid w:val="006E7B92"/>
    <w:rsid w:val="006F28CB"/>
    <w:rsid w:val="006F2A1F"/>
    <w:rsid w:val="006F3338"/>
    <w:rsid w:val="006F4267"/>
    <w:rsid w:val="006F496D"/>
    <w:rsid w:val="00700717"/>
    <w:rsid w:val="00700735"/>
    <w:rsid w:val="00700E7D"/>
    <w:rsid w:val="00701542"/>
    <w:rsid w:val="007017E5"/>
    <w:rsid w:val="00702209"/>
    <w:rsid w:val="007029F9"/>
    <w:rsid w:val="00702EE7"/>
    <w:rsid w:val="0070359F"/>
    <w:rsid w:val="00705A11"/>
    <w:rsid w:val="00707674"/>
    <w:rsid w:val="0071084D"/>
    <w:rsid w:val="00712A6B"/>
    <w:rsid w:val="00713D37"/>
    <w:rsid w:val="00713D96"/>
    <w:rsid w:val="0071780C"/>
    <w:rsid w:val="00717C6B"/>
    <w:rsid w:val="00717E24"/>
    <w:rsid w:val="0072080C"/>
    <w:rsid w:val="00720D56"/>
    <w:rsid w:val="0072112B"/>
    <w:rsid w:val="0072192D"/>
    <w:rsid w:val="007224C3"/>
    <w:rsid w:val="00724706"/>
    <w:rsid w:val="00726394"/>
    <w:rsid w:val="007267BB"/>
    <w:rsid w:val="00727A5E"/>
    <w:rsid w:val="007317BB"/>
    <w:rsid w:val="0073288B"/>
    <w:rsid w:val="00732DA6"/>
    <w:rsid w:val="00733516"/>
    <w:rsid w:val="00733647"/>
    <w:rsid w:val="00735AC9"/>
    <w:rsid w:val="00736CEB"/>
    <w:rsid w:val="00737034"/>
    <w:rsid w:val="00737F38"/>
    <w:rsid w:val="00745198"/>
    <w:rsid w:val="00746E49"/>
    <w:rsid w:val="00746FE2"/>
    <w:rsid w:val="0074723F"/>
    <w:rsid w:val="00747358"/>
    <w:rsid w:val="007476C6"/>
    <w:rsid w:val="007514F8"/>
    <w:rsid w:val="007518E9"/>
    <w:rsid w:val="00753F39"/>
    <w:rsid w:val="00754C9A"/>
    <w:rsid w:val="007557A9"/>
    <w:rsid w:val="00755EB1"/>
    <w:rsid w:val="007565EA"/>
    <w:rsid w:val="00760301"/>
    <w:rsid w:val="0076165C"/>
    <w:rsid w:val="0076329A"/>
    <w:rsid w:val="007639B8"/>
    <w:rsid w:val="007649D2"/>
    <w:rsid w:val="007650EB"/>
    <w:rsid w:val="0076755C"/>
    <w:rsid w:val="00767B5C"/>
    <w:rsid w:val="00770AFA"/>
    <w:rsid w:val="00772402"/>
    <w:rsid w:val="00773395"/>
    <w:rsid w:val="00773CD7"/>
    <w:rsid w:val="007744D5"/>
    <w:rsid w:val="00775653"/>
    <w:rsid w:val="00776617"/>
    <w:rsid w:val="007768C5"/>
    <w:rsid w:val="00776DD3"/>
    <w:rsid w:val="00777053"/>
    <w:rsid w:val="007812F8"/>
    <w:rsid w:val="00781906"/>
    <w:rsid w:val="00781D5C"/>
    <w:rsid w:val="00782DFF"/>
    <w:rsid w:val="007832AC"/>
    <w:rsid w:val="00783E6C"/>
    <w:rsid w:val="00783F01"/>
    <w:rsid w:val="00783FE6"/>
    <w:rsid w:val="0078491C"/>
    <w:rsid w:val="00785200"/>
    <w:rsid w:val="00785329"/>
    <w:rsid w:val="00785F1F"/>
    <w:rsid w:val="00786139"/>
    <w:rsid w:val="00786302"/>
    <w:rsid w:val="007870BF"/>
    <w:rsid w:val="00793FDD"/>
    <w:rsid w:val="007940C7"/>
    <w:rsid w:val="007955AB"/>
    <w:rsid w:val="00795D1F"/>
    <w:rsid w:val="007977C5"/>
    <w:rsid w:val="00797888"/>
    <w:rsid w:val="00797C7A"/>
    <w:rsid w:val="00797E97"/>
    <w:rsid w:val="007A1815"/>
    <w:rsid w:val="007A2AD7"/>
    <w:rsid w:val="007A2DA3"/>
    <w:rsid w:val="007A426F"/>
    <w:rsid w:val="007A4460"/>
    <w:rsid w:val="007A5156"/>
    <w:rsid w:val="007A6388"/>
    <w:rsid w:val="007A67DF"/>
    <w:rsid w:val="007A7D2B"/>
    <w:rsid w:val="007B0323"/>
    <w:rsid w:val="007B18A0"/>
    <w:rsid w:val="007B2B38"/>
    <w:rsid w:val="007B4947"/>
    <w:rsid w:val="007B58D5"/>
    <w:rsid w:val="007B5954"/>
    <w:rsid w:val="007B5BC4"/>
    <w:rsid w:val="007B5F8C"/>
    <w:rsid w:val="007B60C7"/>
    <w:rsid w:val="007C03C2"/>
    <w:rsid w:val="007C121D"/>
    <w:rsid w:val="007C2A0C"/>
    <w:rsid w:val="007C3DB1"/>
    <w:rsid w:val="007C3E55"/>
    <w:rsid w:val="007C643D"/>
    <w:rsid w:val="007D07AF"/>
    <w:rsid w:val="007D0B85"/>
    <w:rsid w:val="007D0FC2"/>
    <w:rsid w:val="007D180A"/>
    <w:rsid w:val="007D26F8"/>
    <w:rsid w:val="007D4C73"/>
    <w:rsid w:val="007D5AA1"/>
    <w:rsid w:val="007D6D90"/>
    <w:rsid w:val="007D7545"/>
    <w:rsid w:val="007D77F4"/>
    <w:rsid w:val="007E092E"/>
    <w:rsid w:val="007E170F"/>
    <w:rsid w:val="007E1868"/>
    <w:rsid w:val="007E1CBC"/>
    <w:rsid w:val="007E32BB"/>
    <w:rsid w:val="007E391E"/>
    <w:rsid w:val="007E3F1B"/>
    <w:rsid w:val="007E491C"/>
    <w:rsid w:val="007E4F90"/>
    <w:rsid w:val="007E5845"/>
    <w:rsid w:val="007E5846"/>
    <w:rsid w:val="007E7B5B"/>
    <w:rsid w:val="007F0E8B"/>
    <w:rsid w:val="007F1888"/>
    <w:rsid w:val="007F1E32"/>
    <w:rsid w:val="007F329B"/>
    <w:rsid w:val="007F44B8"/>
    <w:rsid w:val="007F5037"/>
    <w:rsid w:val="007F5557"/>
    <w:rsid w:val="007F6B49"/>
    <w:rsid w:val="007F6C27"/>
    <w:rsid w:val="007F6D34"/>
    <w:rsid w:val="007F7665"/>
    <w:rsid w:val="00801D7A"/>
    <w:rsid w:val="00803493"/>
    <w:rsid w:val="00803DCD"/>
    <w:rsid w:val="00804292"/>
    <w:rsid w:val="00805A3C"/>
    <w:rsid w:val="00807B6E"/>
    <w:rsid w:val="00811A55"/>
    <w:rsid w:val="00812D39"/>
    <w:rsid w:val="008140DF"/>
    <w:rsid w:val="00814469"/>
    <w:rsid w:val="00815CA3"/>
    <w:rsid w:val="00817D57"/>
    <w:rsid w:val="00820019"/>
    <w:rsid w:val="008224F4"/>
    <w:rsid w:val="00825D64"/>
    <w:rsid w:val="0082640D"/>
    <w:rsid w:val="00826D0B"/>
    <w:rsid w:val="00827817"/>
    <w:rsid w:val="00830131"/>
    <w:rsid w:val="00830869"/>
    <w:rsid w:val="00830D28"/>
    <w:rsid w:val="00830DC7"/>
    <w:rsid w:val="00831021"/>
    <w:rsid w:val="00831122"/>
    <w:rsid w:val="00831EB4"/>
    <w:rsid w:val="0083295C"/>
    <w:rsid w:val="00832F87"/>
    <w:rsid w:val="00833C21"/>
    <w:rsid w:val="008343A1"/>
    <w:rsid w:val="00835920"/>
    <w:rsid w:val="00835E97"/>
    <w:rsid w:val="008362D9"/>
    <w:rsid w:val="008369C1"/>
    <w:rsid w:val="00836FEF"/>
    <w:rsid w:val="00837159"/>
    <w:rsid w:val="00840607"/>
    <w:rsid w:val="00840844"/>
    <w:rsid w:val="00840A39"/>
    <w:rsid w:val="008414AF"/>
    <w:rsid w:val="008418B6"/>
    <w:rsid w:val="008428DC"/>
    <w:rsid w:val="00845496"/>
    <w:rsid w:val="00846FC6"/>
    <w:rsid w:val="008511E0"/>
    <w:rsid w:val="00851665"/>
    <w:rsid w:val="00853E22"/>
    <w:rsid w:val="0085544C"/>
    <w:rsid w:val="008559AD"/>
    <w:rsid w:val="00856F51"/>
    <w:rsid w:val="00861CD4"/>
    <w:rsid w:val="00861F64"/>
    <w:rsid w:val="00862335"/>
    <w:rsid w:val="00862A22"/>
    <w:rsid w:val="00863D31"/>
    <w:rsid w:val="0086498A"/>
    <w:rsid w:val="008650E4"/>
    <w:rsid w:val="00865D28"/>
    <w:rsid w:val="0086621E"/>
    <w:rsid w:val="00867349"/>
    <w:rsid w:val="0087090C"/>
    <w:rsid w:val="008713B1"/>
    <w:rsid w:val="00872242"/>
    <w:rsid w:val="00873522"/>
    <w:rsid w:val="00873523"/>
    <w:rsid w:val="00874167"/>
    <w:rsid w:val="00874634"/>
    <w:rsid w:val="008752B4"/>
    <w:rsid w:val="0087653A"/>
    <w:rsid w:val="00877583"/>
    <w:rsid w:val="00877DE8"/>
    <w:rsid w:val="00877F66"/>
    <w:rsid w:val="008814E1"/>
    <w:rsid w:val="00881677"/>
    <w:rsid w:val="008838BA"/>
    <w:rsid w:val="00883C03"/>
    <w:rsid w:val="00884928"/>
    <w:rsid w:val="0088770F"/>
    <w:rsid w:val="00887790"/>
    <w:rsid w:val="00892711"/>
    <w:rsid w:val="00892DB2"/>
    <w:rsid w:val="00894E61"/>
    <w:rsid w:val="00897183"/>
    <w:rsid w:val="00897614"/>
    <w:rsid w:val="008A0F25"/>
    <w:rsid w:val="008A1BB1"/>
    <w:rsid w:val="008A1C96"/>
    <w:rsid w:val="008A1D60"/>
    <w:rsid w:val="008A238F"/>
    <w:rsid w:val="008A2535"/>
    <w:rsid w:val="008A2B06"/>
    <w:rsid w:val="008A3082"/>
    <w:rsid w:val="008A3224"/>
    <w:rsid w:val="008A3D3C"/>
    <w:rsid w:val="008A577A"/>
    <w:rsid w:val="008A7720"/>
    <w:rsid w:val="008B00B7"/>
    <w:rsid w:val="008B0430"/>
    <w:rsid w:val="008B0F51"/>
    <w:rsid w:val="008B1F78"/>
    <w:rsid w:val="008B31E2"/>
    <w:rsid w:val="008B37ED"/>
    <w:rsid w:val="008B3C59"/>
    <w:rsid w:val="008B4192"/>
    <w:rsid w:val="008B438F"/>
    <w:rsid w:val="008B4472"/>
    <w:rsid w:val="008B484A"/>
    <w:rsid w:val="008B4888"/>
    <w:rsid w:val="008B7091"/>
    <w:rsid w:val="008B74EE"/>
    <w:rsid w:val="008C0667"/>
    <w:rsid w:val="008C0F98"/>
    <w:rsid w:val="008C1075"/>
    <w:rsid w:val="008C3112"/>
    <w:rsid w:val="008C35DA"/>
    <w:rsid w:val="008C51AE"/>
    <w:rsid w:val="008C52A1"/>
    <w:rsid w:val="008C6E3F"/>
    <w:rsid w:val="008C7710"/>
    <w:rsid w:val="008D0942"/>
    <w:rsid w:val="008D0BEF"/>
    <w:rsid w:val="008D10CE"/>
    <w:rsid w:val="008D17D0"/>
    <w:rsid w:val="008D2A00"/>
    <w:rsid w:val="008D589A"/>
    <w:rsid w:val="008D746F"/>
    <w:rsid w:val="008D7594"/>
    <w:rsid w:val="008E1270"/>
    <w:rsid w:val="008E183F"/>
    <w:rsid w:val="008E4734"/>
    <w:rsid w:val="008E4763"/>
    <w:rsid w:val="008E4773"/>
    <w:rsid w:val="008E499C"/>
    <w:rsid w:val="008E4E22"/>
    <w:rsid w:val="008E6AE4"/>
    <w:rsid w:val="008E7FCE"/>
    <w:rsid w:val="008F018D"/>
    <w:rsid w:val="008F056F"/>
    <w:rsid w:val="008F0C22"/>
    <w:rsid w:val="008F1D9C"/>
    <w:rsid w:val="008F2D11"/>
    <w:rsid w:val="008F2D91"/>
    <w:rsid w:val="008F341A"/>
    <w:rsid w:val="008F3585"/>
    <w:rsid w:val="008F3B46"/>
    <w:rsid w:val="008F5E8C"/>
    <w:rsid w:val="008F6D5F"/>
    <w:rsid w:val="00900226"/>
    <w:rsid w:val="009020BF"/>
    <w:rsid w:val="00903DED"/>
    <w:rsid w:val="009040E6"/>
    <w:rsid w:val="00904390"/>
    <w:rsid w:val="00904AC4"/>
    <w:rsid w:val="009058A2"/>
    <w:rsid w:val="009058B7"/>
    <w:rsid w:val="00911046"/>
    <w:rsid w:val="00911825"/>
    <w:rsid w:val="0091200B"/>
    <w:rsid w:val="0091443A"/>
    <w:rsid w:val="00916DE2"/>
    <w:rsid w:val="00921246"/>
    <w:rsid w:val="00922839"/>
    <w:rsid w:val="00922B65"/>
    <w:rsid w:val="0093189D"/>
    <w:rsid w:val="0093197D"/>
    <w:rsid w:val="0093503C"/>
    <w:rsid w:val="00936172"/>
    <w:rsid w:val="00936854"/>
    <w:rsid w:val="00937BF0"/>
    <w:rsid w:val="00940189"/>
    <w:rsid w:val="00940361"/>
    <w:rsid w:val="00940EBC"/>
    <w:rsid w:val="00941C8D"/>
    <w:rsid w:val="00943086"/>
    <w:rsid w:val="0094374E"/>
    <w:rsid w:val="00943DA2"/>
    <w:rsid w:val="0094400C"/>
    <w:rsid w:val="00945A05"/>
    <w:rsid w:val="009472FC"/>
    <w:rsid w:val="009505A3"/>
    <w:rsid w:val="00950BB2"/>
    <w:rsid w:val="00951109"/>
    <w:rsid w:val="00951676"/>
    <w:rsid w:val="00951CE9"/>
    <w:rsid w:val="009545FB"/>
    <w:rsid w:val="00954CA5"/>
    <w:rsid w:val="009561EA"/>
    <w:rsid w:val="00956940"/>
    <w:rsid w:val="00957357"/>
    <w:rsid w:val="00960400"/>
    <w:rsid w:val="0096158B"/>
    <w:rsid w:val="009615E9"/>
    <w:rsid w:val="00963141"/>
    <w:rsid w:val="00963528"/>
    <w:rsid w:val="0096413E"/>
    <w:rsid w:val="0096552C"/>
    <w:rsid w:val="009671C8"/>
    <w:rsid w:val="00967E0B"/>
    <w:rsid w:val="00970F0E"/>
    <w:rsid w:val="00970FE5"/>
    <w:rsid w:val="0097124C"/>
    <w:rsid w:val="00982EAF"/>
    <w:rsid w:val="0098368D"/>
    <w:rsid w:val="00983ACC"/>
    <w:rsid w:val="009848E9"/>
    <w:rsid w:val="00985679"/>
    <w:rsid w:val="0098570F"/>
    <w:rsid w:val="0098608A"/>
    <w:rsid w:val="009868A1"/>
    <w:rsid w:val="00990F07"/>
    <w:rsid w:val="00990F2A"/>
    <w:rsid w:val="00992C5E"/>
    <w:rsid w:val="00993CCB"/>
    <w:rsid w:val="00994E14"/>
    <w:rsid w:val="00995E64"/>
    <w:rsid w:val="00995FA6"/>
    <w:rsid w:val="009970D0"/>
    <w:rsid w:val="009A0BE2"/>
    <w:rsid w:val="009A0E2A"/>
    <w:rsid w:val="009A1352"/>
    <w:rsid w:val="009A1BFA"/>
    <w:rsid w:val="009A221C"/>
    <w:rsid w:val="009A2CC3"/>
    <w:rsid w:val="009A2E82"/>
    <w:rsid w:val="009A517F"/>
    <w:rsid w:val="009A59FF"/>
    <w:rsid w:val="009A62F7"/>
    <w:rsid w:val="009B0D58"/>
    <w:rsid w:val="009B192C"/>
    <w:rsid w:val="009B2788"/>
    <w:rsid w:val="009B3291"/>
    <w:rsid w:val="009B3E70"/>
    <w:rsid w:val="009B408E"/>
    <w:rsid w:val="009B56C2"/>
    <w:rsid w:val="009B5C3D"/>
    <w:rsid w:val="009B681E"/>
    <w:rsid w:val="009B7F44"/>
    <w:rsid w:val="009C0520"/>
    <w:rsid w:val="009C092F"/>
    <w:rsid w:val="009C1006"/>
    <w:rsid w:val="009C1E76"/>
    <w:rsid w:val="009C32B0"/>
    <w:rsid w:val="009C3826"/>
    <w:rsid w:val="009C4DF6"/>
    <w:rsid w:val="009C4FA0"/>
    <w:rsid w:val="009C6F5D"/>
    <w:rsid w:val="009D025F"/>
    <w:rsid w:val="009D0DB3"/>
    <w:rsid w:val="009D12F8"/>
    <w:rsid w:val="009D14D9"/>
    <w:rsid w:val="009D1EAF"/>
    <w:rsid w:val="009D341F"/>
    <w:rsid w:val="009D4078"/>
    <w:rsid w:val="009D5C10"/>
    <w:rsid w:val="009D60A1"/>
    <w:rsid w:val="009D7CA3"/>
    <w:rsid w:val="009E0770"/>
    <w:rsid w:val="009E1364"/>
    <w:rsid w:val="009E1FBB"/>
    <w:rsid w:val="009E22D8"/>
    <w:rsid w:val="009E2768"/>
    <w:rsid w:val="009E4E4C"/>
    <w:rsid w:val="009E4F1F"/>
    <w:rsid w:val="009E51F5"/>
    <w:rsid w:val="009E5F14"/>
    <w:rsid w:val="009E7D26"/>
    <w:rsid w:val="009E7D8D"/>
    <w:rsid w:val="009F12F7"/>
    <w:rsid w:val="009F1BA0"/>
    <w:rsid w:val="009F227C"/>
    <w:rsid w:val="009F29C1"/>
    <w:rsid w:val="009F2B0F"/>
    <w:rsid w:val="009F3D1F"/>
    <w:rsid w:val="009F64D7"/>
    <w:rsid w:val="009F6879"/>
    <w:rsid w:val="009F79E9"/>
    <w:rsid w:val="00A00397"/>
    <w:rsid w:val="00A02448"/>
    <w:rsid w:val="00A029C5"/>
    <w:rsid w:val="00A037DC"/>
    <w:rsid w:val="00A03F40"/>
    <w:rsid w:val="00A045A9"/>
    <w:rsid w:val="00A047DF"/>
    <w:rsid w:val="00A057E0"/>
    <w:rsid w:val="00A06162"/>
    <w:rsid w:val="00A06811"/>
    <w:rsid w:val="00A07E4B"/>
    <w:rsid w:val="00A15CAD"/>
    <w:rsid w:val="00A1763A"/>
    <w:rsid w:val="00A1779C"/>
    <w:rsid w:val="00A2027A"/>
    <w:rsid w:val="00A2078E"/>
    <w:rsid w:val="00A20A91"/>
    <w:rsid w:val="00A21424"/>
    <w:rsid w:val="00A22D50"/>
    <w:rsid w:val="00A235D3"/>
    <w:rsid w:val="00A2360B"/>
    <w:rsid w:val="00A24558"/>
    <w:rsid w:val="00A24FC0"/>
    <w:rsid w:val="00A25939"/>
    <w:rsid w:val="00A25E79"/>
    <w:rsid w:val="00A31C1B"/>
    <w:rsid w:val="00A3260C"/>
    <w:rsid w:val="00A328C1"/>
    <w:rsid w:val="00A331A4"/>
    <w:rsid w:val="00A3342F"/>
    <w:rsid w:val="00A33DB4"/>
    <w:rsid w:val="00A34379"/>
    <w:rsid w:val="00A36AC0"/>
    <w:rsid w:val="00A37B54"/>
    <w:rsid w:val="00A405C3"/>
    <w:rsid w:val="00A4123E"/>
    <w:rsid w:val="00A42483"/>
    <w:rsid w:val="00A42EC8"/>
    <w:rsid w:val="00A43B1E"/>
    <w:rsid w:val="00A4406C"/>
    <w:rsid w:val="00A44D9E"/>
    <w:rsid w:val="00A4618C"/>
    <w:rsid w:val="00A47D81"/>
    <w:rsid w:val="00A501E1"/>
    <w:rsid w:val="00A51766"/>
    <w:rsid w:val="00A518D7"/>
    <w:rsid w:val="00A52706"/>
    <w:rsid w:val="00A529DD"/>
    <w:rsid w:val="00A52E55"/>
    <w:rsid w:val="00A546F9"/>
    <w:rsid w:val="00A54E7B"/>
    <w:rsid w:val="00A55FED"/>
    <w:rsid w:val="00A60F5F"/>
    <w:rsid w:val="00A6112A"/>
    <w:rsid w:val="00A61C1C"/>
    <w:rsid w:val="00A633F4"/>
    <w:rsid w:val="00A6461E"/>
    <w:rsid w:val="00A64E7F"/>
    <w:rsid w:val="00A66AD8"/>
    <w:rsid w:val="00A70EF4"/>
    <w:rsid w:val="00A713F2"/>
    <w:rsid w:val="00A721D4"/>
    <w:rsid w:val="00A72F89"/>
    <w:rsid w:val="00A7448C"/>
    <w:rsid w:val="00A7463A"/>
    <w:rsid w:val="00A753E0"/>
    <w:rsid w:val="00A75E75"/>
    <w:rsid w:val="00A8050A"/>
    <w:rsid w:val="00A80A8C"/>
    <w:rsid w:val="00A83A9D"/>
    <w:rsid w:val="00A84832"/>
    <w:rsid w:val="00A84D8A"/>
    <w:rsid w:val="00A84EF2"/>
    <w:rsid w:val="00A860CA"/>
    <w:rsid w:val="00A86EF0"/>
    <w:rsid w:val="00A905D7"/>
    <w:rsid w:val="00A908D6"/>
    <w:rsid w:val="00A9122E"/>
    <w:rsid w:val="00A91839"/>
    <w:rsid w:val="00A94298"/>
    <w:rsid w:val="00A959EC"/>
    <w:rsid w:val="00A95B83"/>
    <w:rsid w:val="00AA2300"/>
    <w:rsid w:val="00AA29C9"/>
    <w:rsid w:val="00AA35B7"/>
    <w:rsid w:val="00AA4B35"/>
    <w:rsid w:val="00AA51F2"/>
    <w:rsid w:val="00AA5422"/>
    <w:rsid w:val="00AA70DB"/>
    <w:rsid w:val="00AA7C8F"/>
    <w:rsid w:val="00AB07A0"/>
    <w:rsid w:val="00AB09D5"/>
    <w:rsid w:val="00AB1DE9"/>
    <w:rsid w:val="00AB2DC3"/>
    <w:rsid w:val="00AB30CC"/>
    <w:rsid w:val="00AB31EE"/>
    <w:rsid w:val="00AB36CA"/>
    <w:rsid w:val="00AB400A"/>
    <w:rsid w:val="00AB4FCA"/>
    <w:rsid w:val="00AB5793"/>
    <w:rsid w:val="00AB5FAF"/>
    <w:rsid w:val="00AB6AC1"/>
    <w:rsid w:val="00AB6B78"/>
    <w:rsid w:val="00AB7A46"/>
    <w:rsid w:val="00AB7CF1"/>
    <w:rsid w:val="00AC2E76"/>
    <w:rsid w:val="00AC51D7"/>
    <w:rsid w:val="00AC65C1"/>
    <w:rsid w:val="00AC6604"/>
    <w:rsid w:val="00AD057C"/>
    <w:rsid w:val="00AD0CA5"/>
    <w:rsid w:val="00AD15AF"/>
    <w:rsid w:val="00AD3032"/>
    <w:rsid w:val="00AD664A"/>
    <w:rsid w:val="00AD779D"/>
    <w:rsid w:val="00AD7D09"/>
    <w:rsid w:val="00AE0A50"/>
    <w:rsid w:val="00AE0CBD"/>
    <w:rsid w:val="00AE1354"/>
    <w:rsid w:val="00AE189F"/>
    <w:rsid w:val="00AE3445"/>
    <w:rsid w:val="00AE4369"/>
    <w:rsid w:val="00AE661B"/>
    <w:rsid w:val="00AE6B5C"/>
    <w:rsid w:val="00AE73A4"/>
    <w:rsid w:val="00AE78BA"/>
    <w:rsid w:val="00AF0559"/>
    <w:rsid w:val="00AF072D"/>
    <w:rsid w:val="00AF2CE4"/>
    <w:rsid w:val="00AF3384"/>
    <w:rsid w:val="00AF3811"/>
    <w:rsid w:val="00AF3CE5"/>
    <w:rsid w:val="00AF3E28"/>
    <w:rsid w:val="00AF4BAB"/>
    <w:rsid w:val="00AF5016"/>
    <w:rsid w:val="00AF5A28"/>
    <w:rsid w:val="00AF771E"/>
    <w:rsid w:val="00B02E80"/>
    <w:rsid w:val="00B03570"/>
    <w:rsid w:val="00B04979"/>
    <w:rsid w:val="00B067B8"/>
    <w:rsid w:val="00B06C8B"/>
    <w:rsid w:val="00B07F27"/>
    <w:rsid w:val="00B107C9"/>
    <w:rsid w:val="00B10C7A"/>
    <w:rsid w:val="00B1242A"/>
    <w:rsid w:val="00B12A97"/>
    <w:rsid w:val="00B12AE4"/>
    <w:rsid w:val="00B13BC3"/>
    <w:rsid w:val="00B15DD3"/>
    <w:rsid w:val="00B16069"/>
    <w:rsid w:val="00B162A1"/>
    <w:rsid w:val="00B16423"/>
    <w:rsid w:val="00B169AA"/>
    <w:rsid w:val="00B16F7B"/>
    <w:rsid w:val="00B1749E"/>
    <w:rsid w:val="00B21DBE"/>
    <w:rsid w:val="00B21F25"/>
    <w:rsid w:val="00B22462"/>
    <w:rsid w:val="00B22A72"/>
    <w:rsid w:val="00B24795"/>
    <w:rsid w:val="00B25593"/>
    <w:rsid w:val="00B259BE"/>
    <w:rsid w:val="00B261BF"/>
    <w:rsid w:val="00B26A78"/>
    <w:rsid w:val="00B26B0A"/>
    <w:rsid w:val="00B2754D"/>
    <w:rsid w:val="00B27CE7"/>
    <w:rsid w:val="00B307E2"/>
    <w:rsid w:val="00B309A4"/>
    <w:rsid w:val="00B312C5"/>
    <w:rsid w:val="00B32071"/>
    <w:rsid w:val="00B32620"/>
    <w:rsid w:val="00B33148"/>
    <w:rsid w:val="00B33A59"/>
    <w:rsid w:val="00B33EC1"/>
    <w:rsid w:val="00B3520D"/>
    <w:rsid w:val="00B360F9"/>
    <w:rsid w:val="00B36C67"/>
    <w:rsid w:val="00B40493"/>
    <w:rsid w:val="00B434BE"/>
    <w:rsid w:val="00B45FD4"/>
    <w:rsid w:val="00B460E2"/>
    <w:rsid w:val="00B47887"/>
    <w:rsid w:val="00B47B14"/>
    <w:rsid w:val="00B502AB"/>
    <w:rsid w:val="00B50795"/>
    <w:rsid w:val="00B51510"/>
    <w:rsid w:val="00B5156E"/>
    <w:rsid w:val="00B51EB4"/>
    <w:rsid w:val="00B52DC2"/>
    <w:rsid w:val="00B53EF7"/>
    <w:rsid w:val="00B5458F"/>
    <w:rsid w:val="00B54C16"/>
    <w:rsid w:val="00B55634"/>
    <w:rsid w:val="00B5737F"/>
    <w:rsid w:val="00B62D5A"/>
    <w:rsid w:val="00B62EF6"/>
    <w:rsid w:val="00B63161"/>
    <w:rsid w:val="00B635BE"/>
    <w:rsid w:val="00B64200"/>
    <w:rsid w:val="00B64561"/>
    <w:rsid w:val="00B64EDA"/>
    <w:rsid w:val="00B65784"/>
    <w:rsid w:val="00B6580F"/>
    <w:rsid w:val="00B660CF"/>
    <w:rsid w:val="00B661FB"/>
    <w:rsid w:val="00B665BE"/>
    <w:rsid w:val="00B66961"/>
    <w:rsid w:val="00B669B1"/>
    <w:rsid w:val="00B672EC"/>
    <w:rsid w:val="00B676DE"/>
    <w:rsid w:val="00B700F9"/>
    <w:rsid w:val="00B70A74"/>
    <w:rsid w:val="00B724D9"/>
    <w:rsid w:val="00B73FA3"/>
    <w:rsid w:val="00B74EF4"/>
    <w:rsid w:val="00B75D25"/>
    <w:rsid w:val="00B7766D"/>
    <w:rsid w:val="00B778BD"/>
    <w:rsid w:val="00B80772"/>
    <w:rsid w:val="00B83305"/>
    <w:rsid w:val="00B83950"/>
    <w:rsid w:val="00B84D55"/>
    <w:rsid w:val="00B866AC"/>
    <w:rsid w:val="00B875C6"/>
    <w:rsid w:val="00B87E4B"/>
    <w:rsid w:val="00B90E1B"/>
    <w:rsid w:val="00B917BB"/>
    <w:rsid w:val="00B93C96"/>
    <w:rsid w:val="00B949DF"/>
    <w:rsid w:val="00B94C3F"/>
    <w:rsid w:val="00B94DCA"/>
    <w:rsid w:val="00B94EA8"/>
    <w:rsid w:val="00B950F1"/>
    <w:rsid w:val="00B96A94"/>
    <w:rsid w:val="00B97072"/>
    <w:rsid w:val="00B97934"/>
    <w:rsid w:val="00B97B67"/>
    <w:rsid w:val="00B97D4D"/>
    <w:rsid w:val="00BA1094"/>
    <w:rsid w:val="00BA1151"/>
    <w:rsid w:val="00BA2FDB"/>
    <w:rsid w:val="00BA352A"/>
    <w:rsid w:val="00BA575C"/>
    <w:rsid w:val="00BA5B5A"/>
    <w:rsid w:val="00BA65A2"/>
    <w:rsid w:val="00BA7CAF"/>
    <w:rsid w:val="00BB03AB"/>
    <w:rsid w:val="00BB03D4"/>
    <w:rsid w:val="00BB0D3E"/>
    <w:rsid w:val="00BB1949"/>
    <w:rsid w:val="00BB2175"/>
    <w:rsid w:val="00BB24FB"/>
    <w:rsid w:val="00BB3882"/>
    <w:rsid w:val="00BB39CE"/>
    <w:rsid w:val="00BB79F9"/>
    <w:rsid w:val="00BB7A2D"/>
    <w:rsid w:val="00BC1640"/>
    <w:rsid w:val="00BC3437"/>
    <w:rsid w:val="00BC64D8"/>
    <w:rsid w:val="00BC6553"/>
    <w:rsid w:val="00BC6857"/>
    <w:rsid w:val="00BC6BD5"/>
    <w:rsid w:val="00BD013B"/>
    <w:rsid w:val="00BD0A6C"/>
    <w:rsid w:val="00BD109C"/>
    <w:rsid w:val="00BD1BC7"/>
    <w:rsid w:val="00BD1E4A"/>
    <w:rsid w:val="00BD233A"/>
    <w:rsid w:val="00BD3287"/>
    <w:rsid w:val="00BD45C8"/>
    <w:rsid w:val="00BD5005"/>
    <w:rsid w:val="00BE3C2D"/>
    <w:rsid w:val="00BE3E75"/>
    <w:rsid w:val="00BE4C94"/>
    <w:rsid w:val="00BE59B1"/>
    <w:rsid w:val="00BE5A09"/>
    <w:rsid w:val="00BE6176"/>
    <w:rsid w:val="00BE64C1"/>
    <w:rsid w:val="00BE6681"/>
    <w:rsid w:val="00BE6E76"/>
    <w:rsid w:val="00BE7AFA"/>
    <w:rsid w:val="00BF233D"/>
    <w:rsid w:val="00BF240E"/>
    <w:rsid w:val="00BF375A"/>
    <w:rsid w:val="00BF3E2E"/>
    <w:rsid w:val="00C01C73"/>
    <w:rsid w:val="00C0388A"/>
    <w:rsid w:val="00C07001"/>
    <w:rsid w:val="00C07171"/>
    <w:rsid w:val="00C11607"/>
    <w:rsid w:val="00C12F89"/>
    <w:rsid w:val="00C13666"/>
    <w:rsid w:val="00C13DF9"/>
    <w:rsid w:val="00C14050"/>
    <w:rsid w:val="00C1415E"/>
    <w:rsid w:val="00C14515"/>
    <w:rsid w:val="00C147D9"/>
    <w:rsid w:val="00C15305"/>
    <w:rsid w:val="00C16271"/>
    <w:rsid w:val="00C16C2E"/>
    <w:rsid w:val="00C16FAE"/>
    <w:rsid w:val="00C171A5"/>
    <w:rsid w:val="00C17A18"/>
    <w:rsid w:val="00C2072A"/>
    <w:rsid w:val="00C21E3F"/>
    <w:rsid w:val="00C22BE5"/>
    <w:rsid w:val="00C2361F"/>
    <w:rsid w:val="00C23D66"/>
    <w:rsid w:val="00C243A3"/>
    <w:rsid w:val="00C24F2D"/>
    <w:rsid w:val="00C25FAA"/>
    <w:rsid w:val="00C2640F"/>
    <w:rsid w:val="00C279C3"/>
    <w:rsid w:val="00C308FF"/>
    <w:rsid w:val="00C31F41"/>
    <w:rsid w:val="00C3242C"/>
    <w:rsid w:val="00C33D7C"/>
    <w:rsid w:val="00C341DF"/>
    <w:rsid w:val="00C34D49"/>
    <w:rsid w:val="00C3675B"/>
    <w:rsid w:val="00C375A9"/>
    <w:rsid w:val="00C40908"/>
    <w:rsid w:val="00C40B72"/>
    <w:rsid w:val="00C40B7A"/>
    <w:rsid w:val="00C40E0D"/>
    <w:rsid w:val="00C411FA"/>
    <w:rsid w:val="00C42BC1"/>
    <w:rsid w:val="00C4326F"/>
    <w:rsid w:val="00C447A8"/>
    <w:rsid w:val="00C46640"/>
    <w:rsid w:val="00C46946"/>
    <w:rsid w:val="00C46D3A"/>
    <w:rsid w:val="00C4722F"/>
    <w:rsid w:val="00C50429"/>
    <w:rsid w:val="00C509A4"/>
    <w:rsid w:val="00C517BB"/>
    <w:rsid w:val="00C51AED"/>
    <w:rsid w:val="00C52083"/>
    <w:rsid w:val="00C52744"/>
    <w:rsid w:val="00C52863"/>
    <w:rsid w:val="00C5321E"/>
    <w:rsid w:val="00C53D2D"/>
    <w:rsid w:val="00C560C2"/>
    <w:rsid w:val="00C572A0"/>
    <w:rsid w:val="00C5745D"/>
    <w:rsid w:val="00C57608"/>
    <w:rsid w:val="00C5773F"/>
    <w:rsid w:val="00C6025D"/>
    <w:rsid w:val="00C603D4"/>
    <w:rsid w:val="00C604A8"/>
    <w:rsid w:val="00C6050C"/>
    <w:rsid w:val="00C6302A"/>
    <w:rsid w:val="00C67AA8"/>
    <w:rsid w:val="00C67FBC"/>
    <w:rsid w:val="00C71334"/>
    <w:rsid w:val="00C718F2"/>
    <w:rsid w:val="00C71F65"/>
    <w:rsid w:val="00C72FF7"/>
    <w:rsid w:val="00C7374E"/>
    <w:rsid w:val="00C73FFF"/>
    <w:rsid w:val="00C7435A"/>
    <w:rsid w:val="00C744E7"/>
    <w:rsid w:val="00C74664"/>
    <w:rsid w:val="00C752CD"/>
    <w:rsid w:val="00C75426"/>
    <w:rsid w:val="00C7655D"/>
    <w:rsid w:val="00C76A09"/>
    <w:rsid w:val="00C76F94"/>
    <w:rsid w:val="00C77AC8"/>
    <w:rsid w:val="00C77D8F"/>
    <w:rsid w:val="00C80A18"/>
    <w:rsid w:val="00C80FB9"/>
    <w:rsid w:val="00C83892"/>
    <w:rsid w:val="00C838CF"/>
    <w:rsid w:val="00C84398"/>
    <w:rsid w:val="00C84545"/>
    <w:rsid w:val="00C858C6"/>
    <w:rsid w:val="00C87D27"/>
    <w:rsid w:val="00C90705"/>
    <w:rsid w:val="00C9073A"/>
    <w:rsid w:val="00C9147F"/>
    <w:rsid w:val="00C92A74"/>
    <w:rsid w:val="00C94844"/>
    <w:rsid w:val="00C94F15"/>
    <w:rsid w:val="00C95DEB"/>
    <w:rsid w:val="00C961B1"/>
    <w:rsid w:val="00C96B6B"/>
    <w:rsid w:val="00C96D70"/>
    <w:rsid w:val="00C96E38"/>
    <w:rsid w:val="00C97B74"/>
    <w:rsid w:val="00CA0FDE"/>
    <w:rsid w:val="00CA1854"/>
    <w:rsid w:val="00CA2A84"/>
    <w:rsid w:val="00CA462B"/>
    <w:rsid w:val="00CA6C04"/>
    <w:rsid w:val="00CB00B7"/>
    <w:rsid w:val="00CB275A"/>
    <w:rsid w:val="00CB29D2"/>
    <w:rsid w:val="00CB38AD"/>
    <w:rsid w:val="00CB3D20"/>
    <w:rsid w:val="00CB3D69"/>
    <w:rsid w:val="00CB6FB0"/>
    <w:rsid w:val="00CC03A1"/>
    <w:rsid w:val="00CC20D1"/>
    <w:rsid w:val="00CC3A18"/>
    <w:rsid w:val="00CC4DD1"/>
    <w:rsid w:val="00CC4E8D"/>
    <w:rsid w:val="00CC4EC5"/>
    <w:rsid w:val="00CC59CB"/>
    <w:rsid w:val="00CC6CDF"/>
    <w:rsid w:val="00CD3A50"/>
    <w:rsid w:val="00CD44A6"/>
    <w:rsid w:val="00CD57CE"/>
    <w:rsid w:val="00CD5C37"/>
    <w:rsid w:val="00CD6BD3"/>
    <w:rsid w:val="00CD7DB0"/>
    <w:rsid w:val="00CE0F98"/>
    <w:rsid w:val="00CE2E40"/>
    <w:rsid w:val="00CE307A"/>
    <w:rsid w:val="00CE4ACA"/>
    <w:rsid w:val="00CE4EFF"/>
    <w:rsid w:val="00CE6B92"/>
    <w:rsid w:val="00CF0269"/>
    <w:rsid w:val="00CF0F98"/>
    <w:rsid w:val="00CF11CA"/>
    <w:rsid w:val="00CF2206"/>
    <w:rsid w:val="00CF32B4"/>
    <w:rsid w:val="00CF3589"/>
    <w:rsid w:val="00CF36B7"/>
    <w:rsid w:val="00CF3731"/>
    <w:rsid w:val="00CF3933"/>
    <w:rsid w:val="00CF4F29"/>
    <w:rsid w:val="00CF540E"/>
    <w:rsid w:val="00CF584E"/>
    <w:rsid w:val="00CF771E"/>
    <w:rsid w:val="00D02BC5"/>
    <w:rsid w:val="00D040A5"/>
    <w:rsid w:val="00D045A9"/>
    <w:rsid w:val="00D0553A"/>
    <w:rsid w:val="00D05F20"/>
    <w:rsid w:val="00D06644"/>
    <w:rsid w:val="00D06EC0"/>
    <w:rsid w:val="00D10CD9"/>
    <w:rsid w:val="00D11BCA"/>
    <w:rsid w:val="00D11E9F"/>
    <w:rsid w:val="00D11FE3"/>
    <w:rsid w:val="00D125AD"/>
    <w:rsid w:val="00D1261E"/>
    <w:rsid w:val="00D12B5A"/>
    <w:rsid w:val="00D15055"/>
    <w:rsid w:val="00D15962"/>
    <w:rsid w:val="00D168E9"/>
    <w:rsid w:val="00D1739B"/>
    <w:rsid w:val="00D17A4D"/>
    <w:rsid w:val="00D17CB4"/>
    <w:rsid w:val="00D20D19"/>
    <w:rsid w:val="00D20D4B"/>
    <w:rsid w:val="00D213DB"/>
    <w:rsid w:val="00D2155D"/>
    <w:rsid w:val="00D21C35"/>
    <w:rsid w:val="00D22943"/>
    <w:rsid w:val="00D236AF"/>
    <w:rsid w:val="00D23921"/>
    <w:rsid w:val="00D2520A"/>
    <w:rsid w:val="00D2638D"/>
    <w:rsid w:val="00D2670D"/>
    <w:rsid w:val="00D26DF2"/>
    <w:rsid w:val="00D30A9E"/>
    <w:rsid w:val="00D32C14"/>
    <w:rsid w:val="00D32FCD"/>
    <w:rsid w:val="00D33F27"/>
    <w:rsid w:val="00D33FDB"/>
    <w:rsid w:val="00D350A3"/>
    <w:rsid w:val="00D354D4"/>
    <w:rsid w:val="00D40612"/>
    <w:rsid w:val="00D4086E"/>
    <w:rsid w:val="00D40970"/>
    <w:rsid w:val="00D42F53"/>
    <w:rsid w:val="00D435D3"/>
    <w:rsid w:val="00D43E3F"/>
    <w:rsid w:val="00D44576"/>
    <w:rsid w:val="00D44AA4"/>
    <w:rsid w:val="00D44ECD"/>
    <w:rsid w:val="00D4526D"/>
    <w:rsid w:val="00D45A77"/>
    <w:rsid w:val="00D46F79"/>
    <w:rsid w:val="00D47065"/>
    <w:rsid w:val="00D4797E"/>
    <w:rsid w:val="00D52023"/>
    <w:rsid w:val="00D523CB"/>
    <w:rsid w:val="00D5244C"/>
    <w:rsid w:val="00D53B56"/>
    <w:rsid w:val="00D54BF7"/>
    <w:rsid w:val="00D54C67"/>
    <w:rsid w:val="00D54E78"/>
    <w:rsid w:val="00D554D1"/>
    <w:rsid w:val="00D56467"/>
    <w:rsid w:val="00D56A28"/>
    <w:rsid w:val="00D5740A"/>
    <w:rsid w:val="00D6093C"/>
    <w:rsid w:val="00D611FC"/>
    <w:rsid w:val="00D625C2"/>
    <w:rsid w:val="00D62A24"/>
    <w:rsid w:val="00D6398A"/>
    <w:rsid w:val="00D67B02"/>
    <w:rsid w:val="00D71607"/>
    <w:rsid w:val="00D73BD4"/>
    <w:rsid w:val="00D7480E"/>
    <w:rsid w:val="00D75560"/>
    <w:rsid w:val="00D764A1"/>
    <w:rsid w:val="00D774EE"/>
    <w:rsid w:val="00D8059A"/>
    <w:rsid w:val="00D805B0"/>
    <w:rsid w:val="00D8091E"/>
    <w:rsid w:val="00D80D9D"/>
    <w:rsid w:val="00D81112"/>
    <w:rsid w:val="00D836BF"/>
    <w:rsid w:val="00D8784C"/>
    <w:rsid w:val="00D91693"/>
    <w:rsid w:val="00D9293C"/>
    <w:rsid w:val="00D966EF"/>
    <w:rsid w:val="00DA1870"/>
    <w:rsid w:val="00DA2F2D"/>
    <w:rsid w:val="00DA30AA"/>
    <w:rsid w:val="00DA44FD"/>
    <w:rsid w:val="00DA4CF7"/>
    <w:rsid w:val="00DA5BA8"/>
    <w:rsid w:val="00DA624A"/>
    <w:rsid w:val="00DB05C5"/>
    <w:rsid w:val="00DB1AFB"/>
    <w:rsid w:val="00DB3449"/>
    <w:rsid w:val="00DB3E36"/>
    <w:rsid w:val="00DB45FC"/>
    <w:rsid w:val="00DB513C"/>
    <w:rsid w:val="00DB598C"/>
    <w:rsid w:val="00DB5FCB"/>
    <w:rsid w:val="00DB6B8F"/>
    <w:rsid w:val="00DC0099"/>
    <w:rsid w:val="00DC2D69"/>
    <w:rsid w:val="00DC388D"/>
    <w:rsid w:val="00DC3D63"/>
    <w:rsid w:val="00DC4495"/>
    <w:rsid w:val="00DC669C"/>
    <w:rsid w:val="00DD0332"/>
    <w:rsid w:val="00DD0412"/>
    <w:rsid w:val="00DD07EA"/>
    <w:rsid w:val="00DD15FF"/>
    <w:rsid w:val="00DD1694"/>
    <w:rsid w:val="00DD1AC8"/>
    <w:rsid w:val="00DD332B"/>
    <w:rsid w:val="00DD3A3A"/>
    <w:rsid w:val="00DD73CD"/>
    <w:rsid w:val="00DE08F0"/>
    <w:rsid w:val="00DE0F7D"/>
    <w:rsid w:val="00DE353D"/>
    <w:rsid w:val="00DE5296"/>
    <w:rsid w:val="00DE7096"/>
    <w:rsid w:val="00DE7979"/>
    <w:rsid w:val="00DE7C91"/>
    <w:rsid w:val="00DE7D42"/>
    <w:rsid w:val="00DF0035"/>
    <w:rsid w:val="00DF1D7F"/>
    <w:rsid w:val="00DF2BCB"/>
    <w:rsid w:val="00DF42DC"/>
    <w:rsid w:val="00DF4BF9"/>
    <w:rsid w:val="00DF6E9F"/>
    <w:rsid w:val="00DF7D44"/>
    <w:rsid w:val="00E00777"/>
    <w:rsid w:val="00E02D06"/>
    <w:rsid w:val="00E03C0B"/>
    <w:rsid w:val="00E0514D"/>
    <w:rsid w:val="00E068BC"/>
    <w:rsid w:val="00E07209"/>
    <w:rsid w:val="00E0747E"/>
    <w:rsid w:val="00E07DDF"/>
    <w:rsid w:val="00E13FF0"/>
    <w:rsid w:val="00E1410A"/>
    <w:rsid w:val="00E14300"/>
    <w:rsid w:val="00E14356"/>
    <w:rsid w:val="00E15E52"/>
    <w:rsid w:val="00E164A5"/>
    <w:rsid w:val="00E20D97"/>
    <w:rsid w:val="00E21923"/>
    <w:rsid w:val="00E223BB"/>
    <w:rsid w:val="00E25DFB"/>
    <w:rsid w:val="00E25EE5"/>
    <w:rsid w:val="00E276BC"/>
    <w:rsid w:val="00E308A3"/>
    <w:rsid w:val="00E31B8B"/>
    <w:rsid w:val="00E33872"/>
    <w:rsid w:val="00E345C4"/>
    <w:rsid w:val="00E36A5F"/>
    <w:rsid w:val="00E40000"/>
    <w:rsid w:val="00E42484"/>
    <w:rsid w:val="00E43A9C"/>
    <w:rsid w:val="00E44A0E"/>
    <w:rsid w:val="00E44B00"/>
    <w:rsid w:val="00E509A8"/>
    <w:rsid w:val="00E50AAF"/>
    <w:rsid w:val="00E5214D"/>
    <w:rsid w:val="00E52977"/>
    <w:rsid w:val="00E531A7"/>
    <w:rsid w:val="00E53740"/>
    <w:rsid w:val="00E55269"/>
    <w:rsid w:val="00E55621"/>
    <w:rsid w:val="00E5596E"/>
    <w:rsid w:val="00E56C89"/>
    <w:rsid w:val="00E5790C"/>
    <w:rsid w:val="00E62A28"/>
    <w:rsid w:val="00E63B72"/>
    <w:rsid w:val="00E64007"/>
    <w:rsid w:val="00E6405D"/>
    <w:rsid w:val="00E6459B"/>
    <w:rsid w:val="00E64D0E"/>
    <w:rsid w:val="00E7179A"/>
    <w:rsid w:val="00E71869"/>
    <w:rsid w:val="00E72034"/>
    <w:rsid w:val="00E728F3"/>
    <w:rsid w:val="00E73167"/>
    <w:rsid w:val="00E743E7"/>
    <w:rsid w:val="00E75385"/>
    <w:rsid w:val="00E7665F"/>
    <w:rsid w:val="00E767C1"/>
    <w:rsid w:val="00E77323"/>
    <w:rsid w:val="00E77530"/>
    <w:rsid w:val="00E77EC3"/>
    <w:rsid w:val="00E80903"/>
    <w:rsid w:val="00E8445A"/>
    <w:rsid w:val="00E85972"/>
    <w:rsid w:val="00E85F8D"/>
    <w:rsid w:val="00E90380"/>
    <w:rsid w:val="00E90DA8"/>
    <w:rsid w:val="00E916B0"/>
    <w:rsid w:val="00E91952"/>
    <w:rsid w:val="00E927AF"/>
    <w:rsid w:val="00E96241"/>
    <w:rsid w:val="00EA2E5A"/>
    <w:rsid w:val="00EA2F91"/>
    <w:rsid w:val="00EA3079"/>
    <w:rsid w:val="00EA4E53"/>
    <w:rsid w:val="00EB33B0"/>
    <w:rsid w:val="00EB36FA"/>
    <w:rsid w:val="00EB4D09"/>
    <w:rsid w:val="00EB5B08"/>
    <w:rsid w:val="00EB68CD"/>
    <w:rsid w:val="00EB742A"/>
    <w:rsid w:val="00EB7CA8"/>
    <w:rsid w:val="00EC0975"/>
    <w:rsid w:val="00EC1A34"/>
    <w:rsid w:val="00EC2EDE"/>
    <w:rsid w:val="00EC398F"/>
    <w:rsid w:val="00EC6771"/>
    <w:rsid w:val="00EC73D2"/>
    <w:rsid w:val="00ED0DC0"/>
    <w:rsid w:val="00ED1EE3"/>
    <w:rsid w:val="00ED22C1"/>
    <w:rsid w:val="00ED25D5"/>
    <w:rsid w:val="00ED3F1A"/>
    <w:rsid w:val="00ED4B84"/>
    <w:rsid w:val="00ED6515"/>
    <w:rsid w:val="00ED70A9"/>
    <w:rsid w:val="00ED735B"/>
    <w:rsid w:val="00ED78DF"/>
    <w:rsid w:val="00ED7A91"/>
    <w:rsid w:val="00EE0113"/>
    <w:rsid w:val="00EE076B"/>
    <w:rsid w:val="00EE14D1"/>
    <w:rsid w:val="00EE180A"/>
    <w:rsid w:val="00EE1A33"/>
    <w:rsid w:val="00EE47EC"/>
    <w:rsid w:val="00EE4DC1"/>
    <w:rsid w:val="00EE5EF4"/>
    <w:rsid w:val="00EF09DB"/>
    <w:rsid w:val="00EF209A"/>
    <w:rsid w:val="00EF2A7C"/>
    <w:rsid w:val="00EF5403"/>
    <w:rsid w:val="00EF7646"/>
    <w:rsid w:val="00F007C6"/>
    <w:rsid w:val="00F0125B"/>
    <w:rsid w:val="00F01917"/>
    <w:rsid w:val="00F02459"/>
    <w:rsid w:val="00F02A0E"/>
    <w:rsid w:val="00F02C21"/>
    <w:rsid w:val="00F03B56"/>
    <w:rsid w:val="00F0596E"/>
    <w:rsid w:val="00F05B90"/>
    <w:rsid w:val="00F071FC"/>
    <w:rsid w:val="00F101A2"/>
    <w:rsid w:val="00F10641"/>
    <w:rsid w:val="00F13281"/>
    <w:rsid w:val="00F15302"/>
    <w:rsid w:val="00F15712"/>
    <w:rsid w:val="00F172DD"/>
    <w:rsid w:val="00F21AA3"/>
    <w:rsid w:val="00F21BBC"/>
    <w:rsid w:val="00F22487"/>
    <w:rsid w:val="00F25A69"/>
    <w:rsid w:val="00F2601A"/>
    <w:rsid w:val="00F2605E"/>
    <w:rsid w:val="00F26739"/>
    <w:rsid w:val="00F26B50"/>
    <w:rsid w:val="00F279E9"/>
    <w:rsid w:val="00F308A4"/>
    <w:rsid w:val="00F342DB"/>
    <w:rsid w:val="00F34C11"/>
    <w:rsid w:val="00F35DB6"/>
    <w:rsid w:val="00F36809"/>
    <w:rsid w:val="00F37C18"/>
    <w:rsid w:val="00F4051D"/>
    <w:rsid w:val="00F405CA"/>
    <w:rsid w:val="00F4153E"/>
    <w:rsid w:val="00F41FDD"/>
    <w:rsid w:val="00F42D5D"/>
    <w:rsid w:val="00F43EEC"/>
    <w:rsid w:val="00F44293"/>
    <w:rsid w:val="00F45992"/>
    <w:rsid w:val="00F45AA5"/>
    <w:rsid w:val="00F477E4"/>
    <w:rsid w:val="00F51197"/>
    <w:rsid w:val="00F52C3A"/>
    <w:rsid w:val="00F54A26"/>
    <w:rsid w:val="00F579A0"/>
    <w:rsid w:val="00F600AA"/>
    <w:rsid w:val="00F63376"/>
    <w:rsid w:val="00F641CF"/>
    <w:rsid w:val="00F666EE"/>
    <w:rsid w:val="00F669B5"/>
    <w:rsid w:val="00F66C2F"/>
    <w:rsid w:val="00F6747F"/>
    <w:rsid w:val="00F679E4"/>
    <w:rsid w:val="00F7091F"/>
    <w:rsid w:val="00F709A6"/>
    <w:rsid w:val="00F7403F"/>
    <w:rsid w:val="00F7541B"/>
    <w:rsid w:val="00F755A7"/>
    <w:rsid w:val="00F76E41"/>
    <w:rsid w:val="00F77598"/>
    <w:rsid w:val="00F779B4"/>
    <w:rsid w:val="00F809EC"/>
    <w:rsid w:val="00F8107D"/>
    <w:rsid w:val="00F810D2"/>
    <w:rsid w:val="00F813DF"/>
    <w:rsid w:val="00F814F9"/>
    <w:rsid w:val="00F81968"/>
    <w:rsid w:val="00F82989"/>
    <w:rsid w:val="00F83147"/>
    <w:rsid w:val="00F83FC8"/>
    <w:rsid w:val="00F8496B"/>
    <w:rsid w:val="00F8607E"/>
    <w:rsid w:val="00F868FB"/>
    <w:rsid w:val="00F870ED"/>
    <w:rsid w:val="00F8762B"/>
    <w:rsid w:val="00F87A0B"/>
    <w:rsid w:val="00F95482"/>
    <w:rsid w:val="00F954CF"/>
    <w:rsid w:val="00F95A78"/>
    <w:rsid w:val="00F977F0"/>
    <w:rsid w:val="00FA0BAD"/>
    <w:rsid w:val="00FA1ED4"/>
    <w:rsid w:val="00FA278B"/>
    <w:rsid w:val="00FA2CFF"/>
    <w:rsid w:val="00FA2EF0"/>
    <w:rsid w:val="00FA3739"/>
    <w:rsid w:val="00FA4CA3"/>
    <w:rsid w:val="00FA5B73"/>
    <w:rsid w:val="00FA6028"/>
    <w:rsid w:val="00FA7434"/>
    <w:rsid w:val="00FB0B7A"/>
    <w:rsid w:val="00FB21CE"/>
    <w:rsid w:val="00FB3FE1"/>
    <w:rsid w:val="00FB51A8"/>
    <w:rsid w:val="00FB5CA6"/>
    <w:rsid w:val="00FB5DCF"/>
    <w:rsid w:val="00FC06CE"/>
    <w:rsid w:val="00FC0A02"/>
    <w:rsid w:val="00FC1D20"/>
    <w:rsid w:val="00FC1DAD"/>
    <w:rsid w:val="00FC44AB"/>
    <w:rsid w:val="00FC5018"/>
    <w:rsid w:val="00FC6745"/>
    <w:rsid w:val="00FC78B5"/>
    <w:rsid w:val="00FD02CD"/>
    <w:rsid w:val="00FD161A"/>
    <w:rsid w:val="00FD27EE"/>
    <w:rsid w:val="00FD2D04"/>
    <w:rsid w:val="00FD2EFC"/>
    <w:rsid w:val="00FD3F7B"/>
    <w:rsid w:val="00FD47EC"/>
    <w:rsid w:val="00FD521E"/>
    <w:rsid w:val="00FD523B"/>
    <w:rsid w:val="00FD5731"/>
    <w:rsid w:val="00FD5957"/>
    <w:rsid w:val="00FD7AEF"/>
    <w:rsid w:val="00FE0272"/>
    <w:rsid w:val="00FE146E"/>
    <w:rsid w:val="00FE26D5"/>
    <w:rsid w:val="00FE35F1"/>
    <w:rsid w:val="00FE36DE"/>
    <w:rsid w:val="00FE61CF"/>
    <w:rsid w:val="00FE7015"/>
    <w:rsid w:val="00FE771A"/>
    <w:rsid w:val="00FF0221"/>
    <w:rsid w:val="00FF14E1"/>
    <w:rsid w:val="00FF2539"/>
    <w:rsid w:val="00FF3ABF"/>
    <w:rsid w:val="00FF472F"/>
    <w:rsid w:val="00FF535A"/>
    <w:rsid w:val="00FF6861"/>
    <w:rsid w:val="00FF6BD0"/>
    <w:rsid w:val="00FF7946"/>
    <w:rsid w:val="00FF7EF3"/>
    <w:rsid w:val="02340D34"/>
    <w:rsid w:val="0357BC68"/>
    <w:rsid w:val="03710F54"/>
    <w:rsid w:val="041B45E8"/>
    <w:rsid w:val="05D54355"/>
    <w:rsid w:val="061C2835"/>
    <w:rsid w:val="062A4D72"/>
    <w:rsid w:val="0690AF0E"/>
    <w:rsid w:val="0798506D"/>
    <w:rsid w:val="07C5D76C"/>
    <w:rsid w:val="07C61DD3"/>
    <w:rsid w:val="0A8D4B02"/>
    <w:rsid w:val="0C7AAA89"/>
    <w:rsid w:val="0CC78A6C"/>
    <w:rsid w:val="0D0D49CF"/>
    <w:rsid w:val="0FBE31D2"/>
    <w:rsid w:val="1314036E"/>
    <w:rsid w:val="1335CDFC"/>
    <w:rsid w:val="13C9C736"/>
    <w:rsid w:val="14B5A864"/>
    <w:rsid w:val="155A6AB3"/>
    <w:rsid w:val="15CDF338"/>
    <w:rsid w:val="15E7B7A3"/>
    <w:rsid w:val="17033648"/>
    <w:rsid w:val="1905B8E6"/>
    <w:rsid w:val="1A23A243"/>
    <w:rsid w:val="1BCC273E"/>
    <w:rsid w:val="1C14EEB2"/>
    <w:rsid w:val="1C8BDEED"/>
    <w:rsid w:val="1CDC96C8"/>
    <w:rsid w:val="1DF0F7AE"/>
    <w:rsid w:val="1E786729"/>
    <w:rsid w:val="20AEDB02"/>
    <w:rsid w:val="230DC1AC"/>
    <w:rsid w:val="2370E970"/>
    <w:rsid w:val="23F94873"/>
    <w:rsid w:val="24BE175D"/>
    <w:rsid w:val="2586E6EB"/>
    <w:rsid w:val="2826B8F7"/>
    <w:rsid w:val="28478C2C"/>
    <w:rsid w:val="295F4008"/>
    <w:rsid w:val="2AFEBF74"/>
    <w:rsid w:val="2F5EF133"/>
    <w:rsid w:val="2FD90C01"/>
    <w:rsid w:val="3012E103"/>
    <w:rsid w:val="30B4942D"/>
    <w:rsid w:val="3165193D"/>
    <w:rsid w:val="32CC801D"/>
    <w:rsid w:val="34499162"/>
    <w:rsid w:val="352AB19D"/>
    <w:rsid w:val="35584697"/>
    <w:rsid w:val="3788463B"/>
    <w:rsid w:val="3814A49C"/>
    <w:rsid w:val="381EAA64"/>
    <w:rsid w:val="3B594857"/>
    <w:rsid w:val="3C7B3205"/>
    <w:rsid w:val="3EA7F3C2"/>
    <w:rsid w:val="409E4912"/>
    <w:rsid w:val="4288A547"/>
    <w:rsid w:val="4592B10F"/>
    <w:rsid w:val="45CED01B"/>
    <w:rsid w:val="474FEF63"/>
    <w:rsid w:val="47B240E9"/>
    <w:rsid w:val="47CCC823"/>
    <w:rsid w:val="48FFE5D9"/>
    <w:rsid w:val="49DA38B1"/>
    <w:rsid w:val="4ABF29A2"/>
    <w:rsid w:val="4AF53A14"/>
    <w:rsid w:val="4C0A44C0"/>
    <w:rsid w:val="4E0C4205"/>
    <w:rsid w:val="513FFAD2"/>
    <w:rsid w:val="53D589BA"/>
    <w:rsid w:val="56D52124"/>
    <w:rsid w:val="57C12962"/>
    <w:rsid w:val="58377E5C"/>
    <w:rsid w:val="58C1BE93"/>
    <w:rsid w:val="5BBDE141"/>
    <w:rsid w:val="5DB8260D"/>
    <w:rsid w:val="5DD50CD0"/>
    <w:rsid w:val="5F90587C"/>
    <w:rsid w:val="611566B2"/>
    <w:rsid w:val="627D1654"/>
    <w:rsid w:val="64602A64"/>
    <w:rsid w:val="65361518"/>
    <w:rsid w:val="66247FD9"/>
    <w:rsid w:val="669B320E"/>
    <w:rsid w:val="67FF50ED"/>
    <w:rsid w:val="69FF933E"/>
    <w:rsid w:val="6A66440E"/>
    <w:rsid w:val="6B53FB08"/>
    <w:rsid w:val="6B85188C"/>
    <w:rsid w:val="6D4CD2DE"/>
    <w:rsid w:val="6D4D0FC6"/>
    <w:rsid w:val="6E25B6BA"/>
    <w:rsid w:val="6EB46A9E"/>
    <w:rsid w:val="6FC37538"/>
    <w:rsid w:val="7085B84E"/>
    <w:rsid w:val="70EAE800"/>
    <w:rsid w:val="7102D2F3"/>
    <w:rsid w:val="73D7F89E"/>
    <w:rsid w:val="73DC6887"/>
    <w:rsid w:val="773B6402"/>
    <w:rsid w:val="779FBEA9"/>
    <w:rsid w:val="783AE405"/>
    <w:rsid w:val="785ACD8F"/>
    <w:rsid w:val="7B6D1E89"/>
    <w:rsid w:val="7C5A4A8F"/>
    <w:rsid w:val="7CBC3F44"/>
    <w:rsid w:val="7DD9C949"/>
    <w:rsid w:val="7E2FE3CD"/>
    <w:rsid w:val="7ED564E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FC54"/>
  <w15:docId w15:val="{14B90D3F-F59E-435D-9313-642F8CBB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89"/>
    <w:pPr>
      <w:spacing w:before="120" w:after="120" w:line="240" w:lineRule="auto"/>
      <w:jc w:val="both"/>
    </w:pPr>
    <w:rPr>
      <w:rFonts w:ascii="Arial" w:hAnsi="Arial"/>
    </w:rPr>
  </w:style>
  <w:style w:type="paragraph" w:styleId="Heading1">
    <w:name w:val="heading 1"/>
    <w:basedOn w:val="Normal"/>
    <w:next w:val="Normal"/>
    <w:link w:val="Heading1Char"/>
    <w:qFormat/>
    <w:rsid w:val="006F2A1F"/>
    <w:pPr>
      <w:keepNext/>
      <w:keepLines/>
      <w:numPr>
        <w:numId w:val="14"/>
      </w:numPr>
      <w:spacing w:before="240" w:after="240"/>
      <w:jc w:val="left"/>
      <w:outlineLvl w:val="0"/>
    </w:pPr>
    <w:rPr>
      <w:rFonts w:eastAsiaTheme="majorEastAsia" w:cs="Times New Roman"/>
      <w:b/>
      <w:bCs/>
      <w:caps/>
      <w:sz w:val="24"/>
      <w:szCs w:val="28"/>
      <w:lang w:val="en-GB"/>
    </w:rPr>
  </w:style>
  <w:style w:type="paragraph" w:styleId="Heading2">
    <w:name w:val="heading 2"/>
    <w:basedOn w:val="Heading1"/>
    <w:next w:val="Normal"/>
    <w:link w:val="Heading2Char"/>
    <w:uiPriority w:val="9"/>
    <w:unhideWhenUsed/>
    <w:qFormat/>
    <w:rsid w:val="00014736"/>
    <w:pPr>
      <w:numPr>
        <w:ilvl w:val="1"/>
      </w:numPr>
      <w:spacing w:after="120"/>
      <w:outlineLvl w:val="1"/>
    </w:pPr>
    <w:rPr>
      <w:rFonts w:cstheme="majorBidi"/>
      <w:caps w:val="0"/>
      <w:color w:val="000000" w:themeColor="text1"/>
      <w:sz w:val="22"/>
      <w:szCs w:val="26"/>
    </w:rPr>
  </w:style>
  <w:style w:type="paragraph" w:styleId="Heading3">
    <w:name w:val="heading 3"/>
    <w:basedOn w:val="Normal"/>
    <w:next w:val="Normal"/>
    <w:link w:val="Heading3Char"/>
    <w:uiPriority w:val="9"/>
    <w:semiHidden/>
    <w:unhideWhenUsed/>
    <w:qFormat/>
    <w:rsid w:val="005D6338"/>
    <w:pPr>
      <w:keepNext/>
      <w:keepLines/>
      <w:numPr>
        <w:ilvl w:val="2"/>
        <w:numId w:val="1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D6338"/>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D6338"/>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D6338"/>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D6338"/>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D6338"/>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6338"/>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
    <w:name w:val="Medium List 2"/>
    <w:basedOn w:val="TableNormal"/>
    <w:uiPriority w:val="66"/>
    <w:rsid w:val="001D4352"/>
    <w:pPr>
      <w:spacing w:after="0" w:line="240" w:lineRule="auto"/>
    </w:pPr>
    <w:rPr>
      <w:rFonts w:asciiTheme="majorHAnsi" w:eastAsiaTheme="majorEastAsia" w:hAnsiTheme="majorHAnsi" w:cstheme="majorBidi"/>
      <w:color w:val="000000" w:themeColor="text1"/>
      <w:lang w:val="et-E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3D52DD"/>
    <w:rPr>
      <w:rFonts w:ascii="Tahoma" w:hAnsi="Tahoma" w:cs="Tahoma"/>
      <w:sz w:val="16"/>
      <w:szCs w:val="16"/>
    </w:rPr>
  </w:style>
  <w:style w:type="character" w:customStyle="1" w:styleId="BalloonTextChar">
    <w:name w:val="Balloon Text Char"/>
    <w:basedOn w:val="DefaultParagraphFont"/>
    <w:link w:val="BalloonText"/>
    <w:uiPriority w:val="99"/>
    <w:semiHidden/>
    <w:rsid w:val="003D52DD"/>
    <w:rPr>
      <w:rFonts w:ascii="Tahoma" w:hAnsi="Tahoma" w:cs="Tahoma"/>
      <w:sz w:val="16"/>
      <w:szCs w:val="16"/>
    </w:rPr>
  </w:style>
  <w:style w:type="paragraph" w:styleId="TOC2">
    <w:name w:val="toc 2"/>
    <w:basedOn w:val="Normal"/>
    <w:next w:val="Normal"/>
    <w:autoRedefine/>
    <w:uiPriority w:val="39"/>
    <w:unhideWhenUsed/>
    <w:rsid w:val="00DE7C91"/>
    <w:pPr>
      <w:spacing w:before="0" w:after="0"/>
      <w:ind w:left="220"/>
      <w:jc w:val="left"/>
    </w:pPr>
    <w:rPr>
      <w:rFonts w:asciiTheme="minorHAnsi" w:hAnsiTheme="minorHAnsi" w:cstheme="minorHAnsi"/>
      <w:smallCaps/>
      <w:sz w:val="20"/>
      <w:szCs w:val="20"/>
    </w:rPr>
  </w:style>
  <w:style w:type="paragraph" w:styleId="TOC1">
    <w:name w:val="toc 1"/>
    <w:basedOn w:val="Normal"/>
    <w:next w:val="Normal"/>
    <w:autoRedefine/>
    <w:uiPriority w:val="39"/>
    <w:unhideWhenUsed/>
    <w:rsid w:val="00C46D3A"/>
    <w:pPr>
      <w:tabs>
        <w:tab w:val="left" w:pos="440"/>
        <w:tab w:val="right" w:leader="dot" w:pos="9736"/>
      </w:tabs>
      <w:jc w:val="left"/>
    </w:pPr>
    <w:rPr>
      <w:rFonts w:asciiTheme="minorHAnsi" w:hAnsiTheme="minorHAnsi" w:cstheme="minorHAnsi"/>
      <w:b/>
      <w:bCs/>
      <w:caps/>
      <w:sz w:val="20"/>
      <w:szCs w:val="20"/>
    </w:rPr>
  </w:style>
  <w:style w:type="character" w:styleId="Hyperlink">
    <w:name w:val="Hyperlink"/>
    <w:basedOn w:val="DefaultParagraphFont"/>
    <w:uiPriority w:val="99"/>
    <w:unhideWhenUsed/>
    <w:rsid w:val="003D52DD"/>
    <w:rPr>
      <w:color w:val="0000FF" w:themeColor="hyperlink"/>
      <w:u w:val="single"/>
    </w:rPr>
  </w:style>
  <w:style w:type="paragraph" w:styleId="ListParagraph">
    <w:name w:val="List Paragraph"/>
    <w:aliases w:val="F List Paragraph,Paragraphe de liste1,#Listenabsatz,Párrafo de lista,Párrafo de lista1,P?rrafo de lista,P?rrafo de lista1"/>
    <w:basedOn w:val="Normal"/>
    <w:link w:val="ListParagraphChar"/>
    <w:uiPriority w:val="34"/>
    <w:qFormat/>
    <w:rsid w:val="00BB79F9"/>
    <w:pPr>
      <w:ind w:left="720"/>
      <w:contextualSpacing/>
      <w:jc w:val="center"/>
    </w:pPr>
    <w:rPr>
      <w:b/>
    </w:rPr>
  </w:style>
  <w:style w:type="character" w:styleId="CommentReference">
    <w:name w:val="annotation reference"/>
    <w:basedOn w:val="DefaultParagraphFont"/>
    <w:uiPriority w:val="99"/>
    <w:semiHidden/>
    <w:unhideWhenUsed/>
    <w:rsid w:val="003E3CEB"/>
    <w:rPr>
      <w:sz w:val="16"/>
      <w:szCs w:val="16"/>
    </w:rPr>
  </w:style>
  <w:style w:type="paragraph" w:styleId="CommentText">
    <w:name w:val="annotation text"/>
    <w:basedOn w:val="Normal"/>
    <w:link w:val="CommentTextChar"/>
    <w:uiPriority w:val="99"/>
    <w:unhideWhenUsed/>
    <w:rsid w:val="003E3CEB"/>
    <w:rPr>
      <w:sz w:val="20"/>
      <w:szCs w:val="20"/>
    </w:rPr>
  </w:style>
  <w:style w:type="character" w:customStyle="1" w:styleId="CommentTextChar">
    <w:name w:val="Comment Text Char"/>
    <w:basedOn w:val="DefaultParagraphFont"/>
    <w:link w:val="CommentText"/>
    <w:uiPriority w:val="99"/>
    <w:rsid w:val="003E3CEB"/>
    <w:rPr>
      <w:sz w:val="20"/>
      <w:szCs w:val="20"/>
    </w:rPr>
  </w:style>
  <w:style w:type="paragraph" w:styleId="CommentSubject">
    <w:name w:val="annotation subject"/>
    <w:basedOn w:val="CommentText"/>
    <w:next w:val="CommentText"/>
    <w:link w:val="CommentSubjectChar"/>
    <w:uiPriority w:val="99"/>
    <w:semiHidden/>
    <w:unhideWhenUsed/>
    <w:rsid w:val="003E3CEB"/>
    <w:rPr>
      <w:b/>
      <w:bCs/>
    </w:rPr>
  </w:style>
  <w:style w:type="character" w:customStyle="1" w:styleId="CommentSubjectChar">
    <w:name w:val="Comment Subject Char"/>
    <w:basedOn w:val="CommentTextChar"/>
    <w:link w:val="CommentSubject"/>
    <w:uiPriority w:val="99"/>
    <w:semiHidden/>
    <w:rsid w:val="003E3CEB"/>
    <w:rPr>
      <w:b/>
      <w:bCs/>
      <w:sz w:val="20"/>
      <w:szCs w:val="20"/>
    </w:rPr>
  </w:style>
  <w:style w:type="paragraph" w:styleId="Revision">
    <w:name w:val="Revision"/>
    <w:hidden/>
    <w:uiPriority w:val="99"/>
    <w:semiHidden/>
    <w:rsid w:val="00881677"/>
    <w:pPr>
      <w:spacing w:after="0" w:line="240" w:lineRule="auto"/>
    </w:pPr>
  </w:style>
  <w:style w:type="paragraph" w:customStyle="1" w:styleId="Default">
    <w:name w:val="Default"/>
    <w:rsid w:val="00817D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 List Paragraph Char,Paragraphe de liste1 Char,#Listenabsatz Char,Párrafo de lista Char,Párrafo de lista1 Char,P?rrafo de lista Char,P?rrafo de lista1 Char"/>
    <w:basedOn w:val="DefaultParagraphFont"/>
    <w:link w:val="ListParagraph"/>
    <w:uiPriority w:val="34"/>
    <w:locked/>
    <w:rsid w:val="00BB79F9"/>
    <w:rPr>
      <w:rFonts w:ascii="Times New Roman" w:hAnsi="Times New Roman"/>
      <w:b/>
      <w:sz w:val="24"/>
    </w:rPr>
  </w:style>
  <w:style w:type="character" w:customStyle="1" w:styleId="Heading1Char">
    <w:name w:val="Heading 1 Char"/>
    <w:basedOn w:val="DefaultParagraphFont"/>
    <w:link w:val="Heading1"/>
    <w:rsid w:val="006F2A1F"/>
    <w:rPr>
      <w:rFonts w:ascii="Arial" w:eastAsiaTheme="majorEastAsia" w:hAnsi="Arial" w:cs="Times New Roman"/>
      <w:b/>
      <w:bCs/>
      <w:caps/>
      <w:sz w:val="24"/>
      <w:szCs w:val="28"/>
      <w:lang w:val="en-GB"/>
    </w:rPr>
  </w:style>
  <w:style w:type="character" w:styleId="Strong">
    <w:name w:val="Strong"/>
    <w:basedOn w:val="DefaultParagraphFont"/>
    <w:uiPriority w:val="22"/>
    <w:qFormat/>
    <w:rsid w:val="00AD057C"/>
    <w:rPr>
      <w:b/>
      <w:bCs/>
    </w:rPr>
  </w:style>
  <w:style w:type="character" w:styleId="PlaceholderText">
    <w:name w:val="Placeholder Text"/>
    <w:basedOn w:val="DefaultParagraphFont"/>
    <w:uiPriority w:val="99"/>
    <w:semiHidden/>
    <w:rsid w:val="00D040A5"/>
    <w:rPr>
      <w:color w:val="808080"/>
    </w:rPr>
  </w:style>
  <w:style w:type="paragraph" w:styleId="Header">
    <w:name w:val="header"/>
    <w:basedOn w:val="Normal"/>
    <w:link w:val="HeaderChar"/>
    <w:uiPriority w:val="99"/>
    <w:unhideWhenUsed/>
    <w:rsid w:val="002E09F9"/>
    <w:pPr>
      <w:tabs>
        <w:tab w:val="center" w:pos="4153"/>
        <w:tab w:val="right" w:pos="8306"/>
      </w:tabs>
    </w:pPr>
  </w:style>
  <w:style w:type="character" w:customStyle="1" w:styleId="HeaderChar">
    <w:name w:val="Header Char"/>
    <w:basedOn w:val="DefaultParagraphFont"/>
    <w:link w:val="Header"/>
    <w:uiPriority w:val="99"/>
    <w:rsid w:val="002E09F9"/>
    <w:rPr>
      <w:rFonts w:ascii="Times New Roman" w:hAnsi="Times New Roman"/>
      <w:sz w:val="24"/>
    </w:rPr>
  </w:style>
  <w:style w:type="paragraph" w:styleId="Footer">
    <w:name w:val="footer"/>
    <w:basedOn w:val="Normal"/>
    <w:link w:val="FooterChar"/>
    <w:uiPriority w:val="99"/>
    <w:unhideWhenUsed/>
    <w:rsid w:val="002E09F9"/>
    <w:pPr>
      <w:tabs>
        <w:tab w:val="center" w:pos="4153"/>
        <w:tab w:val="right" w:pos="8306"/>
      </w:tabs>
    </w:pPr>
  </w:style>
  <w:style w:type="character" w:customStyle="1" w:styleId="FooterChar">
    <w:name w:val="Footer Char"/>
    <w:basedOn w:val="DefaultParagraphFont"/>
    <w:link w:val="Footer"/>
    <w:uiPriority w:val="99"/>
    <w:rsid w:val="002E09F9"/>
    <w:rPr>
      <w:rFonts w:ascii="Times New Roman" w:hAnsi="Times New Roman"/>
      <w:sz w:val="24"/>
    </w:rPr>
  </w:style>
  <w:style w:type="paragraph" w:styleId="Title">
    <w:name w:val="Title"/>
    <w:basedOn w:val="Normal"/>
    <w:next w:val="Normal"/>
    <w:link w:val="TitleChar"/>
    <w:uiPriority w:val="10"/>
    <w:qFormat/>
    <w:rsid w:val="006545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5A8"/>
    <w:rPr>
      <w:rFonts w:asciiTheme="majorHAnsi" w:eastAsiaTheme="majorEastAsia" w:hAnsiTheme="majorHAnsi" w:cstheme="majorBidi"/>
      <w:spacing w:val="-10"/>
      <w:kern w:val="28"/>
      <w:sz w:val="56"/>
      <w:szCs w:val="56"/>
    </w:rPr>
  </w:style>
  <w:style w:type="paragraph" w:customStyle="1" w:styleId="HeadingforCross-zone">
    <w:name w:val="Heading for Cross-zone"/>
    <w:basedOn w:val="Normal"/>
    <w:link w:val="HeadingforCross-zoneChar"/>
    <w:rsid w:val="00887790"/>
    <w:pPr>
      <w:numPr>
        <w:numId w:val="4"/>
      </w:numPr>
    </w:pPr>
    <w:rPr>
      <w:b/>
    </w:rPr>
  </w:style>
  <w:style w:type="table" w:styleId="TableGrid">
    <w:name w:val="Table Grid"/>
    <w:basedOn w:val="TableNormal"/>
    <w:uiPriority w:val="39"/>
    <w:rsid w:val="009F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forCross-zoneChar">
    <w:name w:val="Heading for Cross-zone Char"/>
    <w:basedOn w:val="DefaultParagraphFont"/>
    <w:link w:val="HeadingforCross-zone"/>
    <w:rsid w:val="00887790"/>
    <w:rPr>
      <w:rFonts w:ascii="Arial" w:hAnsi="Arial"/>
      <w:b/>
    </w:rPr>
  </w:style>
  <w:style w:type="paragraph" w:styleId="Caption">
    <w:name w:val="caption"/>
    <w:basedOn w:val="Normal"/>
    <w:next w:val="Normal"/>
    <w:uiPriority w:val="35"/>
    <w:unhideWhenUsed/>
    <w:qFormat/>
    <w:rsid w:val="009F227C"/>
    <w:pPr>
      <w:spacing w:after="200"/>
    </w:pPr>
    <w:rPr>
      <w:b/>
      <w:iCs/>
      <w:szCs w:val="18"/>
    </w:rPr>
  </w:style>
  <w:style w:type="character" w:customStyle="1" w:styleId="Heading2Char">
    <w:name w:val="Heading 2 Char"/>
    <w:basedOn w:val="DefaultParagraphFont"/>
    <w:link w:val="Heading2"/>
    <w:uiPriority w:val="9"/>
    <w:rsid w:val="00014736"/>
    <w:rPr>
      <w:rFonts w:ascii="Arial" w:eastAsiaTheme="majorEastAsia" w:hAnsi="Arial" w:cstheme="majorBidi"/>
      <w:b/>
      <w:bCs/>
      <w:color w:val="000000" w:themeColor="text1"/>
      <w:szCs w:val="26"/>
      <w:lang w:val="en-GB"/>
    </w:rPr>
  </w:style>
  <w:style w:type="character" w:customStyle="1" w:styleId="Bodytext2">
    <w:name w:val="Body text (2)_"/>
    <w:basedOn w:val="DefaultParagraphFont"/>
    <w:link w:val="Bodytext22"/>
    <w:rsid w:val="00186AF2"/>
    <w:rPr>
      <w:rFonts w:ascii="Arial" w:eastAsia="Arial" w:hAnsi="Arial" w:cs="Arial"/>
      <w:shd w:val="clear" w:color="auto" w:fill="FFFFFF"/>
    </w:rPr>
  </w:style>
  <w:style w:type="character" w:customStyle="1" w:styleId="Bodytext2Italic">
    <w:name w:val="Body text (2) + Italic"/>
    <w:basedOn w:val="Bodytext2"/>
    <w:rsid w:val="00186AF2"/>
    <w:rPr>
      <w:rFonts w:ascii="Arial" w:eastAsia="Arial" w:hAnsi="Arial" w:cs="Arial"/>
      <w:i/>
      <w:iCs/>
      <w:color w:val="000000"/>
      <w:spacing w:val="0"/>
      <w:w w:val="100"/>
      <w:position w:val="0"/>
      <w:shd w:val="clear" w:color="auto" w:fill="FFFFFF"/>
      <w:lang w:val="en-GB" w:eastAsia="en-GB" w:bidi="en-GB"/>
    </w:rPr>
  </w:style>
  <w:style w:type="paragraph" w:customStyle="1" w:styleId="Bodytext22">
    <w:name w:val="Body text (2)2"/>
    <w:basedOn w:val="Normal"/>
    <w:link w:val="Bodytext2"/>
    <w:rsid w:val="00186AF2"/>
    <w:pPr>
      <w:widowControl w:val="0"/>
      <w:shd w:val="clear" w:color="auto" w:fill="FFFFFF"/>
      <w:spacing w:line="288" w:lineRule="exact"/>
      <w:ind w:hanging="840"/>
    </w:pPr>
    <w:rPr>
      <w:rFonts w:eastAsia="Arial" w:cs="Arial"/>
    </w:rPr>
  </w:style>
  <w:style w:type="character" w:customStyle="1" w:styleId="Heading60">
    <w:name w:val="Heading #6_"/>
    <w:basedOn w:val="DefaultParagraphFont"/>
    <w:link w:val="Heading600"/>
    <w:rsid w:val="00387F53"/>
    <w:rPr>
      <w:rFonts w:ascii="Arial" w:eastAsia="Arial" w:hAnsi="Arial" w:cs="Arial"/>
      <w:b/>
      <w:bCs/>
      <w:shd w:val="clear" w:color="auto" w:fill="FFFFFF"/>
    </w:rPr>
  </w:style>
  <w:style w:type="paragraph" w:customStyle="1" w:styleId="Heading600">
    <w:name w:val="Heading #60"/>
    <w:basedOn w:val="Normal"/>
    <w:link w:val="Heading60"/>
    <w:rsid w:val="00124344"/>
    <w:pPr>
      <w:widowControl w:val="0"/>
      <w:shd w:val="clear" w:color="auto" w:fill="FFFFFF"/>
      <w:spacing w:before="360" w:after="240" w:line="246" w:lineRule="exact"/>
      <w:ind w:hanging="840"/>
      <w:outlineLvl w:val="5"/>
    </w:pPr>
    <w:rPr>
      <w:rFonts w:eastAsia="Arial" w:cs="Arial"/>
      <w:b/>
      <w:bCs/>
    </w:rPr>
  </w:style>
  <w:style w:type="character" w:customStyle="1" w:styleId="Heading3Char">
    <w:name w:val="Heading 3 Char"/>
    <w:basedOn w:val="DefaultParagraphFont"/>
    <w:link w:val="Heading3"/>
    <w:uiPriority w:val="9"/>
    <w:semiHidden/>
    <w:rsid w:val="005D633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D633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D633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D633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D633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D63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6338"/>
    <w:rPr>
      <w:rFonts w:asciiTheme="majorHAnsi" w:eastAsiaTheme="majorEastAsia" w:hAnsiTheme="majorHAnsi" w:cstheme="majorBidi"/>
      <w:i/>
      <w:iCs/>
      <w:color w:val="272727" w:themeColor="text1" w:themeTint="D8"/>
      <w:sz w:val="21"/>
      <w:szCs w:val="21"/>
    </w:rPr>
  </w:style>
  <w:style w:type="character" w:customStyle="1" w:styleId="Bodytext1011pt">
    <w:name w:val="Body text (10) + 11 pt"/>
    <w:basedOn w:val="DefaultParagraphFont"/>
    <w:rsid w:val="00AF5A28"/>
    <w:rPr>
      <w:rFonts w:ascii="Arial" w:eastAsia="Arial" w:hAnsi="Arial" w:cs="Arial"/>
      <w:b w:val="0"/>
      <w:bCs w:val="0"/>
      <w:i w:val="0"/>
      <w:iCs w:val="0"/>
      <w:smallCaps w:val="0"/>
      <w:strike w:val="0"/>
      <w:color w:val="000000"/>
      <w:spacing w:val="0"/>
      <w:w w:val="100"/>
      <w:position w:val="0"/>
      <w:sz w:val="22"/>
      <w:szCs w:val="22"/>
      <w:u w:val="none"/>
      <w:lang w:val="en-GB" w:eastAsia="en-GB" w:bidi="en-GB"/>
    </w:rPr>
  </w:style>
  <w:style w:type="character" w:customStyle="1" w:styleId="Bodytext2Bold">
    <w:name w:val="Body text (2) + Bold"/>
    <w:basedOn w:val="Bodytext2"/>
    <w:rsid w:val="00292516"/>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0">
    <w:name w:val="Body text (2)"/>
    <w:basedOn w:val="Bodytext2"/>
    <w:rsid w:val="00292516"/>
    <w:rPr>
      <w:rFonts w:ascii="Arial" w:eastAsia="Arial" w:hAnsi="Arial" w:cs="Arial"/>
      <w:b w:val="0"/>
      <w:bCs w:val="0"/>
      <w:i w:val="0"/>
      <w:iCs w:val="0"/>
      <w:smallCaps w:val="0"/>
      <w:strike w:val="0"/>
      <w:color w:val="252525"/>
      <w:spacing w:val="0"/>
      <w:w w:val="100"/>
      <w:position w:val="0"/>
      <w:sz w:val="22"/>
      <w:szCs w:val="22"/>
      <w:u w:val="none"/>
      <w:shd w:val="clear" w:color="auto" w:fill="FFFFFF"/>
      <w:lang w:val="en-GB" w:eastAsia="en-GB" w:bidi="en-GB"/>
    </w:rPr>
  </w:style>
  <w:style w:type="character" w:customStyle="1" w:styleId="Bodytext2Bold0">
    <w:name w:val="Body text (2) + Bold0"/>
    <w:basedOn w:val="Bodytext2"/>
    <w:rsid w:val="00292516"/>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SmallCaps">
    <w:name w:val="Body text (2) + Small Caps"/>
    <w:basedOn w:val="Bodytext2"/>
    <w:rsid w:val="00301A3E"/>
    <w:rPr>
      <w:rFonts w:ascii="Arial" w:eastAsia="Arial" w:hAnsi="Arial" w:cs="Arial"/>
      <w:b w:val="0"/>
      <w:bCs w:val="0"/>
      <w:i w:val="0"/>
      <w:iCs w:val="0"/>
      <w:smallCaps/>
      <w:strike w:val="0"/>
      <w:color w:val="000000"/>
      <w:spacing w:val="0"/>
      <w:w w:val="100"/>
      <w:position w:val="0"/>
      <w:sz w:val="22"/>
      <w:szCs w:val="22"/>
      <w:u w:val="none"/>
      <w:shd w:val="clear" w:color="auto" w:fill="FFFFFF"/>
      <w:lang w:val="en-GB" w:eastAsia="en-GB" w:bidi="en-GB"/>
    </w:rPr>
  </w:style>
  <w:style w:type="paragraph" w:styleId="TOCHeading">
    <w:name w:val="TOC Heading"/>
    <w:basedOn w:val="Heading1"/>
    <w:next w:val="Normal"/>
    <w:uiPriority w:val="39"/>
    <w:unhideWhenUsed/>
    <w:qFormat/>
    <w:rsid w:val="0054451D"/>
    <w:pPr>
      <w:numPr>
        <w:numId w:val="0"/>
      </w:numPr>
      <w:spacing w:after="0" w:line="259" w:lineRule="auto"/>
      <w:outlineLvl w:val="9"/>
    </w:pPr>
    <w:rPr>
      <w:rFonts w:asciiTheme="majorHAnsi" w:hAnsiTheme="majorHAnsi" w:cstheme="majorBidi"/>
      <w:b w:val="0"/>
      <w:bCs w:val="0"/>
      <w:caps w:val="0"/>
      <w:color w:val="365F91" w:themeColor="accent1" w:themeShade="BF"/>
      <w:sz w:val="32"/>
      <w:szCs w:val="32"/>
      <w:lang w:val="en-US"/>
    </w:rPr>
  </w:style>
  <w:style w:type="paragraph" w:styleId="TOC3">
    <w:name w:val="toc 3"/>
    <w:basedOn w:val="Normal"/>
    <w:next w:val="Normal"/>
    <w:autoRedefine/>
    <w:uiPriority w:val="39"/>
    <w:unhideWhenUsed/>
    <w:rsid w:val="0054451D"/>
    <w:pPr>
      <w:spacing w:before="0"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2708DD"/>
    <w:pPr>
      <w:spacing w:before="0"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2708DD"/>
    <w:pPr>
      <w:spacing w:before="0"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2708DD"/>
    <w:pPr>
      <w:spacing w:before="0"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2708DD"/>
    <w:pPr>
      <w:spacing w:before="0"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2708DD"/>
    <w:pPr>
      <w:spacing w:before="0"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2708DD"/>
    <w:pPr>
      <w:spacing w:before="0" w:after="0"/>
      <w:ind w:left="176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64604">
      <w:bodyDiv w:val="1"/>
      <w:marLeft w:val="0"/>
      <w:marRight w:val="0"/>
      <w:marTop w:val="0"/>
      <w:marBottom w:val="0"/>
      <w:divBdr>
        <w:top w:val="none" w:sz="0" w:space="0" w:color="auto"/>
        <w:left w:val="none" w:sz="0" w:space="0" w:color="auto"/>
        <w:bottom w:val="none" w:sz="0" w:space="0" w:color="auto"/>
        <w:right w:val="none" w:sz="0" w:space="0" w:color="auto"/>
      </w:divBdr>
    </w:div>
    <w:div w:id="658075006">
      <w:bodyDiv w:val="1"/>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 w:id="784809666">
      <w:bodyDiv w:val="1"/>
      <w:marLeft w:val="0"/>
      <w:marRight w:val="0"/>
      <w:marTop w:val="0"/>
      <w:marBottom w:val="0"/>
      <w:divBdr>
        <w:top w:val="none" w:sz="0" w:space="0" w:color="auto"/>
        <w:left w:val="none" w:sz="0" w:space="0" w:color="auto"/>
        <w:bottom w:val="none" w:sz="0" w:space="0" w:color="auto"/>
        <w:right w:val="none" w:sz="0" w:space="0" w:color="auto"/>
      </w:divBdr>
      <w:divsChild>
        <w:div w:id="62946289">
          <w:marLeft w:val="0"/>
          <w:marRight w:val="0"/>
          <w:marTop w:val="0"/>
          <w:marBottom w:val="0"/>
          <w:divBdr>
            <w:top w:val="none" w:sz="0" w:space="0" w:color="auto"/>
            <w:left w:val="none" w:sz="0" w:space="0" w:color="auto"/>
            <w:bottom w:val="none" w:sz="0" w:space="0" w:color="auto"/>
            <w:right w:val="none" w:sz="0" w:space="0" w:color="auto"/>
          </w:divBdr>
        </w:div>
      </w:divsChild>
    </w:div>
    <w:div w:id="1233081406">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9E4195D32E31154A963CDDF2F4F5E331" ma:contentTypeVersion="6" ma:contentTypeDescription="Kurkite naują dokumentą." ma:contentTypeScope="" ma:versionID="9b64645adcd1496ee191cfe5ea12a90a">
  <xsd:schema xmlns:xsd="http://www.w3.org/2001/XMLSchema" xmlns:xs="http://www.w3.org/2001/XMLSchema" xmlns:p="http://schemas.microsoft.com/office/2006/metadata/properties" xmlns:ns2="66f84bc1-deef-4055-81e1-02f7a61546c2" xmlns:ns3="1ebc930e-2d6f-4e47-b356-d054ace69516" targetNamespace="http://schemas.microsoft.com/office/2006/metadata/properties" ma:root="true" ma:fieldsID="9dc163f1e7f559da53bfc98012d23cf2" ns2:_="" ns3:_="">
    <xsd:import namespace="66f84bc1-deef-4055-81e1-02f7a61546c2"/>
    <xsd:import namespace="1ebc930e-2d6f-4e47-b356-d054ace695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84bc1-deef-4055-81e1-02f7a6154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bc930e-2d6f-4e47-b356-d054ace6951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F3C50-0307-47ED-9B89-3200DFB4DEE1}">
  <ds:schemaRefs>
    <ds:schemaRef ds:uri="http://schemas.openxmlformats.org/officeDocument/2006/bibliography"/>
  </ds:schemaRefs>
</ds:datastoreItem>
</file>

<file path=customXml/itemProps2.xml><?xml version="1.0" encoding="utf-8"?>
<ds:datastoreItem xmlns:ds="http://schemas.openxmlformats.org/officeDocument/2006/customXml" ds:itemID="{AC4D442E-F53D-4724-AA42-70364C24FA18}"/>
</file>

<file path=customXml/itemProps3.xml><?xml version="1.0" encoding="utf-8"?>
<ds:datastoreItem xmlns:ds="http://schemas.openxmlformats.org/officeDocument/2006/customXml" ds:itemID="{DC784DEC-C52B-4991-AD15-EC0A8E3D68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92A4FB-61FF-4E21-A0F4-D302CE675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16</Pages>
  <Words>6693</Words>
  <Characters>38152</Characters>
  <Application>Microsoft Office Word</Application>
  <DocSecurity>0</DocSecurity>
  <Lines>317</Lines>
  <Paragraphs>89</Paragraphs>
  <ScaleCrop>false</ScaleCrop>
  <HeadingPairs>
    <vt:vector size="6" baseType="variant">
      <vt:variant>
        <vt:lpstr>Rubrik</vt:lpstr>
      </vt:variant>
      <vt:variant>
        <vt:i4>1</vt:i4>
      </vt:variant>
      <vt:variant>
        <vt:lpstr>Tytuł</vt:lpstr>
      </vt:variant>
      <vt:variant>
        <vt:i4>1</vt:i4>
      </vt:variant>
      <vt:variant>
        <vt:lpstr>Title</vt:lpstr>
      </vt:variant>
      <vt:variant>
        <vt:i4>1</vt:i4>
      </vt:variant>
    </vt:vector>
  </HeadingPairs>
  <TitlesOfParts>
    <vt:vector size="3" baseType="lpstr">
      <vt:lpstr>19012018_Baltic_CCR_MCRC_for_consultations.pdf</vt:lpstr>
      <vt:lpstr>19012018_Baltic_CCR_MCRC_for_consultations.pdf</vt:lpstr>
      <vt:lpstr>19012018_Baltic_CCR_MCRC_for_consultations.pdf</vt:lpstr>
    </vt:vector>
  </TitlesOfParts>
  <Company>AST</Company>
  <LinksUpToDate>false</LinksUpToDate>
  <CharactersWithSpaces>44756</CharactersWithSpaces>
  <SharedDoc>false</SharedDoc>
  <HLinks>
    <vt:vector size="144" baseType="variant">
      <vt:variant>
        <vt:i4>1310771</vt:i4>
      </vt:variant>
      <vt:variant>
        <vt:i4>140</vt:i4>
      </vt:variant>
      <vt:variant>
        <vt:i4>0</vt:i4>
      </vt:variant>
      <vt:variant>
        <vt:i4>5</vt:i4>
      </vt:variant>
      <vt:variant>
        <vt:lpwstr/>
      </vt:variant>
      <vt:variant>
        <vt:lpwstr>_Toc157763328</vt:lpwstr>
      </vt:variant>
      <vt:variant>
        <vt:i4>1310771</vt:i4>
      </vt:variant>
      <vt:variant>
        <vt:i4>134</vt:i4>
      </vt:variant>
      <vt:variant>
        <vt:i4>0</vt:i4>
      </vt:variant>
      <vt:variant>
        <vt:i4>5</vt:i4>
      </vt:variant>
      <vt:variant>
        <vt:lpwstr/>
      </vt:variant>
      <vt:variant>
        <vt:lpwstr>_Toc157763327</vt:lpwstr>
      </vt:variant>
      <vt:variant>
        <vt:i4>1310771</vt:i4>
      </vt:variant>
      <vt:variant>
        <vt:i4>128</vt:i4>
      </vt:variant>
      <vt:variant>
        <vt:i4>0</vt:i4>
      </vt:variant>
      <vt:variant>
        <vt:i4>5</vt:i4>
      </vt:variant>
      <vt:variant>
        <vt:lpwstr/>
      </vt:variant>
      <vt:variant>
        <vt:lpwstr>_Toc157763326</vt:lpwstr>
      </vt:variant>
      <vt:variant>
        <vt:i4>1310771</vt:i4>
      </vt:variant>
      <vt:variant>
        <vt:i4>122</vt:i4>
      </vt:variant>
      <vt:variant>
        <vt:i4>0</vt:i4>
      </vt:variant>
      <vt:variant>
        <vt:i4>5</vt:i4>
      </vt:variant>
      <vt:variant>
        <vt:lpwstr/>
      </vt:variant>
      <vt:variant>
        <vt:lpwstr>_Toc157763325</vt:lpwstr>
      </vt:variant>
      <vt:variant>
        <vt:i4>1310771</vt:i4>
      </vt:variant>
      <vt:variant>
        <vt:i4>116</vt:i4>
      </vt:variant>
      <vt:variant>
        <vt:i4>0</vt:i4>
      </vt:variant>
      <vt:variant>
        <vt:i4>5</vt:i4>
      </vt:variant>
      <vt:variant>
        <vt:lpwstr/>
      </vt:variant>
      <vt:variant>
        <vt:lpwstr>_Toc157763324</vt:lpwstr>
      </vt:variant>
      <vt:variant>
        <vt:i4>1310771</vt:i4>
      </vt:variant>
      <vt:variant>
        <vt:i4>110</vt:i4>
      </vt:variant>
      <vt:variant>
        <vt:i4>0</vt:i4>
      </vt:variant>
      <vt:variant>
        <vt:i4>5</vt:i4>
      </vt:variant>
      <vt:variant>
        <vt:lpwstr/>
      </vt:variant>
      <vt:variant>
        <vt:lpwstr>_Toc157763323</vt:lpwstr>
      </vt:variant>
      <vt:variant>
        <vt:i4>1310771</vt:i4>
      </vt:variant>
      <vt:variant>
        <vt:i4>104</vt:i4>
      </vt:variant>
      <vt:variant>
        <vt:i4>0</vt:i4>
      </vt:variant>
      <vt:variant>
        <vt:i4>5</vt:i4>
      </vt:variant>
      <vt:variant>
        <vt:lpwstr/>
      </vt:variant>
      <vt:variant>
        <vt:lpwstr>_Toc157763322</vt:lpwstr>
      </vt:variant>
      <vt:variant>
        <vt:i4>1310771</vt:i4>
      </vt:variant>
      <vt:variant>
        <vt:i4>98</vt:i4>
      </vt:variant>
      <vt:variant>
        <vt:i4>0</vt:i4>
      </vt:variant>
      <vt:variant>
        <vt:i4>5</vt:i4>
      </vt:variant>
      <vt:variant>
        <vt:lpwstr/>
      </vt:variant>
      <vt:variant>
        <vt:lpwstr>_Toc157763321</vt:lpwstr>
      </vt:variant>
      <vt:variant>
        <vt:i4>1310771</vt:i4>
      </vt:variant>
      <vt:variant>
        <vt:i4>92</vt:i4>
      </vt:variant>
      <vt:variant>
        <vt:i4>0</vt:i4>
      </vt:variant>
      <vt:variant>
        <vt:i4>5</vt:i4>
      </vt:variant>
      <vt:variant>
        <vt:lpwstr/>
      </vt:variant>
      <vt:variant>
        <vt:lpwstr>_Toc157763320</vt:lpwstr>
      </vt:variant>
      <vt:variant>
        <vt:i4>1507379</vt:i4>
      </vt:variant>
      <vt:variant>
        <vt:i4>86</vt:i4>
      </vt:variant>
      <vt:variant>
        <vt:i4>0</vt:i4>
      </vt:variant>
      <vt:variant>
        <vt:i4>5</vt:i4>
      </vt:variant>
      <vt:variant>
        <vt:lpwstr/>
      </vt:variant>
      <vt:variant>
        <vt:lpwstr>_Toc157763319</vt:lpwstr>
      </vt:variant>
      <vt:variant>
        <vt:i4>1507379</vt:i4>
      </vt:variant>
      <vt:variant>
        <vt:i4>80</vt:i4>
      </vt:variant>
      <vt:variant>
        <vt:i4>0</vt:i4>
      </vt:variant>
      <vt:variant>
        <vt:i4>5</vt:i4>
      </vt:variant>
      <vt:variant>
        <vt:lpwstr/>
      </vt:variant>
      <vt:variant>
        <vt:lpwstr>_Toc157763318</vt:lpwstr>
      </vt:variant>
      <vt:variant>
        <vt:i4>1507379</vt:i4>
      </vt:variant>
      <vt:variant>
        <vt:i4>74</vt:i4>
      </vt:variant>
      <vt:variant>
        <vt:i4>0</vt:i4>
      </vt:variant>
      <vt:variant>
        <vt:i4>5</vt:i4>
      </vt:variant>
      <vt:variant>
        <vt:lpwstr/>
      </vt:variant>
      <vt:variant>
        <vt:lpwstr>_Toc157763317</vt:lpwstr>
      </vt:variant>
      <vt:variant>
        <vt:i4>1507379</vt:i4>
      </vt:variant>
      <vt:variant>
        <vt:i4>68</vt:i4>
      </vt:variant>
      <vt:variant>
        <vt:i4>0</vt:i4>
      </vt:variant>
      <vt:variant>
        <vt:i4>5</vt:i4>
      </vt:variant>
      <vt:variant>
        <vt:lpwstr/>
      </vt:variant>
      <vt:variant>
        <vt:lpwstr>_Toc157763316</vt:lpwstr>
      </vt:variant>
      <vt:variant>
        <vt:i4>1507379</vt:i4>
      </vt:variant>
      <vt:variant>
        <vt:i4>62</vt:i4>
      </vt:variant>
      <vt:variant>
        <vt:i4>0</vt:i4>
      </vt:variant>
      <vt:variant>
        <vt:i4>5</vt:i4>
      </vt:variant>
      <vt:variant>
        <vt:lpwstr/>
      </vt:variant>
      <vt:variant>
        <vt:lpwstr>_Toc157763315</vt:lpwstr>
      </vt:variant>
      <vt:variant>
        <vt:i4>1507379</vt:i4>
      </vt:variant>
      <vt:variant>
        <vt:i4>56</vt:i4>
      </vt:variant>
      <vt:variant>
        <vt:i4>0</vt:i4>
      </vt:variant>
      <vt:variant>
        <vt:i4>5</vt:i4>
      </vt:variant>
      <vt:variant>
        <vt:lpwstr/>
      </vt:variant>
      <vt:variant>
        <vt:lpwstr>_Toc157763314</vt:lpwstr>
      </vt:variant>
      <vt:variant>
        <vt:i4>1507379</vt:i4>
      </vt:variant>
      <vt:variant>
        <vt:i4>50</vt:i4>
      </vt:variant>
      <vt:variant>
        <vt:i4>0</vt:i4>
      </vt:variant>
      <vt:variant>
        <vt:i4>5</vt:i4>
      </vt:variant>
      <vt:variant>
        <vt:lpwstr/>
      </vt:variant>
      <vt:variant>
        <vt:lpwstr>_Toc157763313</vt:lpwstr>
      </vt:variant>
      <vt:variant>
        <vt:i4>1507379</vt:i4>
      </vt:variant>
      <vt:variant>
        <vt:i4>44</vt:i4>
      </vt:variant>
      <vt:variant>
        <vt:i4>0</vt:i4>
      </vt:variant>
      <vt:variant>
        <vt:i4>5</vt:i4>
      </vt:variant>
      <vt:variant>
        <vt:lpwstr/>
      </vt:variant>
      <vt:variant>
        <vt:lpwstr>_Toc157763312</vt:lpwstr>
      </vt:variant>
      <vt:variant>
        <vt:i4>1507379</vt:i4>
      </vt:variant>
      <vt:variant>
        <vt:i4>38</vt:i4>
      </vt:variant>
      <vt:variant>
        <vt:i4>0</vt:i4>
      </vt:variant>
      <vt:variant>
        <vt:i4>5</vt:i4>
      </vt:variant>
      <vt:variant>
        <vt:lpwstr/>
      </vt:variant>
      <vt:variant>
        <vt:lpwstr>_Toc157763311</vt:lpwstr>
      </vt:variant>
      <vt:variant>
        <vt:i4>1507379</vt:i4>
      </vt:variant>
      <vt:variant>
        <vt:i4>32</vt:i4>
      </vt:variant>
      <vt:variant>
        <vt:i4>0</vt:i4>
      </vt:variant>
      <vt:variant>
        <vt:i4>5</vt:i4>
      </vt:variant>
      <vt:variant>
        <vt:lpwstr/>
      </vt:variant>
      <vt:variant>
        <vt:lpwstr>_Toc157763310</vt:lpwstr>
      </vt:variant>
      <vt:variant>
        <vt:i4>1441843</vt:i4>
      </vt:variant>
      <vt:variant>
        <vt:i4>26</vt:i4>
      </vt:variant>
      <vt:variant>
        <vt:i4>0</vt:i4>
      </vt:variant>
      <vt:variant>
        <vt:i4>5</vt:i4>
      </vt:variant>
      <vt:variant>
        <vt:lpwstr/>
      </vt:variant>
      <vt:variant>
        <vt:lpwstr>_Toc157763309</vt:lpwstr>
      </vt:variant>
      <vt:variant>
        <vt:i4>1441843</vt:i4>
      </vt:variant>
      <vt:variant>
        <vt:i4>20</vt:i4>
      </vt:variant>
      <vt:variant>
        <vt:i4>0</vt:i4>
      </vt:variant>
      <vt:variant>
        <vt:i4>5</vt:i4>
      </vt:variant>
      <vt:variant>
        <vt:lpwstr/>
      </vt:variant>
      <vt:variant>
        <vt:lpwstr>_Toc157763308</vt:lpwstr>
      </vt:variant>
      <vt:variant>
        <vt:i4>1441843</vt:i4>
      </vt:variant>
      <vt:variant>
        <vt:i4>14</vt:i4>
      </vt:variant>
      <vt:variant>
        <vt:i4>0</vt:i4>
      </vt:variant>
      <vt:variant>
        <vt:i4>5</vt:i4>
      </vt:variant>
      <vt:variant>
        <vt:lpwstr/>
      </vt:variant>
      <vt:variant>
        <vt:lpwstr>_Toc157763307</vt:lpwstr>
      </vt:variant>
      <vt:variant>
        <vt:i4>1441843</vt:i4>
      </vt:variant>
      <vt:variant>
        <vt:i4>8</vt:i4>
      </vt:variant>
      <vt:variant>
        <vt:i4>0</vt:i4>
      </vt:variant>
      <vt:variant>
        <vt:i4>5</vt:i4>
      </vt:variant>
      <vt:variant>
        <vt:lpwstr/>
      </vt:variant>
      <vt:variant>
        <vt:lpwstr>_Toc157763306</vt:lpwstr>
      </vt:variant>
      <vt:variant>
        <vt:i4>1441843</vt:i4>
      </vt:variant>
      <vt:variant>
        <vt:i4>2</vt:i4>
      </vt:variant>
      <vt:variant>
        <vt:i4>0</vt:i4>
      </vt:variant>
      <vt:variant>
        <vt:i4>5</vt:i4>
      </vt:variant>
      <vt:variant>
        <vt:lpwstr/>
      </vt:variant>
      <vt:variant>
        <vt:lpwstr>_Toc157763305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19012018_Baltic_CCR_MCRC_for_consultations.pdf</dc:title>
  <dc:subject/>
  <dc:creator>Aleksandrs Lvovs</dc:creator>
  <cp:keywords/>
  <cp:lastModifiedBy>Vytautas Černiauskas</cp:lastModifiedBy>
  <cp:revision>105</cp:revision>
  <cp:lastPrinted>2018-10-10T12:10:00Z</cp:lastPrinted>
  <dcterms:created xsi:type="dcterms:W3CDTF">2024-02-01T01:55:00Z</dcterms:created>
  <dcterms:modified xsi:type="dcterms:W3CDTF">2024-02-08T12:33:00Z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0x0101009E4195D32E31154A963CDDF2F4F5E331</vt:lpwstr>
  </property>
  <property fmtid="{D5CDD505-2E9C-101B-9397-08002B2CF9AE}" pid="4" name="MSIP_Label_32ae7b5d-0aac-474b-ae2b-02c331ef2874_Enabled">
    <vt:lpwstr>true</vt:lpwstr>
  </property>
  <property fmtid="{D5CDD505-2E9C-101B-9397-08002B2CF9AE}" pid="5" name="MSIP_Label_32ae7b5d-0aac-474b-ae2b-02c331ef2874_SetDate">
    <vt:lpwstr>2023-04-14T10:46:26Z</vt:lpwstr>
  </property>
  <property fmtid="{D5CDD505-2E9C-101B-9397-08002B2CF9AE}" pid="6" name="MSIP_Label_32ae7b5d-0aac-474b-ae2b-02c331ef2874_Method">
    <vt:lpwstr>Privileged</vt:lpwstr>
  </property>
  <property fmtid="{D5CDD505-2E9C-101B-9397-08002B2CF9AE}" pid="7" name="MSIP_Label_32ae7b5d-0aac-474b-ae2b-02c331ef2874_Name">
    <vt:lpwstr>VIDINĖ</vt:lpwstr>
  </property>
  <property fmtid="{D5CDD505-2E9C-101B-9397-08002B2CF9AE}" pid="8" name="MSIP_Label_32ae7b5d-0aac-474b-ae2b-02c331ef2874_SiteId">
    <vt:lpwstr>86bcf768-7bcf-4cd6-b041-b219988b7a9c</vt:lpwstr>
  </property>
  <property fmtid="{D5CDD505-2E9C-101B-9397-08002B2CF9AE}" pid="9" name="MSIP_Label_32ae7b5d-0aac-474b-ae2b-02c331ef2874_ActionId">
    <vt:lpwstr>b0dad30b-ed56-4204-806e-8b5bed975bf4</vt:lpwstr>
  </property>
  <property fmtid="{D5CDD505-2E9C-101B-9397-08002B2CF9AE}" pid="10" name="MSIP_Label_32ae7b5d-0aac-474b-ae2b-02c331ef2874_ContentBits">
    <vt:lpwstr>0</vt:lpwstr>
  </property>
</Properties>
</file>