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6186996"/>
    <w:p w14:paraId="69721282" w14:textId="221B18FF" w:rsidR="003358AD" w:rsidRPr="00AB3750" w:rsidRDefault="00000000" w:rsidP="00AB3750">
      <w:pPr>
        <w:pStyle w:val="headlineheader"/>
        <w:jc w:val="right"/>
        <w:rPr>
          <w:rFonts w:asciiTheme="minorHAnsi" w:hAnsiTheme="minorHAnsi" w:cstheme="minorHAnsi"/>
          <w:bCs/>
          <w:color w:val="0F218B"/>
          <w:sz w:val="52"/>
          <w:szCs w:val="52"/>
        </w:rPr>
      </w:pPr>
      <w:sdt>
        <w:sdtPr>
          <w:rPr>
            <w:rFonts w:ascii="Calibri" w:hAnsi="Calibri" w:cs="Times New Roman"/>
            <w:bCs/>
            <w:color w:val="auto"/>
            <w:sz w:val="22"/>
            <w:szCs w:val="22"/>
            <w:u w:val="single"/>
            <w:shd w:val="clear" w:color="auto" w:fill="FAFBC5"/>
          </w:rPr>
          <w:alias w:val="Data Classification"/>
          <w:tag w:val="Category"/>
          <w:id w:val="1872408024"/>
          <w:placeholder>
            <w:docPart w:val="054C1E13CB7F4C8D9360006568DB8490"/>
          </w:placeholder>
          <w15:color w:val="0000FF"/>
          <w:dropDownList>
            <w:listItem w:displayText="Public" w:value="Data that can be shared within ENTSO-E without limitations, and that can be disclosed to third parties or published."/>
            <w:listItem w:displayText="Data open within ENTSO-E" w:value="Data that can be shared within ENTSO-E without limitations"/>
            <w:listItem w:displayText="Restricted" w:value="Data that can be shared internally on the “need to know basis” only. Special rules may apply."/>
          </w:dropDownList>
        </w:sdtPr>
        <w:sdtContent>
          <w:r w:rsidR="00AB3750" w:rsidRPr="00AB3750">
            <w:rPr>
              <w:rFonts w:ascii="Calibri" w:hAnsi="Calibri" w:cs="Times New Roman"/>
              <w:bCs/>
              <w:color w:val="auto"/>
              <w:sz w:val="22"/>
              <w:szCs w:val="22"/>
              <w:u w:val="single"/>
              <w:shd w:val="clear" w:color="auto" w:fill="FAFBC5"/>
            </w:rPr>
            <w:t>Data open within ENTSO-E</w:t>
          </w:r>
        </w:sdtContent>
      </w:sdt>
    </w:p>
    <w:p w14:paraId="39DCCCDA" w14:textId="77777777" w:rsidR="003358AD" w:rsidRPr="00457AE5" w:rsidRDefault="003358AD" w:rsidP="003358AD">
      <w:pPr>
        <w:pStyle w:val="headlineheader"/>
        <w:jc w:val="center"/>
        <w:rPr>
          <w:rFonts w:asciiTheme="minorHAnsi" w:hAnsiTheme="minorHAnsi" w:cstheme="minorHAnsi"/>
          <w:color w:val="0F218B"/>
          <w:sz w:val="52"/>
          <w:szCs w:val="52"/>
        </w:rPr>
      </w:pPr>
    </w:p>
    <w:p w14:paraId="49F74FC0" w14:textId="77777777" w:rsidR="006F6D08" w:rsidRPr="00457AE5" w:rsidRDefault="006F6D08" w:rsidP="003358AD">
      <w:pPr>
        <w:pStyle w:val="headlineheader"/>
        <w:jc w:val="center"/>
        <w:rPr>
          <w:rFonts w:asciiTheme="minorHAnsi" w:hAnsiTheme="minorHAnsi" w:cstheme="minorHAnsi"/>
          <w:color w:val="0F218B"/>
          <w:sz w:val="52"/>
          <w:szCs w:val="52"/>
        </w:rPr>
      </w:pPr>
    </w:p>
    <w:p w14:paraId="40060068" w14:textId="77777777" w:rsidR="006F6D08" w:rsidRPr="00457AE5" w:rsidRDefault="006F6D08" w:rsidP="003358AD">
      <w:pPr>
        <w:pStyle w:val="headlineheader"/>
        <w:jc w:val="center"/>
        <w:rPr>
          <w:rFonts w:asciiTheme="minorHAnsi" w:hAnsiTheme="minorHAnsi" w:cstheme="minorHAnsi"/>
          <w:color w:val="0F218B"/>
          <w:sz w:val="52"/>
          <w:szCs w:val="52"/>
        </w:rPr>
      </w:pPr>
    </w:p>
    <w:p w14:paraId="60DF6A77" w14:textId="77777777" w:rsidR="006F6D08" w:rsidRPr="00457AE5" w:rsidRDefault="006F6D08" w:rsidP="003358AD">
      <w:pPr>
        <w:pStyle w:val="headlineheader"/>
        <w:jc w:val="center"/>
        <w:rPr>
          <w:rFonts w:asciiTheme="minorHAnsi" w:hAnsiTheme="minorHAnsi" w:cstheme="minorHAnsi"/>
          <w:color w:val="0F218B"/>
          <w:sz w:val="52"/>
          <w:szCs w:val="52"/>
        </w:rPr>
      </w:pPr>
    </w:p>
    <w:p w14:paraId="62460AEB" w14:textId="67E4889A" w:rsidR="003358AD" w:rsidRPr="00457AE5" w:rsidRDefault="003358AD" w:rsidP="00D10FF3">
      <w:pPr>
        <w:pStyle w:val="headlineheader"/>
        <w:jc w:val="center"/>
        <w:rPr>
          <w:rFonts w:asciiTheme="minorHAnsi" w:hAnsiTheme="minorHAnsi" w:cstheme="minorHAnsi"/>
          <w:b w:val="0"/>
          <w:spacing w:val="5"/>
          <w:kern w:val="1"/>
          <w:sz w:val="52"/>
          <w:szCs w:val="52"/>
          <w:lang w:eastAsia="ar-SA"/>
        </w:rPr>
      </w:pPr>
      <w:r w:rsidRPr="00457AE5">
        <w:rPr>
          <w:rFonts w:asciiTheme="minorHAnsi" w:hAnsiTheme="minorHAnsi" w:cstheme="minorHAnsi"/>
          <w:color w:val="0F218B"/>
          <w:sz w:val="52"/>
          <w:szCs w:val="52"/>
        </w:rPr>
        <w:t xml:space="preserve">Explanatory note to the </w:t>
      </w:r>
      <w:r w:rsidR="00D10FF3" w:rsidRPr="00457AE5">
        <w:rPr>
          <w:rFonts w:asciiTheme="minorHAnsi" w:hAnsiTheme="minorHAnsi" w:cstheme="minorHAnsi"/>
          <w:color w:val="0F218B"/>
          <w:sz w:val="52"/>
          <w:szCs w:val="52"/>
        </w:rPr>
        <w:t xml:space="preserve">First amendment of the Methodology for the </w:t>
      </w:r>
      <w:r w:rsidR="005C751F" w:rsidRPr="00457AE5">
        <w:rPr>
          <w:rFonts w:asciiTheme="minorHAnsi" w:hAnsiTheme="minorHAnsi" w:cstheme="minorHAnsi"/>
          <w:color w:val="0F218B"/>
          <w:sz w:val="52"/>
          <w:szCs w:val="52"/>
        </w:rPr>
        <w:t>regional sizing of reserve capacity</w:t>
      </w:r>
    </w:p>
    <w:p w14:paraId="30CBAE3E" w14:textId="17E32D39" w:rsidR="003358AD" w:rsidRPr="00457AE5" w:rsidRDefault="00536383" w:rsidP="003358AD">
      <w:pPr>
        <w:pStyle w:val="Title2Green"/>
        <w:rPr>
          <w:rFonts w:asciiTheme="minorHAnsi" w:hAnsiTheme="minorHAnsi" w:cstheme="minorHAnsi"/>
        </w:rPr>
      </w:pPr>
      <w:r w:rsidRPr="00536383">
        <w:rPr>
          <w:rFonts w:asciiTheme="minorHAnsi" w:hAnsiTheme="minorHAnsi" w:cstheme="minorBidi"/>
          <w:lang w:val="en-US"/>
        </w:rPr>
        <w:t>in accordance with Article 3(2) of the methodology for the regional sizing of reserve capacity, as defined in accordance with Article 37(1)(j) of the Regulation (EU) 2019/943 of the European Parliament and of the Council of 5 June 2019 on the internal market for electricity</w:t>
      </w:r>
    </w:p>
    <w:p w14:paraId="10E84815" w14:textId="77777777" w:rsidR="003358AD" w:rsidRPr="00457AE5" w:rsidRDefault="003358AD" w:rsidP="003358AD">
      <w:pPr>
        <w:pStyle w:val="Title2Green"/>
        <w:rPr>
          <w:rFonts w:asciiTheme="minorHAnsi" w:hAnsiTheme="minorHAnsi" w:cstheme="minorHAnsi"/>
        </w:rPr>
      </w:pPr>
    </w:p>
    <w:p w14:paraId="3A221303" w14:textId="77777777" w:rsidR="003358AD" w:rsidRPr="00457AE5" w:rsidRDefault="003358AD" w:rsidP="003358AD">
      <w:pPr>
        <w:pStyle w:val="Title2Green"/>
        <w:rPr>
          <w:rFonts w:asciiTheme="minorHAnsi" w:hAnsiTheme="minorHAnsi" w:cstheme="minorHAnsi"/>
        </w:rPr>
      </w:pPr>
    </w:p>
    <w:p w14:paraId="48403B92" w14:textId="364CA2BE" w:rsidR="003358AD" w:rsidRPr="00457AE5" w:rsidRDefault="00536383" w:rsidP="20EC6575">
      <w:pPr>
        <w:pStyle w:val="Title2Green"/>
        <w:rPr>
          <w:rFonts w:asciiTheme="minorHAnsi" w:hAnsiTheme="minorHAnsi" w:cstheme="minorBidi"/>
        </w:rPr>
      </w:pPr>
      <w:r>
        <w:rPr>
          <w:rFonts w:asciiTheme="minorHAnsi" w:hAnsiTheme="minorHAnsi" w:cstheme="minorBidi"/>
        </w:rPr>
        <w:t>01 December</w:t>
      </w:r>
      <w:r w:rsidR="00D10FF3" w:rsidRPr="20EC6575">
        <w:rPr>
          <w:rFonts w:asciiTheme="minorHAnsi" w:hAnsiTheme="minorHAnsi" w:cstheme="minorBidi"/>
        </w:rPr>
        <w:t xml:space="preserve"> 2025</w:t>
      </w:r>
    </w:p>
    <w:p w14:paraId="633A35F1" w14:textId="77777777" w:rsidR="003358AD" w:rsidRPr="00457AE5" w:rsidRDefault="003358AD" w:rsidP="003358AD">
      <w:pPr>
        <w:rPr>
          <w:rFonts w:cstheme="minorHAnsi"/>
          <w:lang w:val="en-GB"/>
        </w:rPr>
      </w:pPr>
      <w:r w:rsidRPr="00457AE5">
        <w:rPr>
          <w:rFonts w:cstheme="minorHAnsi"/>
          <w:lang w:val="en-GB"/>
        </w:rPr>
        <w:t xml:space="preserve"> </w:t>
      </w:r>
      <w:r w:rsidRPr="00457AE5">
        <w:rPr>
          <w:rFonts w:cstheme="minorHAnsi"/>
          <w:lang w:val="en-GB"/>
        </w:rPr>
        <w:br w:type="page"/>
      </w:r>
    </w:p>
    <w:p w14:paraId="6D68FA3A" w14:textId="01107456" w:rsidR="00972507" w:rsidRPr="00457AE5" w:rsidRDefault="00972507">
      <w:pPr>
        <w:rPr>
          <w:rFonts w:cstheme="minorHAnsi"/>
          <w:lang w:val="en-GB"/>
        </w:rPr>
      </w:pPr>
      <w:r w:rsidRPr="00457AE5">
        <w:rPr>
          <w:rFonts w:eastAsia="Times New Roman" w:cstheme="minorHAnsi"/>
          <w:b/>
          <w:color w:val="0F218B"/>
          <w:kern w:val="0"/>
          <w:sz w:val="44"/>
          <w:szCs w:val="44"/>
          <w:lang w:val="en-GB" w:eastAsia="de-DE"/>
        </w:rPr>
        <w:lastRenderedPageBreak/>
        <w:t>Table of Contents</w:t>
      </w:r>
    </w:p>
    <w:p w14:paraId="0E84A876" w14:textId="77777777" w:rsidR="00DB3A07" w:rsidRPr="00457AE5" w:rsidRDefault="00DB3A07" w:rsidP="27026146">
      <w:pPr>
        <w:rPr>
          <w:rFonts w:eastAsia="Arial" w:cstheme="minorHAnsi"/>
          <w:lang w:val="en-GB"/>
        </w:rPr>
      </w:pPr>
    </w:p>
    <w:p w14:paraId="5EBECDA2" w14:textId="4DA55ABD" w:rsidR="00D10FF3" w:rsidRPr="00457AE5" w:rsidRDefault="00DB3A07">
      <w:pPr>
        <w:pStyle w:val="TOC1"/>
        <w:rPr>
          <w:rFonts w:eastAsiaTheme="minorEastAsia" w:cstheme="minorHAnsi"/>
          <w:noProof/>
          <w:sz w:val="24"/>
          <w:szCs w:val="24"/>
          <w:lang w:val="en-GB" w:eastAsia="de-DE"/>
        </w:rPr>
      </w:pPr>
      <w:r w:rsidRPr="00457AE5">
        <w:rPr>
          <w:rFonts w:cstheme="minorHAnsi"/>
          <w:lang w:val="en-GB"/>
        </w:rPr>
        <w:fldChar w:fldCharType="begin"/>
      </w:r>
      <w:r w:rsidRPr="00457AE5">
        <w:rPr>
          <w:rFonts w:cstheme="minorHAnsi"/>
          <w:lang w:val="en-GB"/>
        </w:rPr>
        <w:instrText xml:space="preserve"> TOC \o "1-5" \h \z \u </w:instrText>
      </w:r>
      <w:r w:rsidRPr="00457AE5">
        <w:rPr>
          <w:rFonts w:cstheme="minorHAnsi"/>
          <w:lang w:val="en-GB"/>
        </w:rPr>
        <w:fldChar w:fldCharType="separate"/>
      </w:r>
      <w:hyperlink w:anchor="_Toc195260105" w:history="1">
        <w:r w:rsidR="00D10FF3" w:rsidRPr="00457AE5">
          <w:rPr>
            <w:rStyle w:val="Hyperlink"/>
            <w:rFonts w:cstheme="minorHAnsi"/>
            <w:noProof/>
            <w:lang w:val="en-GB"/>
          </w:rPr>
          <w:t>1</w:t>
        </w:r>
        <w:r w:rsidR="00D10FF3" w:rsidRPr="00457AE5">
          <w:rPr>
            <w:rFonts w:eastAsiaTheme="minorEastAsia" w:cstheme="minorHAnsi"/>
            <w:noProof/>
            <w:sz w:val="24"/>
            <w:szCs w:val="24"/>
            <w:lang w:val="en-GB" w:eastAsia="de-DE"/>
          </w:rPr>
          <w:tab/>
        </w:r>
        <w:r w:rsidR="00D10FF3" w:rsidRPr="00457AE5">
          <w:rPr>
            <w:rStyle w:val="Hyperlink"/>
            <w:rFonts w:cstheme="minorHAnsi"/>
            <w:noProof/>
            <w:lang w:val="en-GB"/>
          </w:rPr>
          <w:t>Background</w:t>
        </w:r>
        <w:r w:rsidR="00D10FF3" w:rsidRPr="00457AE5">
          <w:rPr>
            <w:rFonts w:cstheme="minorHAnsi"/>
            <w:noProof/>
            <w:webHidden/>
            <w:lang w:val="en-GB"/>
          </w:rPr>
          <w:tab/>
        </w:r>
        <w:r w:rsidR="00D10FF3" w:rsidRPr="00457AE5">
          <w:rPr>
            <w:rFonts w:cstheme="minorHAnsi"/>
            <w:noProof/>
            <w:webHidden/>
            <w:lang w:val="en-GB"/>
          </w:rPr>
          <w:fldChar w:fldCharType="begin"/>
        </w:r>
        <w:r w:rsidR="00D10FF3" w:rsidRPr="00457AE5">
          <w:rPr>
            <w:rFonts w:cstheme="minorHAnsi"/>
            <w:noProof/>
            <w:webHidden/>
            <w:lang w:val="en-GB"/>
          </w:rPr>
          <w:instrText xml:space="preserve"> PAGEREF _Toc195260105 \h </w:instrText>
        </w:r>
        <w:r w:rsidR="00D10FF3" w:rsidRPr="00457AE5">
          <w:rPr>
            <w:rFonts w:cstheme="minorHAnsi"/>
            <w:noProof/>
            <w:webHidden/>
            <w:lang w:val="en-GB"/>
          </w:rPr>
        </w:r>
        <w:r w:rsidR="00D10FF3" w:rsidRPr="00457AE5">
          <w:rPr>
            <w:rFonts w:cstheme="minorHAnsi"/>
            <w:noProof/>
            <w:webHidden/>
            <w:lang w:val="en-GB"/>
          </w:rPr>
          <w:fldChar w:fldCharType="separate"/>
        </w:r>
        <w:r w:rsidR="00D10FF3" w:rsidRPr="00457AE5">
          <w:rPr>
            <w:rFonts w:cstheme="minorHAnsi"/>
            <w:noProof/>
            <w:webHidden/>
            <w:lang w:val="en-GB"/>
          </w:rPr>
          <w:t>3</w:t>
        </w:r>
        <w:r w:rsidR="00D10FF3" w:rsidRPr="00457AE5">
          <w:rPr>
            <w:rFonts w:cstheme="minorHAnsi"/>
            <w:noProof/>
            <w:webHidden/>
            <w:lang w:val="en-GB"/>
          </w:rPr>
          <w:fldChar w:fldCharType="end"/>
        </w:r>
      </w:hyperlink>
    </w:p>
    <w:p w14:paraId="58E3A634" w14:textId="5D91D692" w:rsidR="00D10FF3" w:rsidRPr="00457AE5" w:rsidRDefault="00D10FF3">
      <w:pPr>
        <w:pStyle w:val="TOC1"/>
        <w:rPr>
          <w:rFonts w:eastAsiaTheme="minorEastAsia" w:cstheme="minorHAnsi"/>
          <w:noProof/>
          <w:sz w:val="24"/>
          <w:szCs w:val="24"/>
          <w:lang w:val="en-GB" w:eastAsia="de-DE"/>
        </w:rPr>
      </w:pPr>
      <w:hyperlink w:anchor="_Toc195260106" w:history="1">
        <w:r w:rsidRPr="0017467F">
          <w:rPr>
            <w:rStyle w:val="Hyperlink"/>
            <w:lang w:val="en-GB"/>
          </w:rPr>
          <w:t>2</w:t>
        </w:r>
        <w:r w:rsidRPr="00457AE5">
          <w:rPr>
            <w:rFonts w:eastAsiaTheme="minorEastAsia" w:cstheme="minorHAnsi"/>
            <w:noProof/>
            <w:sz w:val="24"/>
            <w:szCs w:val="24"/>
            <w:lang w:val="en-GB" w:eastAsia="de-DE"/>
          </w:rPr>
          <w:tab/>
        </w:r>
        <w:r w:rsidRPr="0017467F">
          <w:rPr>
            <w:rStyle w:val="Hyperlink"/>
            <w:lang w:val="en-GB"/>
          </w:rPr>
          <w:t>Explanation behind SOR proposals</w:t>
        </w:r>
        <w:r w:rsidRPr="00457AE5">
          <w:rPr>
            <w:rFonts w:cstheme="minorHAnsi"/>
            <w:noProof/>
            <w:webHidden/>
            <w:lang w:val="en-GB"/>
          </w:rPr>
          <w:tab/>
        </w:r>
        <w:r w:rsidRPr="00457AE5">
          <w:rPr>
            <w:rFonts w:cstheme="minorHAnsi"/>
            <w:noProof/>
            <w:webHidden/>
            <w:lang w:val="en-GB"/>
          </w:rPr>
          <w:fldChar w:fldCharType="begin"/>
        </w:r>
        <w:r w:rsidRPr="00457AE5">
          <w:rPr>
            <w:rFonts w:cstheme="minorHAnsi"/>
            <w:noProof/>
            <w:webHidden/>
            <w:lang w:val="en-GB"/>
          </w:rPr>
          <w:instrText xml:space="preserve"> PAGEREF _Toc195260106 \h </w:instrText>
        </w:r>
        <w:r w:rsidRPr="00457AE5">
          <w:rPr>
            <w:rFonts w:cstheme="minorHAnsi"/>
            <w:noProof/>
            <w:webHidden/>
            <w:lang w:val="en-GB"/>
          </w:rPr>
        </w:r>
        <w:r w:rsidRPr="00457AE5">
          <w:rPr>
            <w:rFonts w:cstheme="minorHAnsi"/>
            <w:noProof/>
            <w:webHidden/>
            <w:lang w:val="en-GB"/>
          </w:rPr>
          <w:fldChar w:fldCharType="separate"/>
        </w:r>
        <w:r w:rsidRPr="00457AE5">
          <w:rPr>
            <w:rFonts w:cstheme="minorHAnsi"/>
            <w:noProof/>
            <w:webHidden/>
            <w:lang w:val="en-GB"/>
          </w:rPr>
          <w:t>3</w:t>
        </w:r>
        <w:r w:rsidRPr="00457AE5">
          <w:rPr>
            <w:rFonts w:cstheme="minorHAnsi"/>
            <w:noProof/>
            <w:webHidden/>
            <w:lang w:val="en-GB"/>
          </w:rPr>
          <w:fldChar w:fldCharType="end"/>
        </w:r>
      </w:hyperlink>
    </w:p>
    <w:p w14:paraId="306BF760" w14:textId="06445971" w:rsidR="00D10FF3" w:rsidRPr="00457AE5" w:rsidRDefault="00D10FF3">
      <w:pPr>
        <w:pStyle w:val="TOC2"/>
        <w:rPr>
          <w:rFonts w:eastAsiaTheme="minorEastAsia" w:cstheme="minorHAnsi"/>
          <w:noProof/>
          <w:sz w:val="24"/>
          <w:szCs w:val="24"/>
          <w:lang w:val="en-GB" w:eastAsia="de-DE"/>
        </w:rPr>
      </w:pPr>
      <w:hyperlink w:anchor="_Toc195260107" w:history="1">
        <w:r w:rsidRPr="0017467F">
          <w:rPr>
            <w:rStyle w:val="Hyperlink"/>
            <w:lang w:val="en-GB"/>
          </w:rPr>
          <w:t>2.1</w:t>
        </w:r>
        <w:r w:rsidRPr="00457AE5">
          <w:rPr>
            <w:rFonts w:eastAsiaTheme="minorEastAsia" w:cstheme="minorHAnsi"/>
            <w:noProof/>
            <w:sz w:val="24"/>
            <w:szCs w:val="24"/>
            <w:lang w:val="en-GB" w:eastAsia="de-DE"/>
          </w:rPr>
          <w:tab/>
        </w:r>
        <w:r w:rsidRPr="0017467F">
          <w:rPr>
            <w:rStyle w:val="Hyperlink"/>
            <w:lang w:val="en-GB"/>
          </w:rPr>
          <w:t>Baltic SOR</w:t>
        </w:r>
        <w:r w:rsidRPr="00457AE5">
          <w:rPr>
            <w:rFonts w:cstheme="minorHAnsi"/>
            <w:noProof/>
            <w:webHidden/>
            <w:lang w:val="en-GB"/>
          </w:rPr>
          <w:tab/>
        </w:r>
        <w:r w:rsidRPr="00457AE5">
          <w:rPr>
            <w:rFonts w:cstheme="minorHAnsi"/>
            <w:noProof/>
            <w:webHidden/>
            <w:lang w:val="en-GB"/>
          </w:rPr>
          <w:fldChar w:fldCharType="begin"/>
        </w:r>
        <w:r w:rsidRPr="00457AE5">
          <w:rPr>
            <w:rFonts w:cstheme="minorHAnsi"/>
            <w:noProof/>
            <w:webHidden/>
            <w:lang w:val="en-GB"/>
          </w:rPr>
          <w:instrText xml:space="preserve"> PAGEREF _Toc195260107 \h </w:instrText>
        </w:r>
        <w:r w:rsidRPr="00457AE5">
          <w:rPr>
            <w:rFonts w:cstheme="minorHAnsi"/>
            <w:noProof/>
            <w:webHidden/>
            <w:lang w:val="en-GB"/>
          </w:rPr>
        </w:r>
        <w:r w:rsidRPr="00457AE5">
          <w:rPr>
            <w:rFonts w:cstheme="minorHAnsi"/>
            <w:noProof/>
            <w:webHidden/>
            <w:lang w:val="en-GB"/>
          </w:rPr>
          <w:fldChar w:fldCharType="separate"/>
        </w:r>
        <w:r w:rsidRPr="00457AE5">
          <w:rPr>
            <w:rFonts w:cstheme="minorHAnsi"/>
            <w:noProof/>
            <w:webHidden/>
            <w:lang w:val="en-GB"/>
          </w:rPr>
          <w:t>3</w:t>
        </w:r>
        <w:r w:rsidRPr="00457AE5">
          <w:rPr>
            <w:rFonts w:cstheme="minorHAnsi"/>
            <w:noProof/>
            <w:webHidden/>
            <w:lang w:val="en-GB"/>
          </w:rPr>
          <w:fldChar w:fldCharType="end"/>
        </w:r>
      </w:hyperlink>
    </w:p>
    <w:p w14:paraId="38FDF997" w14:textId="1792D20F" w:rsidR="00D10FF3" w:rsidRPr="00457AE5" w:rsidRDefault="00D10FF3">
      <w:pPr>
        <w:pStyle w:val="TOC2"/>
        <w:rPr>
          <w:rFonts w:eastAsiaTheme="minorEastAsia" w:cstheme="minorHAnsi"/>
          <w:noProof/>
          <w:sz w:val="24"/>
          <w:szCs w:val="24"/>
          <w:lang w:val="en-GB" w:eastAsia="de-DE"/>
        </w:rPr>
      </w:pPr>
      <w:hyperlink w:anchor="_Toc195260108" w:history="1">
        <w:r w:rsidRPr="0017467F">
          <w:rPr>
            <w:rStyle w:val="Hyperlink"/>
            <w:lang w:val="en-GB"/>
          </w:rPr>
          <w:t>2.2</w:t>
        </w:r>
        <w:r w:rsidRPr="00457AE5">
          <w:rPr>
            <w:rFonts w:eastAsiaTheme="minorEastAsia" w:cstheme="minorHAnsi"/>
            <w:noProof/>
            <w:sz w:val="24"/>
            <w:szCs w:val="24"/>
            <w:lang w:val="en-GB" w:eastAsia="de-DE"/>
          </w:rPr>
          <w:tab/>
        </w:r>
        <w:r w:rsidRPr="0017467F">
          <w:rPr>
            <w:rStyle w:val="Hyperlink"/>
            <w:lang w:val="en-GB"/>
          </w:rPr>
          <w:t>Nordic SOR</w:t>
        </w:r>
        <w:r w:rsidRPr="00457AE5">
          <w:rPr>
            <w:rFonts w:cstheme="minorHAnsi"/>
            <w:noProof/>
            <w:webHidden/>
            <w:lang w:val="en-GB"/>
          </w:rPr>
          <w:tab/>
        </w:r>
        <w:r w:rsidRPr="00457AE5">
          <w:rPr>
            <w:rFonts w:cstheme="minorHAnsi"/>
            <w:noProof/>
            <w:webHidden/>
            <w:lang w:val="en-GB"/>
          </w:rPr>
          <w:fldChar w:fldCharType="begin"/>
        </w:r>
        <w:r w:rsidRPr="00457AE5">
          <w:rPr>
            <w:rFonts w:cstheme="minorHAnsi"/>
            <w:noProof/>
            <w:webHidden/>
            <w:lang w:val="en-GB"/>
          </w:rPr>
          <w:instrText xml:space="preserve"> PAGEREF _Toc195260108 \h </w:instrText>
        </w:r>
        <w:r w:rsidRPr="00457AE5">
          <w:rPr>
            <w:rFonts w:cstheme="minorHAnsi"/>
            <w:noProof/>
            <w:webHidden/>
            <w:lang w:val="en-GB"/>
          </w:rPr>
        </w:r>
        <w:r w:rsidRPr="00457AE5">
          <w:rPr>
            <w:rFonts w:cstheme="minorHAnsi"/>
            <w:noProof/>
            <w:webHidden/>
            <w:lang w:val="en-GB"/>
          </w:rPr>
          <w:fldChar w:fldCharType="separate"/>
        </w:r>
        <w:r w:rsidRPr="00457AE5">
          <w:rPr>
            <w:rFonts w:cstheme="minorHAnsi"/>
            <w:noProof/>
            <w:webHidden/>
            <w:lang w:val="en-GB"/>
          </w:rPr>
          <w:t>3</w:t>
        </w:r>
        <w:r w:rsidRPr="00457AE5">
          <w:rPr>
            <w:rFonts w:cstheme="minorHAnsi"/>
            <w:noProof/>
            <w:webHidden/>
            <w:lang w:val="en-GB"/>
          </w:rPr>
          <w:fldChar w:fldCharType="end"/>
        </w:r>
      </w:hyperlink>
    </w:p>
    <w:p w14:paraId="025CD5EC" w14:textId="1A574CEC" w:rsidR="00D10FF3" w:rsidRPr="00457AE5" w:rsidRDefault="00D10FF3">
      <w:pPr>
        <w:pStyle w:val="TOC2"/>
        <w:rPr>
          <w:rFonts w:eastAsiaTheme="minorEastAsia" w:cstheme="minorHAnsi"/>
          <w:noProof/>
          <w:sz w:val="24"/>
          <w:szCs w:val="24"/>
          <w:lang w:val="en-GB" w:eastAsia="de-DE"/>
        </w:rPr>
      </w:pPr>
      <w:hyperlink w:anchor="_Toc195260109" w:history="1">
        <w:r w:rsidRPr="0017467F">
          <w:rPr>
            <w:rStyle w:val="Hyperlink"/>
            <w:lang w:val="en-GB"/>
          </w:rPr>
          <w:t>2.3</w:t>
        </w:r>
        <w:r w:rsidRPr="00457AE5">
          <w:rPr>
            <w:rFonts w:eastAsiaTheme="minorEastAsia" w:cstheme="minorHAnsi"/>
            <w:noProof/>
            <w:sz w:val="24"/>
            <w:szCs w:val="24"/>
            <w:lang w:val="en-GB" w:eastAsia="de-DE"/>
          </w:rPr>
          <w:tab/>
        </w:r>
        <w:r w:rsidRPr="0017467F">
          <w:rPr>
            <w:rStyle w:val="Hyperlink"/>
            <w:lang w:val="en-GB"/>
          </w:rPr>
          <w:t>Central Europe (CE) SOR</w:t>
        </w:r>
        <w:r w:rsidRPr="00457AE5">
          <w:rPr>
            <w:rFonts w:cstheme="minorHAnsi"/>
            <w:noProof/>
            <w:webHidden/>
            <w:lang w:val="en-GB"/>
          </w:rPr>
          <w:tab/>
        </w:r>
        <w:r w:rsidRPr="00457AE5">
          <w:rPr>
            <w:rFonts w:cstheme="minorHAnsi"/>
            <w:noProof/>
            <w:webHidden/>
            <w:lang w:val="en-GB"/>
          </w:rPr>
          <w:fldChar w:fldCharType="begin"/>
        </w:r>
        <w:r w:rsidRPr="00457AE5">
          <w:rPr>
            <w:rFonts w:cstheme="minorHAnsi"/>
            <w:noProof/>
            <w:webHidden/>
            <w:lang w:val="en-GB"/>
          </w:rPr>
          <w:instrText xml:space="preserve"> PAGEREF _Toc195260109 \h </w:instrText>
        </w:r>
        <w:r w:rsidRPr="00457AE5">
          <w:rPr>
            <w:rFonts w:cstheme="minorHAnsi"/>
            <w:noProof/>
            <w:webHidden/>
            <w:lang w:val="en-GB"/>
          </w:rPr>
        </w:r>
        <w:r w:rsidRPr="00457AE5">
          <w:rPr>
            <w:rFonts w:cstheme="minorHAnsi"/>
            <w:noProof/>
            <w:webHidden/>
            <w:lang w:val="en-GB"/>
          </w:rPr>
          <w:fldChar w:fldCharType="separate"/>
        </w:r>
        <w:r w:rsidRPr="00457AE5">
          <w:rPr>
            <w:rFonts w:cstheme="minorHAnsi"/>
            <w:noProof/>
            <w:webHidden/>
            <w:lang w:val="en-GB"/>
          </w:rPr>
          <w:t>3</w:t>
        </w:r>
        <w:r w:rsidRPr="00457AE5">
          <w:rPr>
            <w:rFonts w:cstheme="minorHAnsi"/>
            <w:noProof/>
            <w:webHidden/>
            <w:lang w:val="en-GB"/>
          </w:rPr>
          <w:fldChar w:fldCharType="end"/>
        </w:r>
      </w:hyperlink>
    </w:p>
    <w:p w14:paraId="3E877DD3" w14:textId="12C74184" w:rsidR="00D10FF3" w:rsidRPr="00457AE5" w:rsidRDefault="00D10FF3">
      <w:pPr>
        <w:pStyle w:val="TOC2"/>
        <w:rPr>
          <w:rFonts w:eastAsiaTheme="minorEastAsia" w:cstheme="minorHAnsi"/>
          <w:noProof/>
          <w:sz w:val="24"/>
          <w:szCs w:val="24"/>
          <w:lang w:val="en-GB" w:eastAsia="de-DE"/>
        </w:rPr>
      </w:pPr>
      <w:hyperlink w:anchor="_Toc195260110" w:history="1">
        <w:r w:rsidRPr="0017467F">
          <w:rPr>
            <w:rStyle w:val="Hyperlink"/>
            <w:lang w:val="en-GB"/>
          </w:rPr>
          <w:t>2.4</w:t>
        </w:r>
        <w:r w:rsidRPr="00457AE5">
          <w:rPr>
            <w:rFonts w:eastAsiaTheme="minorEastAsia" w:cstheme="minorHAnsi"/>
            <w:noProof/>
            <w:sz w:val="24"/>
            <w:szCs w:val="24"/>
            <w:lang w:val="en-GB" w:eastAsia="de-DE"/>
          </w:rPr>
          <w:tab/>
        </w:r>
        <w:r w:rsidRPr="0017467F">
          <w:rPr>
            <w:rStyle w:val="Hyperlink"/>
            <w:lang w:val="en-GB"/>
          </w:rPr>
          <w:t>South-East Europe (SEE) SOR</w:t>
        </w:r>
        <w:r w:rsidRPr="00457AE5">
          <w:rPr>
            <w:rFonts w:cstheme="minorHAnsi"/>
            <w:noProof/>
            <w:webHidden/>
            <w:lang w:val="en-GB"/>
          </w:rPr>
          <w:tab/>
        </w:r>
        <w:r w:rsidRPr="00457AE5">
          <w:rPr>
            <w:rFonts w:cstheme="minorHAnsi"/>
            <w:noProof/>
            <w:webHidden/>
            <w:lang w:val="en-GB"/>
          </w:rPr>
          <w:fldChar w:fldCharType="begin"/>
        </w:r>
        <w:r w:rsidRPr="00457AE5">
          <w:rPr>
            <w:rFonts w:cstheme="minorHAnsi"/>
            <w:noProof/>
            <w:webHidden/>
            <w:lang w:val="en-GB"/>
          </w:rPr>
          <w:instrText xml:space="preserve"> PAGEREF _Toc195260110 \h </w:instrText>
        </w:r>
        <w:r w:rsidRPr="00457AE5">
          <w:rPr>
            <w:rFonts w:cstheme="minorHAnsi"/>
            <w:noProof/>
            <w:webHidden/>
            <w:lang w:val="en-GB"/>
          </w:rPr>
        </w:r>
        <w:r w:rsidRPr="00457AE5">
          <w:rPr>
            <w:rFonts w:cstheme="minorHAnsi"/>
            <w:noProof/>
            <w:webHidden/>
            <w:lang w:val="en-GB"/>
          </w:rPr>
          <w:fldChar w:fldCharType="separate"/>
        </w:r>
        <w:r w:rsidRPr="00457AE5">
          <w:rPr>
            <w:rFonts w:cstheme="minorHAnsi"/>
            <w:noProof/>
            <w:webHidden/>
            <w:lang w:val="en-GB"/>
          </w:rPr>
          <w:t>3</w:t>
        </w:r>
        <w:r w:rsidRPr="00457AE5">
          <w:rPr>
            <w:rFonts w:cstheme="minorHAnsi"/>
            <w:noProof/>
            <w:webHidden/>
            <w:lang w:val="en-GB"/>
          </w:rPr>
          <w:fldChar w:fldCharType="end"/>
        </w:r>
      </w:hyperlink>
    </w:p>
    <w:p w14:paraId="6EF2DF3E" w14:textId="6867405E" w:rsidR="00D10FF3" w:rsidRPr="00457AE5" w:rsidRDefault="00D10FF3">
      <w:pPr>
        <w:pStyle w:val="TOC2"/>
        <w:rPr>
          <w:rFonts w:eastAsiaTheme="minorEastAsia" w:cstheme="minorHAnsi"/>
          <w:noProof/>
          <w:sz w:val="24"/>
          <w:szCs w:val="24"/>
          <w:lang w:val="en-GB" w:eastAsia="de-DE"/>
        </w:rPr>
      </w:pPr>
      <w:hyperlink w:anchor="_Toc195260111" w:history="1">
        <w:r w:rsidRPr="0017467F">
          <w:rPr>
            <w:rStyle w:val="Hyperlink"/>
            <w:lang w:val="en-GB"/>
          </w:rPr>
          <w:t>2.5</w:t>
        </w:r>
        <w:r w:rsidRPr="00457AE5">
          <w:rPr>
            <w:rFonts w:eastAsiaTheme="minorEastAsia" w:cstheme="minorHAnsi"/>
            <w:noProof/>
            <w:sz w:val="24"/>
            <w:szCs w:val="24"/>
            <w:lang w:val="en-GB" w:eastAsia="de-DE"/>
          </w:rPr>
          <w:tab/>
        </w:r>
        <w:r w:rsidRPr="0017467F">
          <w:rPr>
            <w:rStyle w:val="Hyperlink"/>
            <w:lang w:val="en-GB"/>
          </w:rPr>
          <w:t>South-West Europe (SWE) SOR</w:t>
        </w:r>
        <w:r w:rsidRPr="00457AE5">
          <w:rPr>
            <w:rFonts w:cstheme="minorHAnsi"/>
            <w:noProof/>
            <w:webHidden/>
            <w:lang w:val="en-GB"/>
          </w:rPr>
          <w:tab/>
        </w:r>
        <w:r w:rsidRPr="00457AE5">
          <w:rPr>
            <w:rFonts w:cstheme="minorHAnsi"/>
            <w:noProof/>
            <w:webHidden/>
            <w:lang w:val="en-GB"/>
          </w:rPr>
          <w:fldChar w:fldCharType="begin"/>
        </w:r>
        <w:r w:rsidRPr="00457AE5">
          <w:rPr>
            <w:rFonts w:cstheme="minorHAnsi"/>
            <w:noProof/>
            <w:webHidden/>
            <w:lang w:val="en-GB"/>
          </w:rPr>
          <w:instrText xml:space="preserve"> PAGEREF _Toc195260111 \h </w:instrText>
        </w:r>
        <w:r w:rsidRPr="00457AE5">
          <w:rPr>
            <w:rFonts w:cstheme="minorHAnsi"/>
            <w:noProof/>
            <w:webHidden/>
            <w:lang w:val="en-GB"/>
          </w:rPr>
        </w:r>
        <w:r w:rsidRPr="00457AE5">
          <w:rPr>
            <w:rFonts w:cstheme="minorHAnsi"/>
            <w:noProof/>
            <w:webHidden/>
            <w:lang w:val="en-GB"/>
          </w:rPr>
          <w:fldChar w:fldCharType="separate"/>
        </w:r>
        <w:r w:rsidRPr="00457AE5">
          <w:rPr>
            <w:rFonts w:cstheme="minorHAnsi"/>
            <w:noProof/>
            <w:webHidden/>
            <w:lang w:val="en-GB"/>
          </w:rPr>
          <w:t>3</w:t>
        </w:r>
        <w:r w:rsidRPr="00457AE5">
          <w:rPr>
            <w:rFonts w:cstheme="minorHAnsi"/>
            <w:noProof/>
            <w:webHidden/>
            <w:lang w:val="en-GB"/>
          </w:rPr>
          <w:fldChar w:fldCharType="end"/>
        </w:r>
      </w:hyperlink>
    </w:p>
    <w:p w14:paraId="7A2C0126" w14:textId="766B4B53" w:rsidR="00600C38" w:rsidRPr="00457AE5" w:rsidRDefault="00DB3A07" w:rsidP="00703B75">
      <w:pPr>
        <w:rPr>
          <w:rFonts w:eastAsia="Arial" w:cstheme="minorHAnsi"/>
          <w:lang w:val="en-GB"/>
        </w:rPr>
      </w:pPr>
      <w:r w:rsidRPr="00457AE5">
        <w:rPr>
          <w:rFonts w:eastAsia="Arial" w:cstheme="minorHAnsi"/>
          <w:lang w:val="en-GB"/>
        </w:rPr>
        <w:fldChar w:fldCharType="end"/>
      </w:r>
      <w:r w:rsidR="00BD5EDC" w:rsidRPr="00457AE5">
        <w:rPr>
          <w:rFonts w:eastAsia="Arial" w:cstheme="minorHAnsi"/>
          <w:lang w:val="en-GB"/>
        </w:rPr>
        <w:br w:type="column"/>
      </w:r>
    </w:p>
    <w:p w14:paraId="05B0864A" w14:textId="1ADCEA2A" w:rsidR="00703B75" w:rsidRPr="00457AE5" w:rsidRDefault="00D10FF3" w:rsidP="00D10FF3">
      <w:pPr>
        <w:pStyle w:val="Heading1"/>
        <w:rPr>
          <w:rFonts w:asciiTheme="minorHAnsi" w:hAnsiTheme="minorHAnsi" w:cstheme="minorHAnsi"/>
          <w:lang w:val="en-GB"/>
        </w:rPr>
      </w:pPr>
      <w:bookmarkStart w:id="1" w:name="_Toc195260105"/>
      <w:r w:rsidRPr="00457AE5">
        <w:rPr>
          <w:rFonts w:asciiTheme="minorHAnsi" w:hAnsiTheme="minorHAnsi" w:cstheme="minorHAnsi"/>
          <w:lang w:val="en-GB"/>
        </w:rPr>
        <w:t>Background</w:t>
      </w:r>
      <w:bookmarkEnd w:id="1"/>
    </w:p>
    <w:p w14:paraId="3A93BCC0" w14:textId="77777777" w:rsidR="005C751F" w:rsidRPr="005C751F" w:rsidRDefault="005C751F" w:rsidP="005C751F">
      <w:pPr>
        <w:rPr>
          <w:lang w:val="en-GB"/>
        </w:rPr>
      </w:pPr>
      <w:r w:rsidRPr="005C751F">
        <w:rPr>
          <w:lang w:val="en-GB"/>
        </w:rPr>
        <w:t>a.</w:t>
      </w:r>
      <w:r w:rsidRPr="005C751F">
        <w:rPr>
          <w:lang w:val="en-GB"/>
        </w:rPr>
        <w:tab/>
        <w:t xml:space="preserve">the </w:t>
      </w:r>
      <w:proofErr w:type="gramStart"/>
      <w:r w:rsidRPr="005C751F">
        <w:rPr>
          <w:lang w:val="en-GB"/>
        </w:rPr>
        <w:t>time period</w:t>
      </w:r>
      <w:proofErr w:type="gramEnd"/>
      <w:r w:rsidRPr="005C751F">
        <w:rPr>
          <w:lang w:val="en-GB"/>
        </w:rPr>
        <w:t xml:space="preserve"> considered for the historical records related to in Article 4(4)(a) of the RCC Sizing Methodology; and </w:t>
      </w:r>
    </w:p>
    <w:p w14:paraId="09355B42" w14:textId="15346ACA" w:rsidR="00D10FF3" w:rsidRPr="00D10FF3" w:rsidRDefault="005C751F" w:rsidP="005C751F">
      <w:pPr>
        <w:rPr>
          <w:lang w:val="en-GB"/>
        </w:rPr>
      </w:pPr>
      <w:r w:rsidRPr="005C751F">
        <w:rPr>
          <w:lang w:val="en-GB"/>
        </w:rPr>
        <w:t>b.</w:t>
      </w:r>
      <w:r w:rsidRPr="005C751F">
        <w:rPr>
          <w:lang w:val="en-GB"/>
        </w:rPr>
        <w:tab/>
        <w:t xml:space="preserve"> the levels X, Y included in Article 4(4) of the RCC Sizing Methodology. </w:t>
      </w:r>
      <w:r w:rsidR="00D10FF3">
        <w:rPr>
          <w:lang w:val="en-GB"/>
        </w:rPr>
        <w:t xml:space="preserve"> </w:t>
      </w:r>
    </w:p>
    <w:p w14:paraId="24EAAC17" w14:textId="19ACF92C" w:rsidR="00B23EB1" w:rsidRPr="00457AE5" w:rsidRDefault="00D10FF3" w:rsidP="00D10FF3">
      <w:pPr>
        <w:pStyle w:val="Heading1"/>
        <w:rPr>
          <w:rFonts w:asciiTheme="minorHAnsi" w:hAnsiTheme="minorHAnsi" w:cstheme="minorHAnsi"/>
          <w:lang w:val="en-GB"/>
        </w:rPr>
      </w:pPr>
      <w:bookmarkStart w:id="2" w:name="_Toc195260106"/>
      <w:r w:rsidRPr="00457AE5">
        <w:rPr>
          <w:rFonts w:asciiTheme="minorHAnsi" w:hAnsiTheme="minorHAnsi" w:cstheme="minorHAnsi"/>
          <w:lang w:val="en-GB"/>
        </w:rPr>
        <w:t>Explanation behind SOR proposals</w:t>
      </w:r>
      <w:bookmarkEnd w:id="2"/>
    </w:p>
    <w:p w14:paraId="6C2F9628" w14:textId="664950D1" w:rsidR="00D10FF3" w:rsidRPr="00457AE5" w:rsidRDefault="00D10FF3" w:rsidP="00D10FF3">
      <w:pPr>
        <w:pStyle w:val="Heading2"/>
        <w:rPr>
          <w:rFonts w:asciiTheme="minorHAnsi" w:hAnsiTheme="minorHAnsi" w:cstheme="minorHAnsi"/>
          <w:lang w:val="en-GB"/>
        </w:rPr>
      </w:pPr>
      <w:bookmarkStart w:id="3" w:name="_Toc195260107"/>
      <w:bookmarkEnd w:id="0"/>
      <w:r w:rsidRPr="00457AE5">
        <w:rPr>
          <w:rFonts w:asciiTheme="minorHAnsi" w:hAnsiTheme="minorHAnsi" w:cstheme="minorHAnsi"/>
          <w:lang w:val="en-GB"/>
        </w:rPr>
        <w:t>Baltic SOR</w:t>
      </w:r>
      <w:bookmarkEnd w:id="3"/>
    </w:p>
    <w:tbl>
      <w:tblPr>
        <w:tblStyle w:val="TableGrid"/>
        <w:tblW w:w="0" w:type="auto"/>
        <w:tblLook w:val="06A0" w:firstRow="1" w:lastRow="0" w:firstColumn="1" w:lastColumn="0" w:noHBand="1" w:noVBand="1"/>
      </w:tblPr>
      <w:tblGrid>
        <w:gridCol w:w="1965"/>
        <w:gridCol w:w="1200"/>
        <w:gridCol w:w="5895"/>
      </w:tblGrid>
      <w:tr w:rsidR="7773A997" w:rsidRPr="00457AE5" w14:paraId="344038D7" w14:textId="77777777" w:rsidTr="6A32C6A2">
        <w:trPr>
          <w:trHeight w:val="300"/>
        </w:trPr>
        <w:tc>
          <w:tcPr>
            <w:tcW w:w="1965" w:type="dxa"/>
            <w:shd w:val="clear" w:color="auto" w:fill="DEEAF6" w:themeFill="accent1" w:themeFillTint="33"/>
          </w:tcPr>
          <w:p w14:paraId="43DC10E9" w14:textId="6E6503CA" w:rsidR="7773A997" w:rsidRDefault="7773A997" w:rsidP="7773A997">
            <w:pPr>
              <w:rPr>
                <w:b/>
                <w:lang w:val="en-GB"/>
              </w:rPr>
            </w:pPr>
            <w:r w:rsidRPr="7773A997">
              <w:rPr>
                <w:b/>
                <w:lang w:val="en-GB"/>
              </w:rPr>
              <w:t>Parameter</w:t>
            </w:r>
          </w:p>
        </w:tc>
        <w:tc>
          <w:tcPr>
            <w:tcW w:w="1200" w:type="dxa"/>
            <w:shd w:val="clear" w:color="auto" w:fill="DEEAF6" w:themeFill="accent1" w:themeFillTint="33"/>
          </w:tcPr>
          <w:p w14:paraId="0940925F" w14:textId="61995770" w:rsidR="7773A997" w:rsidRDefault="7773A997" w:rsidP="7773A997">
            <w:pPr>
              <w:rPr>
                <w:b/>
                <w:lang w:val="en-GB"/>
              </w:rPr>
            </w:pPr>
            <w:r w:rsidRPr="7773A997">
              <w:rPr>
                <w:b/>
                <w:lang w:val="en-GB"/>
              </w:rPr>
              <w:t>Value</w:t>
            </w:r>
          </w:p>
        </w:tc>
        <w:tc>
          <w:tcPr>
            <w:tcW w:w="5895" w:type="dxa"/>
            <w:shd w:val="clear" w:color="auto" w:fill="DEEAF6" w:themeFill="accent1" w:themeFillTint="33"/>
          </w:tcPr>
          <w:p w14:paraId="249890FE" w14:textId="785C712E" w:rsidR="7773A997" w:rsidRDefault="7773A997" w:rsidP="7773A997">
            <w:pPr>
              <w:rPr>
                <w:b/>
                <w:lang w:val="en-GB"/>
              </w:rPr>
            </w:pPr>
            <w:r w:rsidRPr="7773A997">
              <w:rPr>
                <w:b/>
                <w:lang w:val="en-GB"/>
              </w:rPr>
              <w:t>Justification</w:t>
            </w:r>
          </w:p>
        </w:tc>
      </w:tr>
      <w:tr w:rsidR="7773A997" w:rsidRPr="00A7676F" w14:paraId="41B8836A" w14:textId="77777777" w:rsidTr="6A32C6A2">
        <w:trPr>
          <w:trHeight w:val="300"/>
        </w:trPr>
        <w:tc>
          <w:tcPr>
            <w:tcW w:w="1965" w:type="dxa"/>
            <w:shd w:val="clear" w:color="auto" w:fill="DEEAF6" w:themeFill="accent1" w:themeFillTint="33"/>
          </w:tcPr>
          <w:p w14:paraId="27EEB923" w14:textId="40E22207" w:rsidR="7773A997" w:rsidRDefault="7773A997" w:rsidP="7773A997">
            <w:pPr>
              <w:rPr>
                <w:lang w:val="en-GB"/>
              </w:rPr>
            </w:pPr>
            <w:r w:rsidRPr="7773A997">
              <w:rPr>
                <w:lang w:val="en-GB"/>
              </w:rPr>
              <w:t xml:space="preserve">Time period for historical data </w:t>
            </w:r>
          </w:p>
        </w:tc>
        <w:tc>
          <w:tcPr>
            <w:tcW w:w="1200" w:type="dxa"/>
          </w:tcPr>
          <w:p w14:paraId="6F16AD04" w14:textId="093D598A" w:rsidR="7773A997" w:rsidRPr="00457AE5" w:rsidRDefault="0A500813" w:rsidP="6A32C6A2">
            <w:pPr>
              <w:rPr>
                <w:rFonts w:cstheme="minorHAnsi"/>
                <w:lang w:val="en-GB"/>
              </w:rPr>
            </w:pPr>
            <w:r w:rsidRPr="6A32C6A2">
              <w:rPr>
                <w:lang w:val="en-GB"/>
              </w:rPr>
              <w:t>1 year</w:t>
            </w:r>
          </w:p>
        </w:tc>
        <w:tc>
          <w:tcPr>
            <w:tcW w:w="5895" w:type="dxa"/>
          </w:tcPr>
          <w:p w14:paraId="78DB49E3" w14:textId="04387481" w:rsidR="7773A997" w:rsidRDefault="65C73F29" w:rsidP="58D33443">
            <w:pPr>
              <w:rPr>
                <w:lang w:val="en-GB"/>
              </w:rPr>
            </w:pPr>
            <w:r w:rsidRPr="615CEB5D">
              <w:rPr>
                <w:lang w:val="en-GB"/>
              </w:rPr>
              <w:t>Minimum of 12 months and time of being in the Synchronization with EU (to exclude ir</w:t>
            </w:r>
            <w:r w:rsidR="7D22EB72" w:rsidRPr="615CEB5D">
              <w:rPr>
                <w:lang w:val="en-GB"/>
              </w:rPr>
              <w:t>relevant data before the of Synchronization event and to be able to allow seasonal variability)</w:t>
            </w:r>
            <w:r w:rsidR="4A1A0563" w:rsidRPr="615CEB5D">
              <w:rPr>
                <w:lang w:val="en-GB"/>
              </w:rPr>
              <w:t>.</w:t>
            </w:r>
          </w:p>
        </w:tc>
      </w:tr>
      <w:tr w:rsidR="7773A997" w:rsidRPr="00A7676F" w14:paraId="1DA0B04D" w14:textId="77777777" w:rsidTr="6A32C6A2">
        <w:trPr>
          <w:trHeight w:val="300"/>
        </w:trPr>
        <w:tc>
          <w:tcPr>
            <w:tcW w:w="1965" w:type="dxa"/>
            <w:shd w:val="clear" w:color="auto" w:fill="DEEAF6" w:themeFill="accent1" w:themeFillTint="33"/>
          </w:tcPr>
          <w:p w14:paraId="2BB70B5E" w14:textId="3CB36386" w:rsidR="7773A997" w:rsidRDefault="7773A997" w:rsidP="7773A997">
            <w:pPr>
              <w:rPr>
                <w:lang w:val="en-GB"/>
              </w:rPr>
            </w:pPr>
            <w:r w:rsidRPr="7773A997">
              <w:rPr>
                <w:lang w:val="en-GB"/>
              </w:rPr>
              <w:t>Parameter X</w:t>
            </w:r>
          </w:p>
        </w:tc>
        <w:tc>
          <w:tcPr>
            <w:tcW w:w="1200" w:type="dxa"/>
          </w:tcPr>
          <w:p w14:paraId="628CF1C2" w14:textId="0915794C" w:rsidR="1FC983E4" w:rsidRDefault="310F8EAF" w:rsidP="7773A997">
            <w:pPr>
              <w:rPr>
                <w:lang w:val="en-GB"/>
              </w:rPr>
            </w:pPr>
            <w:r w:rsidRPr="5942E0AC">
              <w:rPr>
                <w:lang w:val="en-GB"/>
              </w:rPr>
              <w:t>99.9</w:t>
            </w:r>
            <w:r w:rsidR="2E00A390" w:rsidRPr="5942E0AC">
              <w:rPr>
                <w:lang w:val="en-GB"/>
              </w:rPr>
              <w:t>0</w:t>
            </w:r>
            <w:r w:rsidR="7773A997" w:rsidRPr="5942E0AC">
              <w:rPr>
                <w:lang w:val="en-GB"/>
              </w:rPr>
              <w:t>%</w:t>
            </w:r>
          </w:p>
        </w:tc>
        <w:tc>
          <w:tcPr>
            <w:tcW w:w="5895" w:type="dxa"/>
          </w:tcPr>
          <w:p w14:paraId="392BDD38" w14:textId="65CCF161" w:rsidR="7773A997" w:rsidRDefault="32A29B71" w:rsidP="5587C02D">
            <w:pPr>
              <w:rPr>
                <w:lang w:val="en-GB"/>
              </w:rPr>
            </w:pPr>
            <w:r w:rsidRPr="7D03951D">
              <w:rPr>
                <w:lang w:val="en-GB"/>
              </w:rPr>
              <w:t>Close to 100%, the</w:t>
            </w:r>
            <w:r w:rsidR="59940FDE" w:rsidRPr="7D03951D">
              <w:rPr>
                <w:lang w:val="en-GB"/>
              </w:rPr>
              <w:t xml:space="preserve"> calculation may provide misleading results due to the outliers that may be present in input data or extrapolation due to fitting to normal distribution.</w:t>
            </w:r>
          </w:p>
        </w:tc>
      </w:tr>
      <w:tr w:rsidR="7773A997" w:rsidRPr="00A7676F" w14:paraId="0BD0BEBA" w14:textId="77777777" w:rsidTr="6A32C6A2">
        <w:trPr>
          <w:trHeight w:val="300"/>
        </w:trPr>
        <w:tc>
          <w:tcPr>
            <w:tcW w:w="1965" w:type="dxa"/>
            <w:shd w:val="clear" w:color="auto" w:fill="DEEAF6" w:themeFill="accent1" w:themeFillTint="33"/>
          </w:tcPr>
          <w:p w14:paraId="782E5FBE" w14:textId="4B78F8D0" w:rsidR="7773A997" w:rsidRDefault="7773A997" w:rsidP="7773A997">
            <w:pPr>
              <w:rPr>
                <w:lang w:val="en-GB"/>
              </w:rPr>
            </w:pPr>
            <w:r w:rsidRPr="7773A997">
              <w:rPr>
                <w:lang w:val="en-GB"/>
              </w:rPr>
              <w:t xml:space="preserve">Parameter Y </w:t>
            </w:r>
          </w:p>
        </w:tc>
        <w:tc>
          <w:tcPr>
            <w:tcW w:w="1200" w:type="dxa"/>
          </w:tcPr>
          <w:p w14:paraId="587C0581" w14:textId="0A7002AD" w:rsidR="7A653B6C" w:rsidRDefault="5926E473" w:rsidP="7773A997">
            <w:pPr>
              <w:rPr>
                <w:lang w:val="en-GB"/>
              </w:rPr>
            </w:pPr>
            <w:r w:rsidRPr="5942E0AC">
              <w:rPr>
                <w:lang w:val="en-GB"/>
              </w:rPr>
              <w:t>99.9</w:t>
            </w:r>
            <w:r w:rsidR="73EDCA35" w:rsidRPr="5942E0AC">
              <w:rPr>
                <w:lang w:val="en-GB"/>
              </w:rPr>
              <w:t>0</w:t>
            </w:r>
            <w:r w:rsidR="7773A997" w:rsidRPr="5942E0AC">
              <w:rPr>
                <w:lang w:val="en-GB"/>
              </w:rPr>
              <w:t>%</w:t>
            </w:r>
          </w:p>
        </w:tc>
        <w:tc>
          <w:tcPr>
            <w:tcW w:w="5895" w:type="dxa"/>
          </w:tcPr>
          <w:p w14:paraId="375BD99F" w14:textId="3ECFFFFD" w:rsidR="7773A997" w:rsidRDefault="72DA9BE7" w:rsidP="5587C02D">
            <w:pPr>
              <w:rPr>
                <w:lang w:val="en-GB"/>
              </w:rPr>
            </w:pPr>
            <w:r w:rsidRPr="7D03951D">
              <w:rPr>
                <w:lang w:val="en-GB"/>
              </w:rPr>
              <w:t xml:space="preserve">Close to 100%, the </w:t>
            </w:r>
            <w:r w:rsidR="6224641F" w:rsidRPr="7D03951D">
              <w:rPr>
                <w:lang w:val="en-GB"/>
              </w:rPr>
              <w:t>calculation may provide misleading results due to the outliers that may be present in input data or extrapolation due to fitting to normal distribution.</w:t>
            </w:r>
          </w:p>
        </w:tc>
      </w:tr>
    </w:tbl>
    <w:p w14:paraId="1998BEA1" w14:textId="1C731F54" w:rsidR="00D10FF3" w:rsidRPr="00D10FF3" w:rsidRDefault="00D10FF3" w:rsidP="00D10FF3">
      <w:pPr>
        <w:rPr>
          <w:lang w:val="en-GB"/>
        </w:rPr>
      </w:pPr>
    </w:p>
    <w:p w14:paraId="78A05AB7" w14:textId="0654673A" w:rsidR="00D10FF3" w:rsidRPr="00457AE5" w:rsidRDefault="00D10FF3" w:rsidP="00D10FF3">
      <w:pPr>
        <w:pStyle w:val="Heading2"/>
        <w:rPr>
          <w:rFonts w:asciiTheme="minorHAnsi" w:hAnsiTheme="minorHAnsi" w:cstheme="minorHAnsi"/>
          <w:lang w:val="en-GB"/>
        </w:rPr>
      </w:pPr>
      <w:bookmarkStart w:id="4" w:name="_Toc195260108"/>
      <w:r w:rsidRPr="00457AE5">
        <w:rPr>
          <w:rFonts w:asciiTheme="minorHAnsi" w:hAnsiTheme="minorHAnsi" w:cstheme="minorHAnsi"/>
          <w:lang w:val="en-GB"/>
        </w:rPr>
        <w:t>Nordic SOR</w:t>
      </w:r>
      <w:bookmarkEnd w:id="4"/>
    </w:p>
    <w:tbl>
      <w:tblPr>
        <w:tblStyle w:val="TableGrid"/>
        <w:tblW w:w="0" w:type="auto"/>
        <w:tblLook w:val="06A0" w:firstRow="1" w:lastRow="0" w:firstColumn="1" w:lastColumn="0" w:noHBand="1" w:noVBand="1"/>
      </w:tblPr>
      <w:tblGrid>
        <w:gridCol w:w="1965"/>
        <w:gridCol w:w="1200"/>
        <w:gridCol w:w="5895"/>
      </w:tblGrid>
      <w:tr w:rsidR="7773A997" w:rsidRPr="00457AE5" w14:paraId="444B719F" w14:textId="77777777" w:rsidTr="77DB1810">
        <w:trPr>
          <w:trHeight w:val="300"/>
        </w:trPr>
        <w:tc>
          <w:tcPr>
            <w:tcW w:w="1965" w:type="dxa"/>
            <w:shd w:val="clear" w:color="auto" w:fill="DEEAF6" w:themeFill="accent1" w:themeFillTint="33"/>
          </w:tcPr>
          <w:p w14:paraId="726147C7" w14:textId="6E6503CA" w:rsidR="7773A997" w:rsidRDefault="7773A997" w:rsidP="7773A997">
            <w:pPr>
              <w:rPr>
                <w:b/>
                <w:lang w:val="en-GB"/>
              </w:rPr>
            </w:pPr>
            <w:r w:rsidRPr="7773A997">
              <w:rPr>
                <w:b/>
                <w:lang w:val="en-GB"/>
              </w:rPr>
              <w:t>Parameter</w:t>
            </w:r>
          </w:p>
        </w:tc>
        <w:tc>
          <w:tcPr>
            <w:tcW w:w="1200" w:type="dxa"/>
            <w:shd w:val="clear" w:color="auto" w:fill="DEEAF6" w:themeFill="accent1" w:themeFillTint="33"/>
          </w:tcPr>
          <w:p w14:paraId="2142561B" w14:textId="61995770" w:rsidR="7773A997" w:rsidRDefault="7773A997" w:rsidP="7773A997">
            <w:pPr>
              <w:rPr>
                <w:b/>
                <w:lang w:val="en-GB"/>
              </w:rPr>
            </w:pPr>
            <w:r w:rsidRPr="7773A997">
              <w:rPr>
                <w:b/>
                <w:lang w:val="en-GB"/>
              </w:rPr>
              <w:t>Value</w:t>
            </w:r>
          </w:p>
        </w:tc>
        <w:tc>
          <w:tcPr>
            <w:tcW w:w="5895" w:type="dxa"/>
            <w:shd w:val="clear" w:color="auto" w:fill="DEEAF6" w:themeFill="accent1" w:themeFillTint="33"/>
          </w:tcPr>
          <w:p w14:paraId="00D8D6AD" w14:textId="785C712E" w:rsidR="7773A997" w:rsidRDefault="7773A997" w:rsidP="7773A997">
            <w:pPr>
              <w:rPr>
                <w:b/>
                <w:lang w:val="en-GB"/>
              </w:rPr>
            </w:pPr>
            <w:r w:rsidRPr="7773A997">
              <w:rPr>
                <w:b/>
                <w:lang w:val="en-GB"/>
              </w:rPr>
              <w:t>Justification</w:t>
            </w:r>
          </w:p>
        </w:tc>
      </w:tr>
      <w:tr w:rsidR="7773A997" w:rsidRPr="00457AE5" w14:paraId="3D167B46" w14:textId="77777777" w:rsidTr="77DB1810">
        <w:trPr>
          <w:trHeight w:val="300"/>
        </w:trPr>
        <w:tc>
          <w:tcPr>
            <w:tcW w:w="1965" w:type="dxa"/>
            <w:shd w:val="clear" w:color="auto" w:fill="DEEAF6" w:themeFill="accent1" w:themeFillTint="33"/>
          </w:tcPr>
          <w:p w14:paraId="520F805A" w14:textId="40E22207" w:rsidR="7773A997" w:rsidRDefault="7773A997" w:rsidP="7773A997">
            <w:pPr>
              <w:rPr>
                <w:lang w:val="en-GB"/>
              </w:rPr>
            </w:pPr>
            <w:r w:rsidRPr="7773A997">
              <w:rPr>
                <w:lang w:val="en-GB"/>
              </w:rPr>
              <w:t xml:space="preserve">Time period for historical data </w:t>
            </w:r>
          </w:p>
        </w:tc>
        <w:tc>
          <w:tcPr>
            <w:tcW w:w="1200" w:type="dxa"/>
          </w:tcPr>
          <w:p w14:paraId="44C3BB92" w14:textId="4701AC9C" w:rsidR="7773A997" w:rsidRDefault="1747CBA4" w:rsidP="77920359">
            <w:pPr>
              <w:rPr>
                <w:lang w:val="en-GB"/>
              </w:rPr>
            </w:pPr>
            <w:r w:rsidRPr="77920359">
              <w:rPr>
                <w:lang w:val="en-GB"/>
              </w:rPr>
              <w:t>1 year</w:t>
            </w:r>
          </w:p>
        </w:tc>
        <w:tc>
          <w:tcPr>
            <w:tcW w:w="5895" w:type="dxa"/>
          </w:tcPr>
          <w:p w14:paraId="114D53EC" w14:textId="53F47BA3" w:rsidR="7773A997" w:rsidRDefault="7773A997" w:rsidP="7773A997">
            <w:pPr>
              <w:rPr>
                <w:lang w:val="en-GB"/>
              </w:rPr>
            </w:pPr>
          </w:p>
        </w:tc>
      </w:tr>
      <w:tr w:rsidR="7773A997" w:rsidRPr="00A7676F" w14:paraId="6EC41465" w14:textId="77777777" w:rsidTr="77DB1810">
        <w:trPr>
          <w:trHeight w:val="300"/>
        </w:trPr>
        <w:tc>
          <w:tcPr>
            <w:tcW w:w="1965" w:type="dxa"/>
            <w:shd w:val="clear" w:color="auto" w:fill="DEEAF6" w:themeFill="accent1" w:themeFillTint="33"/>
          </w:tcPr>
          <w:p w14:paraId="044C7F68" w14:textId="3CB36386" w:rsidR="7773A997" w:rsidRDefault="7773A997" w:rsidP="7773A997">
            <w:pPr>
              <w:rPr>
                <w:lang w:val="en-GB"/>
              </w:rPr>
            </w:pPr>
            <w:r w:rsidRPr="7773A997">
              <w:rPr>
                <w:lang w:val="en-GB"/>
              </w:rPr>
              <w:t>Parameter X</w:t>
            </w:r>
          </w:p>
        </w:tc>
        <w:tc>
          <w:tcPr>
            <w:tcW w:w="1200" w:type="dxa"/>
          </w:tcPr>
          <w:p w14:paraId="10D9C289" w14:textId="45014407" w:rsidR="7773A997" w:rsidRDefault="048637F7" w:rsidP="7773A997">
            <w:pPr>
              <w:rPr>
                <w:lang w:val="en-GB"/>
              </w:rPr>
            </w:pPr>
            <w:r w:rsidRPr="7E60A668">
              <w:rPr>
                <w:lang w:val="en-GB"/>
              </w:rPr>
              <w:t>99.5</w:t>
            </w:r>
            <w:r w:rsidR="5197650B" w:rsidRPr="7E60A668">
              <w:rPr>
                <w:lang w:val="en-GB"/>
              </w:rPr>
              <w:t xml:space="preserve"> </w:t>
            </w:r>
            <w:r w:rsidR="7773A997" w:rsidRPr="7E60A668">
              <w:rPr>
                <w:lang w:val="en-GB"/>
              </w:rPr>
              <w:t>%</w:t>
            </w:r>
          </w:p>
        </w:tc>
        <w:tc>
          <w:tcPr>
            <w:tcW w:w="5895" w:type="dxa"/>
          </w:tcPr>
          <w:p w14:paraId="3F1847B3" w14:textId="528EAD3F" w:rsidR="7773A997" w:rsidRPr="00457AE5" w:rsidRDefault="50FB2C91" w:rsidP="77DB1810">
            <w:pPr>
              <w:rPr>
                <w:rFonts w:cstheme="minorHAnsi"/>
                <w:lang w:val="en-GB"/>
              </w:rPr>
            </w:pPr>
            <w:r w:rsidRPr="00457AE5">
              <w:rPr>
                <w:rFonts w:eastAsia="Calibri" w:cstheme="minorHAnsi"/>
                <w:lang w:val="en-GB"/>
              </w:rPr>
              <w:t xml:space="preserve">The consolidated value of 99.5% for both X and Y reflects harmonised TSO preferences and aligns with Nordic principles. This threshold minimises reserve needs while maintaining security, avoids undesirable outliers that could inflate future reserve estimates, and supports ambitious targets for efficiency and social welfare. Analysis shows that higher values (e.g., 100%) introduce outliers and overestimate reserve needs, while values ≤99% consistently </w:t>
            </w:r>
            <w:r w:rsidR="1E78F424" w:rsidRPr="00457AE5">
              <w:rPr>
                <w:rFonts w:eastAsia="Calibri" w:cstheme="minorHAnsi"/>
                <w:lang w:val="en-GB"/>
              </w:rPr>
              <w:t>threatening operational security limits</w:t>
            </w:r>
            <w:r w:rsidRPr="00457AE5">
              <w:rPr>
                <w:rFonts w:eastAsia="Calibri" w:cstheme="minorHAnsi"/>
                <w:lang w:val="en-GB"/>
              </w:rPr>
              <w:t>.</w:t>
            </w:r>
          </w:p>
        </w:tc>
      </w:tr>
      <w:tr w:rsidR="7773A997" w:rsidRPr="00A7676F" w14:paraId="7E271912" w14:textId="77777777" w:rsidTr="77DB1810">
        <w:trPr>
          <w:trHeight w:val="300"/>
        </w:trPr>
        <w:tc>
          <w:tcPr>
            <w:tcW w:w="1965" w:type="dxa"/>
            <w:shd w:val="clear" w:color="auto" w:fill="DEEAF6" w:themeFill="accent1" w:themeFillTint="33"/>
          </w:tcPr>
          <w:p w14:paraId="24B92242" w14:textId="4B78F8D0" w:rsidR="7773A997" w:rsidRDefault="7773A997" w:rsidP="7773A997">
            <w:pPr>
              <w:rPr>
                <w:lang w:val="en-GB"/>
              </w:rPr>
            </w:pPr>
            <w:r w:rsidRPr="7773A997">
              <w:rPr>
                <w:lang w:val="en-GB"/>
              </w:rPr>
              <w:t xml:space="preserve">Parameter Y </w:t>
            </w:r>
          </w:p>
        </w:tc>
        <w:tc>
          <w:tcPr>
            <w:tcW w:w="1200" w:type="dxa"/>
          </w:tcPr>
          <w:p w14:paraId="3B73B1C3" w14:textId="7F607C8B" w:rsidR="7773A997" w:rsidRDefault="45AC64D6" w:rsidP="7773A997">
            <w:pPr>
              <w:rPr>
                <w:lang w:val="en-GB"/>
              </w:rPr>
            </w:pPr>
            <w:r w:rsidRPr="7E60A668">
              <w:rPr>
                <w:lang w:val="en-GB"/>
              </w:rPr>
              <w:t>99.5</w:t>
            </w:r>
            <w:r w:rsidR="5197650B" w:rsidRPr="7E60A668">
              <w:rPr>
                <w:lang w:val="en-GB"/>
              </w:rPr>
              <w:t xml:space="preserve"> </w:t>
            </w:r>
            <w:r w:rsidR="7773A997" w:rsidRPr="7E60A668">
              <w:rPr>
                <w:lang w:val="en-GB"/>
              </w:rPr>
              <w:t>%</w:t>
            </w:r>
            <w:r w:rsidR="54CA492D" w:rsidRPr="7E60A668">
              <w:rPr>
                <w:lang w:val="en-GB"/>
              </w:rPr>
              <w:t xml:space="preserve"> </w:t>
            </w:r>
          </w:p>
        </w:tc>
        <w:tc>
          <w:tcPr>
            <w:tcW w:w="5895" w:type="dxa"/>
          </w:tcPr>
          <w:p w14:paraId="0D74B882" w14:textId="081DEFD1" w:rsidR="7773A997" w:rsidRPr="00457AE5" w:rsidRDefault="6EBC935E" w:rsidP="77920359">
            <w:pPr>
              <w:rPr>
                <w:rFonts w:cstheme="minorHAnsi"/>
                <w:lang w:val="en-GB"/>
              </w:rPr>
            </w:pPr>
            <w:r w:rsidRPr="00457AE5">
              <w:rPr>
                <w:rFonts w:eastAsia="Calibri" w:cstheme="minorHAnsi"/>
                <w:lang w:val="en-GB"/>
              </w:rPr>
              <w:t xml:space="preserve">Same as </w:t>
            </w:r>
            <w:proofErr w:type="gramStart"/>
            <w:r w:rsidRPr="00457AE5">
              <w:rPr>
                <w:rFonts w:eastAsia="Calibri" w:cstheme="minorHAnsi"/>
                <w:lang w:val="en-GB"/>
              </w:rPr>
              <w:t>above;</w:t>
            </w:r>
            <w:proofErr w:type="gramEnd"/>
            <w:r w:rsidRPr="00457AE5">
              <w:rPr>
                <w:rFonts w:eastAsia="Calibri" w:cstheme="minorHAnsi"/>
                <w:lang w:val="en-GB"/>
              </w:rPr>
              <w:t xml:space="preserve"> the 99.5% threshold is considered the best representation of an average yearly minimum reserve requirement, balancing ambition and system reliability.</w:t>
            </w:r>
          </w:p>
        </w:tc>
      </w:tr>
    </w:tbl>
    <w:p w14:paraId="12B23562" w14:textId="73F0C3E3" w:rsidR="00D10FF3" w:rsidRPr="00D10FF3" w:rsidRDefault="00D10FF3" w:rsidP="00D10FF3">
      <w:pPr>
        <w:rPr>
          <w:lang w:val="en-GB"/>
        </w:rPr>
      </w:pPr>
    </w:p>
    <w:p w14:paraId="3AC504C2" w14:textId="5988DBD2" w:rsidR="00D10FF3" w:rsidRPr="00457AE5" w:rsidRDefault="00D10FF3" w:rsidP="534D1EEB">
      <w:pPr>
        <w:pStyle w:val="Heading2"/>
        <w:rPr>
          <w:rFonts w:asciiTheme="minorHAnsi" w:hAnsiTheme="minorHAnsi" w:cstheme="minorHAnsi"/>
          <w:b/>
          <w:bCs/>
          <w:lang w:val="en-GB"/>
        </w:rPr>
      </w:pPr>
      <w:bookmarkStart w:id="5" w:name="_Toc195260109"/>
      <w:r w:rsidRPr="00457AE5">
        <w:rPr>
          <w:rFonts w:asciiTheme="minorHAnsi" w:hAnsiTheme="minorHAnsi" w:cstheme="minorHAnsi"/>
          <w:lang w:val="en-GB"/>
        </w:rPr>
        <w:t>Central Europe (CE) SOR</w:t>
      </w:r>
      <w:bookmarkEnd w:id="5"/>
    </w:p>
    <w:tbl>
      <w:tblPr>
        <w:tblStyle w:val="TableGrid"/>
        <w:tblW w:w="9060" w:type="dxa"/>
        <w:tblLayout w:type="fixed"/>
        <w:tblLook w:val="06A0" w:firstRow="1" w:lastRow="0" w:firstColumn="1" w:lastColumn="0" w:noHBand="1" w:noVBand="1"/>
      </w:tblPr>
      <w:tblGrid>
        <w:gridCol w:w="1965"/>
        <w:gridCol w:w="1200"/>
        <w:gridCol w:w="5895"/>
      </w:tblGrid>
      <w:tr w:rsidR="287BDA77" w:rsidRPr="00457AE5" w14:paraId="2EF5510D" w14:textId="77777777" w:rsidTr="40844799">
        <w:trPr>
          <w:trHeight w:val="300"/>
        </w:trPr>
        <w:tc>
          <w:tcPr>
            <w:tcW w:w="1965" w:type="dxa"/>
            <w:shd w:val="clear" w:color="auto" w:fill="DEEAF6" w:themeFill="accent1" w:themeFillTint="33"/>
          </w:tcPr>
          <w:p w14:paraId="000B4A65" w14:textId="6E6503CA" w:rsidR="52E7714F" w:rsidRDefault="772E8D33" w:rsidP="534D1EEB">
            <w:pPr>
              <w:rPr>
                <w:b/>
                <w:lang w:val="en-GB"/>
              </w:rPr>
            </w:pPr>
            <w:r w:rsidRPr="423995FE">
              <w:rPr>
                <w:b/>
                <w:lang w:val="en-GB"/>
              </w:rPr>
              <w:t>Parameter</w:t>
            </w:r>
          </w:p>
        </w:tc>
        <w:tc>
          <w:tcPr>
            <w:tcW w:w="1200" w:type="dxa"/>
            <w:shd w:val="clear" w:color="auto" w:fill="DEEAF6" w:themeFill="accent1" w:themeFillTint="33"/>
          </w:tcPr>
          <w:p w14:paraId="786F7389" w14:textId="61995770" w:rsidR="52E7714F" w:rsidRDefault="52E7714F" w:rsidP="534D1EEB">
            <w:pPr>
              <w:rPr>
                <w:b/>
                <w:lang w:val="en-GB"/>
              </w:rPr>
            </w:pPr>
            <w:r w:rsidRPr="534D1EEB">
              <w:rPr>
                <w:b/>
                <w:lang w:val="en-GB"/>
              </w:rPr>
              <w:t>Value</w:t>
            </w:r>
          </w:p>
        </w:tc>
        <w:tc>
          <w:tcPr>
            <w:tcW w:w="5895" w:type="dxa"/>
            <w:shd w:val="clear" w:color="auto" w:fill="DEEAF6" w:themeFill="accent1" w:themeFillTint="33"/>
          </w:tcPr>
          <w:p w14:paraId="0EE494ED" w14:textId="785C712E" w:rsidR="52E7714F" w:rsidRDefault="52E7714F" w:rsidP="534D1EEB">
            <w:pPr>
              <w:rPr>
                <w:b/>
                <w:lang w:val="en-GB"/>
              </w:rPr>
            </w:pPr>
            <w:r w:rsidRPr="534D1EEB">
              <w:rPr>
                <w:b/>
                <w:lang w:val="en-GB"/>
              </w:rPr>
              <w:t>Justification</w:t>
            </w:r>
          </w:p>
        </w:tc>
      </w:tr>
      <w:tr w:rsidR="287BDA77" w:rsidRPr="00A7676F" w14:paraId="1CED4FFA" w14:textId="77777777" w:rsidTr="40844799">
        <w:trPr>
          <w:trHeight w:val="300"/>
        </w:trPr>
        <w:tc>
          <w:tcPr>
            <w:tcW w:w="1965" w:type="dxa"/>
            <w:shd w:val="clear" w:color="auto" w:fill="DEEAF6" w:themeFill="accent1" w:themeFillTint="33"/>
          </w:tcPr>
          <w:p w14:paraId="7B7AA9BD" w14:textId="40E22207" w:rsidR="287BDA77" w:rsidRDefault="52E7714F" w:rsidP="287BDA77">
            <w:pPr>
              <w:rPr>
                <w:lang w:val="en-GB"/>
              </w:rPr>
            </w:pPr>
            <w:r w:rsidRPr="13FF9CA6">
              <w:rPr>
                <w:lang w:val="en-GB"/>
              </w:rPr>
              <w:t xml:space="preserve">Time period for historical data </w:t>
            </w:r>
          </w:p>
        </w:tc>
        <w:tc>
          <w:tcPr>
            <w:tcW w:w="1200" w:type="dxa"/>
          </w:tcPr>
          <w:p w14:paraId="79DDCE18" w14:textId="0933C838" w:rsidR="287BDA77" w:rsidRDefault="52E7714F" w:rsidP="287BDA77">
            <w:pPr>
              <w:rPr>
                <w:lang w:val="en-GB"/>
              </w:rPr>
            </w:pPr>
            <w:r w:rsidRPr="13FF9CA6">
              <w:rPr>
                <w:lang w:val="en-GB"/>
              </w:rPr>
              <w:t>2 years</w:t>
            </w:r>
          </w:p>
        </w:tc>
        <w:tc>
          <w:tcPr>
            <w:tcW w:w="5895" w:type="dxa"/>
          </w:tcPr>
          <w:p w14:paraId="0422FD0E" w14:textId="4169E80E" w:rsidR="287BDA77" w:rsidRPr="00457AE5" w:rsidRDefault="15968579" w:rsidP="287BDA77">
            <w:pPr>
              <w:rPr>
                <w:rFonts w:cstheme="minorHAnsi"/>
                <w:lang w:val="en-GB"/>
              </w:rPr>
            </w:pPr>
            <w:r w:rsidRPr="00457AE5">
              <w:rPr>
                <w:rFonts w:eastAsia="Aptos" w:cstheme="minorHAnsi"/>
                <w:lang w:val="en-GB"/>
              </w:rPr>
              <w:t>At least 1-full year, 2 years to mitigate out-of-range years (e.g., pandemic)</w:t>
            </w:r>
          </w:p>
        </w:tc>
      </w:tr>
      <w:tr w:rsidR="00727265" w:rsidRPr="00A7676F" w14:paraId="680EA59C" w14:textId="77777777" w:rsidTr="40844799">
        <w:trPr>
          <w:trHeight w:val="360"/>
        </w:trPr>
        <w:tc>
          <w:tcPr>
            <w:tcW w:w="1965" w:type="dxa"/>
            <w:shd w:val="clear" w:color="auto" w:fill="DEEAF6" w:themeFill="accent1" w:themeFillTint="33"/>
          </w:tcPr>
          <w:p w14:paraId="1CCEEB58" w14:textId="3CB36386" w:rsidR="00727265" w:rsidRDefault="00727265" w:rsidP="26758E63">
            <w:pPr>
              <w:rPr>
                <w:lang w:val="en-GB"/>
              </w:rPr>
            </w:pPr>
            <w:r w:rsidRPr="13FF9CA6">
              <w:rPr>
                <w:lang w:val="en-GB"/>
              </w:rPr>
              <w:t>Parameter X</w:t>
            </w:r>
          </w:p>
        </w:tc>
        <w:tc>
          <w:tcPr>
            <w:tcW w:w="1200" w:type="dxa"/>
          </w:tcPr>
          <w:p w14:paraId="05D3FE84" w14:textId="5290DD1C" w:rsidR="00727265" w:rsidRDefault="00727265" w:rsidP="26758E63">
            <w:pPr>
              <w:rPr>
                <w:lang w:val="en-GB"/>
              </w:rPr>
            </w:pPr>
            <w:r w:rsidRPr="26758E63">
              <w:rPr>
                <w:lang w:val="en-GB"/>
              </w:rPr>
              <w:t>100%</w:t>
            </w:r>
          </w:p>
        </w:tc>
        <w:tc>
          <w:tcPr>
            <w:tcW w:w="5895" w:type="dxa"/>
            <w:vMerge w:val="restart"/>
          </w:tcPr>
          <w:p w14:paraId="190FBC4A" w14:textId="22B7CD5E" w:rsidR="00727265" w:rsidRDefault="00456E43" w:rsidP="26758E63">
            <w:pPr>
              <w:rPr>
                <w:lang w:val="en-US"/>
              </w:rPr>
            </w:pPr>
            <w:r w:rsidRPr="38CBDB70">
              <w:rPr>
                <w:rFonts w:eastAsia="Aptos"/>
                <w:lang w:val="en-GB"/>
              </w:rPr>
              <w:t xml:space="preserve">The CE SOR, given its size compared to </w:t>
            </w:r>
            <w:r w:rsidR="009A4F75" w:rsidRPr="38CBDB70">
              <w:rPr>
                <w:rFonts w:eastAsia="Aptos"/>
                <w:lang w:val="en-GB"/>
              </w:rPr>
              <w:t>neighbouring</w:t>
            </w:r>
            <w:r w:rsidRPr="38CBDB70">
              <w:rPr>
                <w:rFonts w:eastAsia="Aptos"/>
                <w:lang w:val="en-GB"/>
              </w:rPr>
              <w:t xml:space="preserve"> SORs, can be </w:t>
            </w:r>
            <w:r w:rsidR="009A4F75" w:rsidRPr="38CBDB70">
              <w:rPr>
                <w:rFonts w:eastAsia="Aptos"/>
                <w:lang w:val="en-GB"/>
              </w:rPr>
              <w:t>modelled</w:t>
            </w:r>
            <w:r w:rsidRPr="38CBDB70">
              <w:rPr>
                <w:rFonts w:eastAsia="Aptos"/>
                <w:lang w:val="en-GB"/>
              </w:rPr>
              <w:t xml:space="preserve"> as a standalone region. Additionally, the likelihood of significant mutual assistance from other SORs during the potential hours not covered by this risk-driven approach would </w:t>
            </w:r>
            <w:r w:rsidRPr="38CBDB70">
              <w:rPr>
                <w:rFonts w:eastAsia="Aptos"/>
                <w:lang w:val="en-GB"/>
              </w:rPr>
              <w:lastRenderedPageBreak/>
              <w:t>be minimal. Based on historical data, such value leads to zero quarter hours at SOR level with insufficient reserve capacity to compensate netted imbalances</w:t>
            </w:r>
            <w:r w:rsidR="6F8CBA9F" w:rsidRPr="38CBDB70">
              <w:rPr>
                <w:rFonts w:eastAsia="Aptos"/>
                <w:lang w:val="en-GB"/>
              </w:rPr>
              <w:t>.</w:t>
            </w:r>
          </w:p>
        </w:tc>
      </w:tr>
      <w:tr w:rsidR="00727265" w:rsidRPr="00457AE5" w14:paraId="5F73895E" w14:textId="77777777" w:rsidTr="40844799">
        <w:trPr>
          <w:trHeight w:val="660"/>
        </w:trPr>
        <w:tc>
          <w:tcPr>
            <w:tcW w:w="1965" w:type="dxa"/>
            <w:shd w:val="clear" w:color="auto" w:fill="DEEAF6" w:themeFill="accent1" w:themeFillTint="33"/>
          </w:tcPr>
          <w:p w14:paraId="2E3B51DA" w14:textId="4B78F8D0" w:rsidR="00727265" w:rsidRDefault="00727265" w:rsidP="26758E63">
            <w:pPr>
              <w:rPr>
                <w:lang w:val="en-GB"/>
              </w:rPr>
            </w:pPr>
            <w:r w:rsidRPr="534D1EEB">
              <w:rPr>
                <w:lang w:val="en-GB"/>
              </w:rPr>
              <w:t xml:space="preserve">Parameter Y </w:t>
            </w:r>
          </w:p>
        </w:tc>
        <w:tc>
          <w:tcPr>
            <w:tcW w:w="1200" w:type="dxa"/>
          </w:tcPr>
          <w:p w14:paraId="7383CE89" w14:textId="664A1D16" w:rsidR="00727265" w:rsidRDefault="00727265" w:rsidP="26758E63">
            <w:pPr>
              <w:rPr>
                <w:lang w:val="en-GB"/>
              </w:rPr>
            </w:pPr>
            <w:r w:rsidRPr="0D7B1938">
              <w:rPr>
                <w:lang w:val="en-GB"/>
              </w:rPr>
              <w:t>100%</w:t>
            </w:r>
          </w:p>
        </w:tc>
        <w:tc>
          <w:tcPr>
            <w:tcW w:w="5895" w:type="dxa"/>
            <w:vMerge/>
          </w:tcPr>
          <w:p w14:paraId="75950C4B" w14:textId="6C2835A6" w:rsidR="00727265" w:rsidRDefault="00727265" w:rsidP="26758E63">
            <w:pPr>
              <w:rPr>
                <w:lang w:val="en-GB"/>
              </w:rPr>
            </w:pPr>
          </w:p>
        </w:tc>
      </w:tr>
    </w:tbl>
    <w:p w14:paraId="33545E12" w14:textId="615AB657" w:rsidR="00D10FF3" w:rsidRPr="00457AE5" w:rsidRDefault="00D10FF3" w:rsidP="00D10FF3">
      <w:pPr>
        <w:pStyle w:val="Heading2"/>
        <w:rPr>
          <w:rFonts w:asciiTheme="minorHAnsi" w:hAnsiTheme="minorHAnsi" w:cstheme="minorHAnsi"/>
          <w:lang w:val="en-GB"/>
        </w:rPr>
      </w:pPr>
      <w:bookmarkStart w:id="6" w:name="_Toc195260110"/>
      <w:r w:rsidRPr="00457AE5">
        <w:rPr>
          <w:rFonts w:asciiTheme="minorHAnsi" w:hAnsiTheme="minorHAnsi" w:cstheme="minorHAnsi"/>
          <w:lang w:val="en-GB"/>
        </w:rPr>
        <w:t>South-East Europe (SEE) SOR</w:t>
      </w:r>
      <w:bookmarkEnd w:id="6"/>
    </w:p>
    <w:tbl>
      <w:tblPr>
        <w:tblStyle w:val="TableGrid"/>
        <w:tblW w:w="0" w:type="auto"/>
        <w:tblLook w:val="06A0" w:firstRow="1" w:lastRow="0" w:firstColumn="1" w:lastColumn="0" w:noHBand="1" w:noVBand="1"/>
      </w:tblPr>
      <w:tblGrid>
        <w:gridCol w:w="1965"/>
        <w:gridCol w:w="1200"/>
        <w:gridCol w:w="5895"/>
      </w:tblGrid>
      <w:tr w:rsidR="7773A997" w:rsidRPr="00457AE5" w14:paraId="33EF2437" w14:textId="77777777" w:rsidTr="3C034879">
        <w:trPr>
          <w:trHeight w:val="300"/>
        </w:trPr>
        <w:tc>
          <w:tcPr>
            <w:tcW w:w="1965" w:type="dxa"/>
            <w:shd w:val="clear" w:color="auto" w:fill="DEEAF6" w:themeFill="accent1" w:themeFillTint="33"/>
          </w:tcPr>
          <w:p w14:paraId="41E5A1E5" w14:textId="6E6503CA" w:rsidR="7773A997" w:rsidRDefault="7773A997" w:rsidP="7773A997">
            <w:pPr>
              <w:rPr>
                <w:b/>
                <w:lang w:val="en-GB"/>
              </w:rPr>
            </w:pPr>
            <w:r w:rsidRPr="7773A997">
              <w:rPr>
                <w:b/>
                <w:lang w:val="en-GB"/>
              </w:rPr>
              <w:t>Parameter</w:t>
            </w:r>
          </w:p>
        </w:tc>
        <w:tc>
          <w:tcPr>
            <w:tcW w:w="1200" w:type="dxa"/>
            <w:shd w:val="clear" w:color="auto" w:fill="DEEAF6" w:themeFill="accent1" w:themeFillTint="33"/>
          </w:tcPr>
          <w:p w14:paraId="3E781D0B" w14:textId="61995770" w:rsidR="7773A997" w:rsidRDefault="7773A997" w:rsidP="7773A997">
            <w:pPr>
              <w:rPr>
                <w:b/>
                <w:lang w:val="en-GB"/>
              </w:rPr>
            </w:pPr>
            <w:r w:rsidRPr="7773A997">
              <w:rPr>
                <w:b/>
                <w:lang w:val="en-GB"/>
              </w:rPr>
              <w:t>Value</w:t>
            </w:r>
          </w:p>
        </w:tc>
        <w:tc>
          <w:tcPr>
            <w:tcW w:w="5895" w:type="dxa"/>
            <w:shd w:val="clear" w:color="auto" w:fill="DEEAF6" w:themeFill="accent1" w:themeFillTint="33"/>
          </w:tcPr>
          <w:p w14:paraId="7D2A13C8" w14:textId="785C712E" w:rsidR="7773A997" w:rsidRDefault="7773A997" w:rsidP="7773A997">
            <w:pPr>
              <w:rPr>
                <w:b/>
                <w:lang w:val="en-GB"/>
              </w:rPr>
            </w:pPr>
            <w:r w:rsidRPr="7773A997">
              <w:rPr>
                <w:b/>
                <w:lang w:val="en-GB"/>
              </w:rPr>
              <w:t>Justification</w:t>
            </w:r>
          </w:p>
        </w:tc>
      </w:tr>
      <w:tr w:rsidR="7773A997" w:rsidRPr="00A7676F" w14:paraId="2FF7455B" w14:textId="77777777" w:rsidTr="3C034879">
        <w:trPr>
          <w:trHeight w:val="300"/>
        </w:trPr>
        <w:tc>
          <w:tcPr>
            <w:tcW w:w="1965" w:type="dxa"/>
            <w:shd w:val="clear" w:color="auto" w:fill="DEEAF6" w:themeFill="accent1" w:themeFillTint="33"/>
          </w:tcPr>
          <w:p w14:paraId="3800BCE7" w14:textId="40E22207" w:rsidR="7773A997" w:rsidRDefault="7773A997" w:rsidP="7773A997">
            <w:pPr>
              <w:rPr>
                <w:lang w:val="en-GB"/>
              </w:rPr>
            </w:pPr>
            <w:r w:rsidRPr="7773A997">
              <w:rPr>
                <w:lang w:val="en-GB"/>
              </w:rPr>
              <w:t xml:space="preserve">Time period for historical data </w:t>
            </w:r>
          </w:p>
        </w:tc>
        <w:tc>
          <w:tcPr>
            <w:tcW w:w="1200" w:type="dxa"/>
          </w:tcPr>
          <w:p w14:paraId="5C4EACE9" w14:textId="5FE79F2D" w:rsidR="7773A997" w:rsidRDefault="5DA6CC30" w:rsidP="4CFE199B">
            <w:pPr>
              <w:rPr>
                <w:lang w:val="en-GB"/>
              </w:rPr>
            </w:pPr>
            <w:r w:rsidRPr="4CFE199B">
              <w:rPr>
                <w:lang w:val="en-GB"/>
              </w:rPr>
              <w:t>1 year</w:t>
            </w:r>
          </w:p>
        </w:tc>
        <w:tc>
          <w:tcPr>
            <w:tcW w:w="5895" w:type="dxa"/>
          </w:tcPr>
          <w:p w14:paraId="431E9EDE" w14:textId="2EA9E2E2" w:rsidR="7773A997" w:rsidRPr="00457AE5" w:rsidRDefault="01F9CBD9" w:rsidP="51823BFC">
            <w:pPr>
              <w:rPr>
                <w:rFonts w:eastAsia="Calibri" w:cstheme="minorHAnsi"/>
                <w:lang w:val="en-GB"/>
              </w:rPr>
            </w:pPr>
            <w:r w:rsidRPr="00457AE5">
              <w:rPr>
                <w:rFonts w:eastAsia="Calibri" w:cstheme="minorHAnsi"/>
                <w:lang w:val="en-GB"/>
              </w:rPr>
              <w:t xml:space="preserve">One year </w:t>
            </w:r>
            <w:proofErr w:type="gramStart"/>
            <w:r w:rsidRPr="00457AE5">
              <w:rPr>
                <w:rFonts w:eastAsia="Calibri" w:cstheme="minorHAnsi"/>
                <w:lang w:val="en-GB"/>
              </w:rPr>
              <w:t>time period</w:t>
            </w:r>
            <w:proofErr w:type="gramEnd"/>
            <w:r w:rsidRPr="00457AE5">
              <w:rPr>
                <w:rFonts w:eastAsia="Calibri" w:cstheme="minorHAnsi"/>
                <w:lang w:val="en-GB"/>
              </w:rPr>
              <w:t xml:space="preserve"> for the calculation of X and Y is proposed to ensure that the values capture the most recent imbalance patterns, which can vary significantly from year to year due to the increasing impact of renewable generation on system operation.</w:t>
            </w:r>
          </w:p>
        </w:tc>
      </w:tr>
      <w:tr w:rsidR="7773A997" w:rsidRPr="00A7676F" w14:paraId="644D827C" w14:textId="77777777" w:rsidTr="3C034879">
        <w:trPr>
          <w:trHeight w:val="300"/>
        </w:trPr>
        <w:tc>
          <w:tcPr>
            <w:tcW w:w="1965" w:type="dxa"/>
            <w:shd w:val="clear" w:color="auto" w:fill="DEEAF6" w:themeFill="accent1" w:themeFillTint="33"/>
          </w:tcPr>
          <w:p w14:paraId="4B92B83C" w14:textId="3CB36386" w:rsidR="7773A997" w:rsidRDefault="7773A997" w:rsidP="7773A997">
            <w:pPr>
              <w:rPr>
                <w:lang w:val="en-GB"/>
              </w:rPr>
            </w:pPr>
            <w:r w:rsidRPr="7773A997">
              <w:rPr>
                <w:lang w:val="en-GB"/>
              </w:rPr>
              <w:t>Parameter X</w:t>
            </w:r>
          </w:p>
        </w:tc>
        <w:tc>
          <w:tcPr>
            <w:tcW w:w="1200" w:type="dxa"/>
          </w:tcPr>
          <w:p w14:paraId="72197596" w14:textId="1310C74B" w:rsidR="7773A997" w:rsidRDefault="6D9D5EF4" w:rsidP="7773A997">
            <w:pPr>
              <w:rPr>
                <w:lang w:val="en-GB"/>
              </w:rPr>
            </w:pPr>
            <w:r w:rsidRPr="77E49023">
              <w:rPr>
                <w:lang w:val="en-GB"/>
              </w:rPr>
              <w:t>99.99</w:t>
            </w:r>
            <w:r w:rsidR="7773A997" w:rsidRPr="77E49023">
              <w:rPr>
                <w:lang w:val="en-GB"/>
              </w:rPr>
              <w:t>%</w:t>
            </w:r>
          </w:p>
        </w:tc>
        <w:tc>
          <w:tcPr>
            <w:tcW w:w="5895" w:type="dxa"/>
            <w:vMerge w:val="restart"/>
          </w:tcPr>
          <w:p w14:paraId="0C69001C" w14:textId="7A8F2FCE" w:rsidR="7773A997" w:rsidRPr="00457AE5" w:rsidRDefault="74D06A0A" w:rsidP="00457AE5">
            <w:pPr>
              <w:rPr>
                <w:rFonts w:eastAsia="Times New Roman"/>
                <w:sz w:val="24"/>
                <w:szCs w:val="24"/>
                <w:lang w:val="en-US"/>
              </w:rPr>
            </w:pPr>
            <w:r w:rsidRPr="1895A63A">
              <w:rPr>
                <w:rFonts w:eastAsia="Calibri"/>
                <w:lang w:val="en-US"/>
              </w:rPr>
              <w:t xml:space="preserve">In the context of Subtask I, </w:t>
            </w:r>
            <w:proofErr w:type="gramStart"/>
            <w:r w:rsidRPr="1895A63A">
              <w:rPr>
                <w:rFonts w:eastAsia="Calibri"/>
                <w:lang w:val="en-US"/>
              </w:rPr>
              <w:t>the SEE</w:t>
            </w:r>
            <w:proofErr w:type="gramEnd"/>
            <w:r w:rsidRPr="1895A63A">
              <w:rPr>
                <w:rFonts w:eastAsia="Calibri"/>
                <w:lang w:val="en-US"/>
              </w:rPr>
              <w:t xml:space="preserve"> SOR proposes to set the parameters X and Y at 99.99%. This threshold is due to the specific operational characteristics of the SEE SOR, where the increasing share of RES gradually increases the magnitude of uncertainty and respectively increases imbalances, and reflects the operational risks.</w:t>
            </w:r>
          </w:p>
        </w:tc>
      </w:tr>
      <w:tr w:rsidR="7773A997" w:rsidRPr="00457AE5" w14:paraId="1E9BC060" w14:textId="77777777" w:rsidTr="3C034879">
        <w:trPr>
          <w:trHeight w:val="300"/>
        </w:trPr>
        <w:tc>
          <w:tcPr>
            <w:tcW w:w="1965" w:type="dxa"/>
            <w:shd w:val="clear" w:color="auto" w:fill="DEEAF6" w:themeFill="accent1" w:themeFillTint="33"/>
          </w:tcPr>
          <w:p w14:paraId="6EAE890C" w14:textId="4B78F8D0" w:rsidR="7773A997" w:rsidRDefault="7773A997" w:rsidP="7773A997">
            <w:pPr>
              <w:rPr>
                <w:lang w:val="en-GB"/>
              </w:rPr>
            </w:pPr>
            <w:r w:rsidRPr="7773A997">
              <w:rPr>
                <w:lang w:val="en-GB"/>
              </w:rPr>
              <w:t xml:space="preserve">Parameter Y </w:t>
            </w:r>
          </w:p>
        </w:tc>
        <w:tc>
          <w:tcPr>
            <w:tcW w:w="1200" w:type="dxa"/>
          </w:tcPr>
          <w:p w14:paraId="383AEABE" w14:textId="05732025" w:rsidR="7773A997" w:rsidRDefault="3245576B" w:rsidP="7773A997">
            <w:pPr>
              <w:rPr>
                <w:lang w:val="en-GB"/>
              </w:rPr>
            </w:pPr>
            <w:r w:rsidRPr="77E49023">
              <w:rPr>
                <w:lang w:val="en-GB"/>
              </w:rPr>
              <w:t>99.99</w:t>
            </w:r>
            <w:r w:rsidR="7773A997" w:rsidRPr="77E49023">
              <w:rPr>
                <w:lang w:val="en-GB"/>
              </w:rPr>
              <w:t>%</w:t>
            </w:r>
          </w:p>
        </w:tc>
        <w:tc>
          <w:tcPr>
            <w:tcW w:w="5895" w:type="dxa"/>
            <w:vMerge/>
          </w:tcPr>
          <w:p w14:paraId="1A2829C8" w14:textId="6C2835A6" w:rsidR="7773A997" w:rsidRDefault="7773A997" w:rsidP="7773A997">
            <w:pPr>
              <w:rPr>
                <w:lang w:val="en-GB"/>
              </w:rPr>
            </w:pPr>
          </w:p>
        </w:tc>
      </w:tr>
    </w:tbl>
    <w:p w14:paraId="17114A51" w14:textId="0DBBE5F3" w:rsidR="00D10FF3" w:rsidRPr="00D10FF3" w:rsidRDefault="00D10FF3" w:rsidP="00D10FF3">
      <w:pPr>
        <w:rPr>
          <w:lang w:val="en-GB"/>
        </w:rPr>
      </w:pPr>
    </w:p>
    <w:p w14:paraId="4B7094F7" w14:textId="7ABB80F4" w:rsidR="00D10FF3" w:rsidRPr="00457AE5" w:rsidRDefault="00D10FF3" w:rsidP="00D10FF3">
      <w:pPr>
        <w:pStyle w:val="Heading2"/>
        <w:rPr>
          <w:rFonts w:asciiTheme="minorHAnsi" w:hAnsiTheme="minorHAnsi" w:cstheme="minorHAnsi"/>
          <w:lang w:val="en-GB"/>
        </w:rPr>
      </w:pPr>
      <w:bookmarkStart w:id="7" w:name="_Toc195260111"/>
      <w:r w:rsidRPr="00457AE5">
        <w:rPr>
          <w:rFonts w:asciiTheme="minorHAnsi" w:hAnsiTheme="minorHAnsi" w:cstheme="minorHAnsi"/>
          <w:lang w:val="en-GB"/>
        </w:rPr>
        <w:t>South-West Europe (SWE) SOR</w:t>
      </w:r>
      <w:bookmarkEnd w:id="7"/>
    </w:p>
    <w:tbl>
      <w:tblPr>
        <w:tblStyle w:val="TableGrid"/>
        <w:tblW w:w="0" w:type="auto"/>
        <w:tblLook w:val="06A0" w:firstRow="1" w:lastRow="0" w:firstColumn="1" w:lastColumn="0" w:noHBand="1" w:noVBand="1"/>
      </w:tblPr>
      <w:tblGrid>
        <w:gridCol w:w="1965"/>
        <w:gridCol w:w="1200"/>
        <w:gridCol w:w="5895"/>
      </w:tblGrid>
      <w:tr w:rsidR="7773A997" w:rsidRPr="00457AE5" w14:paraId="2CB129A1" w14:textId="77777777" w:rsidTr="5C88BF5B">
        <w:trPr>
          <w:trHeight w:val="300"/>
        </w:trPr>
        <w:tc>
          <w:tcPr>
            <w:tcW w:w="1965" w:type="dxa"/>
            <w:shd w:val="clear" w:color="auto" w:fill="DEEAF6" w:themeFill="accent1" w:themeFillTint="33"/>
          </w:tcPr>
          <w:p w14:paraId="7C7E794A" w14:textId="6E6503CA" w:rsidR="7773A997" w:rsidRDefault="7773A997" w:rsidP="7773A997">
            <w:pPr>
              <w:rPr>
                <w:b/>
                <w:lang w:val="en-GB"/>
              </w:rPr>
            </w:pPr>
            <w:r w:rsidRPr="7773A997">
              <w:rPr>
                <w:b/>
                <w:lang w:val="en-GB"/>
              </w:rPr>
              <w:t>Parameter</w:t>
            </w:r>
          </w:p>
        </w:tc>
        <w:tc>
          <w:tcPr>
            <w:tcW w:w="1200" w:type="dxa"/>
            <w:shd w:val="clear" w:color="auto" w:fill="DEEAF6" w:themeFill="accent1" w:themeFillTint="33"/>
          </w:tcPr>
          <w:p w14:paraId="596E3169" w14:textId="61995770" w:rsidR="7773A997" w:rsidRDefault="7773A997" w:rsidP="7773A997">
            <w:pPr>
              <w:rPr>
                <w:b/>
                <w:lang w:val="en-GB"/>
              </w:rPr>
            </w:pPr>
            <w:r w:rsidRPr="7773A997">
              <w:rPr>
                <w:b/>
                <w:lang w:val="en-GB"/>
              </w:rPr>
              <w:t>Value</w:t>
            </w:r>
          </w:p>
        </w:tc>
        <w:tc>
          <w:tcPr>
            <w:tcW w:w="5895" w:type="dxa"/>
            <w:shd w:val="clear" w:color="auto" w:fill="DEEAF6" w:themeFill="accent1" w:themeFillTint="33"/>
          </w:tcPr>
          <w:p w14:paraId="1FC159C5" w14:textId="785C712E" w:rsidR="7773A997" w:rsidRDefault="7773A997" w:rsidP="7773A997">
            <w:pPr>
              <w:rPr>
                <w:b/>
                <w:lang w:val="en-GB"/>
              </w:rPr>
            </w:pPr>
            <w:r w:rsidRPr="7773A997">
              <w:rPr>
                <w:b/>
                <w:lang w:val="en-GB"/>
              </w:rPr>
              <w:t>Justification</w:t>
            </w:r>
          </w:p>
        </w:tc>
      </w:tr>
      <w:tr w:rsidR="7773A997" w:rsidRPr="00A7676F" w14:paraId="348722D7" w14:textId="77777777" w:rsidTr="5C88BF5B">
        <w:trPr>
          <w:trHeight w:val="300"/>
        </w:trPr>
        <w:tc>
          <w:tcPr>
            <w:tcW w:w="1965" w:type="dxa"/>
            <w:shd w:val="clear" w:color="auto" w:fill="DEEAF6" w:themeFill="accent1" w:themeFillTint="33"/>
          </w:tcPr>
          <w:p w14:paraId="45CCE976" w14:textId="40E22207" w:rsidR="7773A997" w:rsidRDefault="7773A997" w:rsidP="7773A997">
            <w:pPr>
              <w:rPr>
                <w:lang w:val="en-GB"/>
              </w:rPr>
            </w:pPr>
            <w:r w:rsidRPr="7773A997">
              <w:rPr>
                <w:lang w:val="en-GB"/>
              </w:rPr>
              <w:t xml:space="preserve">Time period for historical data </w:t>
            </w:r>
          </w:p>
        </w:tc>
        <w:tc>
          <w:tcPr>
            <w:tcW w:w="1200" w:type="dxa"/>
          </w:tcPr>
          <w:p w14:paraId="699C5FB7" w14:textId="74E4BA26" w:rsidR="7773A997" w:rsidRDefault="55E8F25A" w:rsidP="2AEEAD30">
            <w:pPr>
              <w:rPr>
                <w:lang w:val="en-GB"/>
              </w:rPr>
            </w:pPr>
            <w:r w:rsidRPr="2AEEAD30">
              <w:rPr>
                <w:lang w:val="en-GB"/>
              </w:rPr>
              <w:t>1 year</w:t>
            </w:r>
          </w:p>
        </w:tc>
        <w:tc>
          <w:tcPr>
            <w:tcW w:w="5895" w:type="dxa"/>
          </w:tcPr>
          <w:p w14:paraId="79CE4860" w14:textId="233ACB4A" w:rsidR="7773A997" w:rsidRDefault="1E215027" w:rsidP="7773A997">
            <w:pPr>
              <w:rPr>
                <w:lang w:val="en-GB"/>
              </w:rPr>
            </w:pPr>
            <w:r w:rsidRPr="34895F6D">
              <w:rPr>
                <w:lang w:val="en-GB"/>
              </w:rPr>
              <w:t xml:space="preserve">One year </w:t>
            </w:r>
            <w:proofErr w:type="gramStart"/>
            <w:r w:rsidRPr="34895F6D">
              <w:rPr>
                <w:lang w:val="en-GB"/>
              </w:rPr>
              <w:t>time period</w:t>
            </w:r>
            <w:proofErr w:type="gramEnd"/>
            <w:r w:rsidRPr="34895F6D">
              <w:rPr>
                <w:lang w:val="en-GB"/>
              </w:rPr>
              <w:t xml:space="preserve"> is considered sufficient to capture the whole variability in the SWE SOR due to seasonal </w:t>
            </w:r>
            <w:r w:rsidR="126D2833" w:rsidRPr="34895F6D">
              <w:rPr>
                <w:lang w:val="en-GB"/>
              </w:rPr>
              <w:t xml:space="preserve">effects. A longer </w:t>
            </w:r>
            <w:proofErr w:type="gramStart"/>
            <w:r w:rsidR="126D2833" w:rsidRPr="34895F6D">
              <w:rPr>
                <w:lang w:val="en-GB"/>
              </w:rPr>
              <w:t>period of time</w:t>
            </w:r>
            <w:proofErr w:type="gramEnd"/>
            <w:r w:rsidR="126D2833" w:rsidRPr="34895F6D">
              <w:rPr>
                <w:lang w:val="en-GB"/>
              </w:rPr>
              <w:t xml:space="preserve"> is not adequate due to the significant </w:t>
            </w:r>
            <w:r w:rsidR="01723A4E" w:rsidRPr="34895F6D">
              <w:rPr>
                <w:lang w:val="en-GB"/>
              </w:rPr>
              <w:t xml:space="preserve">increase of installation of renewable generation from year to </w:t>
            </w:r>
            <w:r w:rsidR="7EB20F0B" w:rsidRPr="121C19F6">
              <w:rPr>
                <w:lang w:val="en-GB"/>
              </w:rPr>
              <w:t>year.</w:t>
            </w:r>
          </w:p>
        </w:tc>
      </w:tr>
      <w:tr w:rsidR="00426545" w:rsidRPr="00A7676F" w14:paraId="4A8C97B9" w14:textId="77777777" w:rsidTr="5C88BF5B">
        <w:trPr>
          <w:trHeight w:val="300"/>
        </w:trPr>
        <w:tc>
          <w:tcPr>
            <w:tcW w:w="1965" w:type="dxa"/>
            <w:shd w:val="clear" w:color="auto" w:fill="DEEAF6" w:themeFill="accent1" w:themeFillTint="33"/>
          </w:tcPr>
          <w:p w14:paraId="6AF609A5" w14:textId="3CB36386" w:rsidR="00426545" w:rsidRDefault="00426545" w:rsidP="7773A997">
            <w:pPr>
              <w:rPr>
                <w:lang w:val="en-GB"/>
              </w:rPr>
            </w:pPr>
            <w:r w:rsidRPr="7773A997">
              <w:rPr>
                <w:lang w:val="en-GB"/>
              </w:rPr>
              <w:t>Parameter X</w:t>
            </w:r>
          </w:p>
        </w:tc>
        <w:tc>
          <w:tcPr>
            <w:tcW w:w="1200" w:type="dxa"/>
          </w:tcPr>
          <w:p w14:paraId="625BD119" w14:textId="67B04142" w:rsidR="00426545" w:rsidRDefault="00426545" w:rsidP="7773A997">
            <w:pPr>
              <w:rPr>
                <w:lang w:val="en-GB"/>
              </w:rPr>
            </w:pPr>
            <w:r w:rsidRPr="2AEEAD30">
              <w:rPr>
                <w:lang w:val="en-GB"/>
              </w:rPr>
              <w:t>99,99%</w:t>
            </w:r>
          </w:p>
        </w:tc>
        <w:tc>
          <w:tcPr>
            <w:tcW w:w="5895" w:type="dxa"/>
            <w:vMerge w:val="restart"/>
          </w:tcPr>
          <w:p w14:paraId="61C1A49A" w14:textId="182BEB8C" w:rsidR="00426545" w:rsidRPr="00457AE5" w:rsidRDefault="546A57D5" w:rsidP="2A62FA2D">
            <w:pPr>
              <w:rPr>
                <w:rFonts w:cstheme="minorHAnsi"/>
                <w:lang w:val="en-GB"/>
              </w:rPr>
            </w:pPr>
            <w:proofErr w:type="gramStart"/>
            <w:r w:rsidRPr="5C88BF5B">
              <w:rPr>
                <w:lang w:val="en-GB"/>
              </w:rPr>
              <w:t>Taking into account</w:t>
            </w:r>
            <w:proofErr w:type="gramEnd"/>
            <w:r w:rsidRPr="5C88BF5B">
              <w:rPr>
                <w:lang w:val="en-GB"/>
              </w:rPr>
              <w:t xml:space="preserve"> </w:t>
            </w:r>
            <w:r w:rsidR="01E5AAF4" w:rsidRPr="5C88BF5B">
              <w:rPr>
                <w:lang w:val="en-GB"/>
              </w:rPr>
              <w:t>both</w:t>
            </w:r>
            <w:r w:rsidRPr="5C88BF5B">
              <w:rPr>
                <w:lang w:val="en-GB"/>
              </w:rPr>
              <w:t xml:space="preserve"> </w:t>
            </w:r>
            <w:r w:rsidR="6AED7996" w:rsidRPr="5C88BF5B">
              <w:rPr>
                <w:lang w:val="en-GB"/>
              </w:rPr>
              <w:t>SWE SOR</w:t>
            </w:r>
            <w:r w:rsidR="3782BA44" w:rsidRPr="5C88BF5B">
              <w:rPr>
                <w:lang w:val="en-GB"/>
              </w:rPr>
              <w:t xml:space="preserve"> </w:t>
            </w:r>
            <w:r w:rsidRPr="5C88BF5B">
              <w:rPr>
                <w:lang w:val="en-GB"/>
              </w:rPr>
              <w:t>imbalances</w:t>
            </w:r>
            <w:r w:rsidR="004963C9" w:rsidRPr="5C88BF5B">
              <w:rPr>
                <w:lang w:val="en-GB"/>
              </w:rPr>
              <w:t xml:space="preserve">, and the fact that uncovered imbalances </w:t>
            </w:r>
            <w:proofErr w:type="gramStart"/>
            <w:r w:rsidR="004963C9" w:rsidRPr="5C88BF5B">
              <w:rPr>
                <w:lang w:val="en-GB"/>
              </w:rPr>
              <w:t>have to</w:t>
            </w:r>
            <w:proofErr w:type="gramEnd"/>
            <w:r w:rsidR="004963C9" w:rsidRPr="5C88BF5B">
              <w:rPr>
                <w:lang w:val="en-GB"/>
              </w:rPr>
              <w:t xml:space="preserve"> be balanced by the adjacent CE SOR</w:t>
            </w:r>
            <w:r w:rsidRPr="5C88BF5B">
              <w:rPr>
                <w:lang w:val="en-GB"/>
              </w:rPr>
              <w:t>, t</w:t>
            </w:r>
            <w:r w:rsidR="7E554F34" w:rsidRPr="5C88BF5B">
              <w:rPr>
                <w:lang w:val="en-GB"/>
              </w:rPr>
              <w:t>hese values imply fewer uncovered imbalances</w:t>
            </w:r>
            <w:r w:rsidR="1904C0F5" w:rsidRPr="5C88BF5B">
              <w:rPr>
                <w:lang w:val="en-GB"/>
              </w:rPr>
              <w:t xml:space="preserve"> (</w:t>
            </w:r>
            <w:proofErr w:type="gramStart"/>
            <w:r w:rsidR="022052A1" w:rsidRPr="5C88BF5B">
              <w:rPr>
                <w:lang w:val="en-GB"/>
              </w:rPr>
              <w:t>and also</w:t>
            </w:r>
            <w:proofErr w:type="gramEnd"/>
            <w:r w:rsidR="022052A1" w:rsidRPr="5C88BF5B">
              <w:rPr>
                <w:lang w:val="en-GB"/>
              </w:rPr>
              <w:t xml:space="preserve"> lower</w:t>
            </w:r>
            <w:r w:rsidR="1904C0F5" w:rsidRPr="5C88BF5B">
              <w:rPr>
                <w:lang w:val="en-GB"/>
              </w:rPr>
              <w:t xml:space="preserve"> magnitude)</w:t>
            </w:r>
            <w:r w:rsidR="7E554F34" w:rsidRPr="5C88BF5B">
              <w:rPr>
                <w:lang w:val="en-GB"/>
              </w:rPr>
              <w:t>, and therefore fewer situations which CE SOR should balance SWE SOR, which results in a more reliable and secure system.</w:t>
            </w:r>
            <w:r w:rsidR="7E554F34" w:rsidRPr="00457AE5">
              <w:rPr>
                <w:rFonts w:cstheme="minorHAnsi"/>
                <w:lang w:val="en-GB"/>
              </w:rPr>
              <w:t> </w:t>
            </w:r>
          </w:p>
        </w:tc>
      </w:tr>
      <w:tr w:rsidR="00426545" w:rsidRPr="00457AE5" w14:paraId="33AD78C4" w14:textId="77777777" w:rsidTr="5C88BF5B">
        <w:trPr>
          <w:trHeight w:val="300"/>
        </w:trPr>
        <w:tc>
          <w:tcPr>
            <w:tcW w:w="1965" w:type="dxa"/>
            <w:shd w:val="clear" w:color="auto" w:fill="DEEAF6" w:themeFill="accent1" w:themeFillTint="33"/>
          </w:tcPr>
          <w:p w14:paraId="24BE2C24" w14:textId="4B78F8D0" w:rsidR="00426545" w:rsidRDefault="00426545" w:rsidP="7773A997">
            <w:pPr>
              <w:rPr>
                <w:lang w:val="en-GB"/>
              </w:rPr>
            </w:pPr>
            <w:r w:rsidRPr="7773A997">
              <w:rPr>
                <w:lang w:val="en-GB"/>
              </w:rPr>
              <w:t xml:space="preserve">Parameter Y </w:t>
            </w:r>
          </w:p>
        </w:tc>
        <w:tc>
          <w:tcPr>
            <w:tcW w:w="1200" w:type="dxa"/>
          </w:tcPr>
          <w:p w14:paraId="5F6DD8BE" w14:textId="1984CAEE" w:rsidR="00426545" w:rsidRDefault="00426545" w:rsidP="7773A997">
            <w:pPr>
              <w:rPr>
                <w:lang w:val="en-GB"/>
              </w:rPr>
            </w:pPr>
            <w:r w:rsidRPr="2AEEAD30">
              <w:rPr>
                <w:lang w:val="en-GB"/>
              </w:rPr>
              <w:t>99,99%</w:t>
            </w:r>
          </w:p>
        </w:tc>
        <w:tc>
          <w:tcPr>
            <w:tcW w:w="5895" w:type="dxa"/>
            <w:vMerge/>
          </w:tcPr>
          <w:p w14:paraId="31A4F1E7" w14:textId="6C2835A6" w:rsidR="00426545" w:rsidRDefault="00426545" w:rsidP="7773A997">
            <w:pPr>
              <w:rPr>
                <w:lang w:val="en-GB"/>
              </w:rPr>
            </w:pPr>
          </w:p>
        </w:tc>
      </w:tr>
    </w:tbl>
    <w:p w14:paraId="3A593A24" w14:textId="58F3687A" w:rsidR="00D10FF3" w:rsidRDefault="00D10FF3" w:rsidP="00D10FF3">
      <w:pPr>
        <w:rPr>
          <w:lang w:val="en-GB"/>
        </w:rPr>
      </w:pPr>
    </w:p>
    <w:p w14:paraId="2D5BCC74" w14:textId="317A2D45" w:rsidR="00D64CB6" w:rsidRDefault="006B0A95" w:rsidP="006B0A95">
      <w:pPr>
        <w:pStyle w:val="Heading1"/>
        <w:rPr>
          <w:rFonts w:asciiTheme="minorHAnsi" w:hAnsiTheme="minorHAnsi" w:cstheme="minorHAnsi"/>
          <w:lang w:val="en-GB"/>
        </w:rPr>
      </w:pPr>
      <w:r w:rsidRPr="2F6588B3">
        <w:rPr>
          <w:rFonts w:asciiTheme="minorHAnsi" w:hAnsiTheme="minorHAnsi" w:cstheme="minorBidi"/>
          <w:lang w:val="en-GB"/>
        </w:rPr>
        <w:t xml:space="preserve">Explanation behind Article 7 Implementation timeline update </w:t>
      </w:r>
    </w:p>
    <w:p w14:paraId="28FB22C2" w14:textId="2E334E7F" w:rsidR="006B0A95" w:rsidRPr="006B0A95" w:rsidRDefault="4AA6AACC" w:rsidP="00351E64">
      <w:pPr>
        <w:spacing w:before="240" w:after="240"/>
        <w:jc w:val="both"/>
        <w:rPr>
          <w:rFonts w:ascii="Calibri" w:eastAsia="Calibri" w:hAnsi="Calibri" w:cs="Calibri"/>
          <w:lang w:val="en-GB"/>
        </w:rPr>
      </w:pPr>
      <w:r w:rsidRPr="328E63DA">
        <w:rPr>
          <w:rFonts w:ascii="Calibri" w:eastAsia="Calibri" w:hAnsi="Calibri" w:cs="Calibri"/>
          <w:lang w:val="en-GB"/>
        </w:rPr>
        <w:t xml:space="preserve">The implementation of the task </w:t>
      </w:r>
      <w:r w:rsidRPr="328E63DA">
        <w:rPr>
          <w:rFonts w:ascii="Calibri" w:eastAsia="Calibri" w:hAnsi="Calibri" w:cs="Calibri"/>
          <w:i/>
          <w:iCs/>
          <w:lang w:val="en-GB"/>
        </w:rPr>
        <w:t>‘regional sizing of reserve capacity’</w:t>
      </w:r>
      <w:r w:rsidRPr="328E63DA">
        <w:rPr>
          <w:rFonts w:ascii="Calibri" w:eastAsia="Calibri" w:hAnsi="Calibri" w:cs="Calibri"/>
          <w:lang w:val="en-GB"/>
        </w:rPr>
        <w:t xml:space="preserve"> as defined in this methodology is closely </w:t>
      </w:r>
      <w:r w:rsidR="5ACC83F8" w:rsidRPr="328E63DA">
        <w:rPr>
          <w:rFonts w:ascii="Calibri" w:eastAsia="Calibri" w:hAnsi="Calibri" w:cs="Calibri"/>
          <w:lang w:val="en-GB"/>
        </w:rPr>
        <w:t>relat</w:t>
      </w:r>
      <w:r w:rsidRPr="328E63DA">
        <w:rPr>
          <w:rFonts w:ascii="Calibri" w:eastAsia="Calibri" w:hAnsi="Calibri" w:cs="Calibri"/>
          <w:lang w:val="en-GB"/>
        </w:rPr>
        <w:t>ed to the existence of sharing agreements between TSOs within each System Operation Region</w:t>
      </w:r>
      <w:r w:rsidR="00B23814">
        <w:rPr>
          <w:rFonts w:ascii="Calibri" w:eastAsia="Calibri" w:hAnsi="Calibri" w:cs="Calibri"/>
          <w:lang w:val="en-GB"/>
        </w:rPr>
        <w:t xml:space="preserve">, </w:t>
      </w:r>
      <w:r w:rsidR="00B23814" w:rsidRPr="00A7676F">
        <w:rPr>
          <w:rFonts w:ascii="Calibri" w:eastAsia="Calibri" w:hAnsi="Calibri" w:cs="Calibri"/>
          <w:lang w:val="en-US"/>
        </w:rPr>
        <w:t>pursuant to Article 157(2)(j) and (k) of the SOGL and 160(4) and (5) of the SOGL</w:t>
      </w:r>
      <w:r w:rsidRPr="328E63DA">
        <w:rPr>
          <w:rFonts w:ascii="Calibri" w:eastAsia="Calibri" w:hAnsi="Calibri" w:cs="Calibri"/>
          <w:lang w:val="en-GB"/>
        </w:rPr>
        <w:t>. These agreements form the operational foundation of the tasks, since the assessment can only be performed once TSOs have e</w:t>
      </w:r>
      <w:r w:rsidR="07F4C647" w:rsidRPr="328E63DA">
        <w:rPr>
          <w:rFonts w:ascii="Calibri" w:eastAsia="Calibri" w:hAnsi="Calibri" w:cs="Calibri"/>
          <w:lang w:val="en-GB"/>
        </w:rPr>
        <w:t>stablished</w:t>
      </w:r>
      <w:r w:rsidRPr="328E63DA">
        <w:rPr>
          <w:rFonts w:ascii="Calibri" w:eastAsia="Calibri" w:hAnsi="Calibri" w:cs="Calibri"/>
          <w:lang w:val="en-GB"/>
        </w:rPr>
        <w:t xml:space="preserve"> sharing arrangements that define the scope and volume of reserves subject to sharing.</w:t>
      </w:r>
    </w:p>
    <w:p w14:paraId="4BB70F6C" w14:textId="7DB7C4A0" w:rsidR="006B0A95" w:rsidRPr="006B0A95" w:rsidRDefault="5392F0E0" w:rsidP="00351E64">
      <w:pPr>
        <w:spacing w:before="240" w:after="240"/>
        <w:jc w:val="both"/>
        <w:rPr>
          <w:rFonts w:ascii="Calibri" w:eastAsia="Calibri" w:hAnsi="Calibri" w:cs="Calibri"/>
          <w:lang w:val="en-GB"/>
        </w:rPr>
      </w:pPr>
      <w:r w:rsidRPr="247F156B">
        <w:rPr>
          <w:rFonts w:ascii="Calibri" w:eastAsia="Calibri" w:hAnsi="Calibri" w:cs="Calibri"/>
          <w:lang w:val="en-GB"/>
        </w:rPr>
        <w:t xml:space="preserve">However, the establishment of such sharing agreements is </w:t>
      </w:r>
      <w:r w:rsidRPr="247F156B">
        <w:rPr>
          <w:rFonts w:ascii="Calibri" w:eastAsia="Calibri" w:hAnsi="Calibri" w:cs="Calibri"/>
          <w:b/>
          <w:bCs/>
          <w:lang w:val="en-GB"/>
        </w:rPr>
        <w:t>voluntary</w:t>
      </w:r>
      <w:r w:rsidRPr="247F156B">
        <w:rPr>
          <w:rFonts w:ascii="Calibri" w:eastAsia="Calibri" w:hAnsi="Calibri" w:cs="Calibri"/>
          <w:lang w:val="en-GB"/>
        </w:rPr>
        <w:t xml:space="preserve"> under the SO </w:t>
      </w:r>
      <w:r w:rsidR="00351E64" w:rsidRPr="247F156B">
        <w:rPr>
          <w:rFonts w:ascii="Calibri" w:eastAsia="Calibri" w:hAnsi="Calibri" w:cs="Calibri"/>
          <w:lang w:val="en-GB"/>
        </w:rPr>
        <w:t>Regulation and</w:t>
      </w:r>
      <w:r w:rsidRPr="247F156B">
        <w:rPr>
          <w:rFonts w:ascii="Calibri" w:eastAsia="Calibri" w:hAnsi="Calibri" w:cs="Calibri"/>
          <w:lang w:val="en-GB"/>
        </w:rPr>
        <w:t xml:space="preserve"> </w:t>
      </w:r>
      <w:r w:rsidR="37037814" w:rsidRPr="247F156B">
        <w:rPr>
          <w:rFonts w:ascii="Calibri" w:eastAsia="Calibri" w:hAnsi="Calibri" w:cs="Calibri"/>
          <w:lang w:val="en-GB"/>
        </w:rPr>
        <w:t xml:space="preserve">may </w:t>
      </w:r>
      <w:r w:rsidR="5B674EAF" w:rsidRPr="247F156B">
        <w:rPr>
          <w:rFonts w:ascii="Calibri" w:eastAsia="Calibri" w:hAnsi="Calibri" w:cs="Calibri"/>
          <w:lang w:val="en-GB"/>
        </w:rPr>
        <w:t xml:space="preserve">progress at different levels of implementation </w:t>
      </w:r>
      <w:r w:rsidRPr="247F156B">
        <w:rPr>
          <w:rFonts w:ascii="Calibri" w:eastAsia="Calibri" w:hAnsi="Calibri" w:cs="Calibri"/>
          <w:lang w:val="en-GB"/>
        </w:rPr>
        <w:t>across SORs. Some regions may already have experience with reserve sharing, while others may still be in the preparatory phase of developing the necessary legal, technical, and operational frameworks. As a result, not all SORs will reach the same level of readiness by a common fixed deadline.</w:t>
      </w:r>
    </w:p>
    <w:p w14:paraId="6F7226BB" w14:textId="5C34ED88" w:rsidR="006B0A95" w:rsidRDefault="37037814" w:rsidP="00351E64">
      <w:pPr>
        <w:spacing w:before="240" w:after="240"/>
        <w:jc w:val="both"/>
        <w:rPr>
          <w:rFonts w:ascii="Calibri" w:eastAsia="Calibri" w:hAnsi="Calibri" w:cs="Calibri"/>
          <w:lang w:val="en-GB"/>
        </w:rPr>
      </w:pPr>
      <w:r w:rsidRPr="671DDA8C">
        <w:rPr>
          <w:rFonts w:ascii="Calibri" w:eastAsia="Calibri" w:hAnsi="Calibri" w:cs="Calibri"/>
          <w:lang w:val="en-GB"/>
        </w:rPr>
        <w:lastRenderedPageBreak/>
        <w:t>Given this variability</w:t>
      </w:r>
      <w:r w:rsidR="004F2601">
        <w:rPr>
          <w:rFonts w:ascii="Calibri" w:eastAsia="Calibri" w:hAnsi="Calibri" w:cs="Calibri"/>
          <w:lang w:val="en-GB"/>
        </w:rPr>
        <w:t xml:space="preserve"> and voluntary nature</w:t>
      </w:r>
      <w:r w:rsidRPr="671DDA8C">
        <w:rPr>
          <w:rFonts w:ascii="Calibri" w:eastAsia="Calibri" w:hAnsi="Calibri" w:cs="Calibri"/>
          <w:lang w:val="en-GB"/>
        </w:rPr>
        <w:t>, imposing a single mandatory implementation date would create inconsistencies in regions where sharing agreements are not yet in place</w:t>
      </w:r>
      <w:r w:rsidR="003C6F18" w:rsidRPr="00A7676F">
        <w:rPr>
          <w:lang w:val="en-US"/>
        </w:rPr>
        <w:t xml:space="preserve"> </w:t>
      </w:r>
      <w:r w:rsidR="003C6F18">
        <w:rPr>
          <w:rFonts w:ascii="Calibri" w:eastAsia="Calibri" w:hAnsi="Calibri" w:cs="Calibri"/>
          <w:lang w:val="en-GB"/>
        </w:rPr>
        <w:t>o</w:t>
      </w:r>
      <w:r w:rsidR="003C6F18" w:rsidRPr="003C6F18">
        <w:rPr>
          <w:rFonts w:ascii="Calibri" w:eastAsia="Calibri" w:hAnsi="Calibri" w:cs="Calibri"/>
          <w:lang w:val="en-GB"/>
        </w:rPr>
        <w:t xml:space="preserve">r intended to be </w:t>
      </w:r>
      <w:r w:rsidR="004C49C1">
        <w:rPr>
          <w:rFonts w:ascii="Calibri" w:eastAsia="Calibri" w:hAnsi="Calibri" w:cs="Calibri"/>
          <w:lang w:val="en-GB"/>
        </w:rPr>
        <w:t>established</w:t>
      </w:r>
      <w:r w:rsidR="003C6F18" w:rsidRPr="003C6F18">
        <w:rPr>
          <w:rFonts w:ascii="Calibri" w:eastAsia="Calibri" w:hAnsi="Calibri" w:cs="Calibri"/>
          <w:lang w:val="en-GB"/>
        </w:rPr>
        <w:t xml:space="preserve"> for the time being</w:t>
      </w:r>
      <w:r w:rsidRPr="671DDA8C">
        <w:rPr>
          <w:rFonts w:ascii="Calibri" w:eastAsia="Calibri" w:hAnsi="Calibri" w:cs="Calibri"/>
          <w:lang w:val="en-GB"/>
        </w:rPr>
        <w:t xml:space="preserve">. To address this, a </w:t>
      </w:r>
      <w:r w:rsidRPr="671DDA8C">
        <w:rPr>
          <w:rFonts w:ascii="Calibri" w:eastAsia="Calibri" w:hAnsi="Calibri" w:cs="Calibri"/>
          <w:b/>
          <w:bCs/>
          <w:lang w:val="en-GB"/>
        </w:rPr>
        <w:t>flexible implementation timeline</w:t>
      </w:r>
      <w:r w:rsidRPr="671DDA8C">
        <w:rPr>
          <w:rFonts w:ascii="Calibri" w:eastAsia="Calibri" w:hAnsi="Calibri" w:cs="Calibri"/>
          <w:lang w:val="en-GB"/>
        </w:rPr>
        <w:t xml:space="preserve"> is proposed. The revised Article 7(1) </w:t>
      </w:r>
      <w:r w:rsidR="21BFB94C" w:rsidRPr="671DDA8C">
        <w:rPr>
          <w:rFonts w:ascii="Calibri" w:eastAsia="Calibri" w:hAnsi="Calibri" w:cs="Calibri"/>
          <w:lang w:val="en-GB"/>
        </w:rPr>
        <w:t xml:space="preserve">correlates </w:t>
      </w:r>
      <w:r w:rsidRPr="671DDA8C">
        <w:rPr>
          <w:rFonts w:ascii="Calibri" w:eastAsia="Calibri" w:hAnsi="Calibri" w:cs="Calibri"/>
          <w:lang w:val="en-GB"/>
        </w:rPr>
        <w:t xml:space="preserve">the start of the RCC’s implementation to the </w:t>
      </w:r>
      <w:r w:rsidRPr="671DDA8C">
        <w:rPr>
          <w:rFonts w:ascii="Calibri" w:eastAsia="Calibri" w:hAnsi="Calibri" w:cs="Calibri"/>
          <w:b/>
          <w:bCs/>
          <w:lang w:val="en-GB"/>
        </w:rPr>
        <w:t>notification by TSOs of their intention to establish and apply sharing agreements</w:t>
      </w:r>
      <w:r w:rsidRPr="671DDA8C">
        <w:rPr>
          <w:rFonts w:ascii="Calibri" w:eastAsia="Calibri" w:hAnsi="Calibri" w:cs="Calibri"/>
          <w:lang w:val="en-GB"/>
        </w:rPr>
        <w:t xml:space="preserve">. This approach ensures that RCCs initiate the process only when the preconditions for its effective </w:t>
      </w:r>
      <w:r w:rsidR="738639F6" w:rsidRPr="671DDA8C">
        <w:rPr>
          <w:rFonts w:ascii="Calibri" w:eastAsia="Calibri" w:hAnsi="Calibri" w:cs="Calibri"/>
          <w:lang w:val="en-GB"/>
        </w:rPr>
        <w:t>applic</w:t>
      </w:r>
      <w:r w:rsidRPr="671DDA8C">
        <w:rPr>
          <w:rFonts w:ascii="Calibri" w:eastAsia="Calibri" w:hAnsi="Calibri" w:cs="Calibri"/>
          <w:lang w:val="en-GB"/>
        </w:rPr>
        <w:t>ation are fulfilled.</w:t>
      </w:r>
    </w:p>
    <w:p w14:paraId="79209F48" w14:textId="2D6F02F1" w:rsidR="001B013C" w:rsidRPr="006B0A95" w:rsidRDefault="001B013C" w:rsidP="00351E64">
      <w:pPr>
        <w:spacing w:before="240" w:after="240"/>
        <w:jc w:val="both"/>
        <w:rPr>
          <w:rFonts w:ascii="Calibri" w:eastAsia="Calibri" w:hAnsi="Calibri" w:cs="Calibri"/>
          <w:lang w:val="en-GB"/>
        </w:rPr>
      </w:pPr>
      <w:r w:rsidRPr="6150CBAE">
        <w:rPr>
          <w:rFonts w:ascii="Calibri" w:eastAsia="Calibri" w:hAnsi="Calibri" w:cs="Calibri"/>
          <w:lang w:val="en-GB"/>
        </w:rPr>
        <w:t xml:space="preserve">Furthermore, the article </w:t>
      </w:r>
      <w:r w:rsidR="002F4CF2" w:rsidRPr="6150CBAE">
        <w:rPr>
          <w:rFonts w:ascii="Calibri" w:eastAsia="Calibri" w:hAnsi="Calibri" w:cs="Calibri"/>
          <w:lang w:val="en-GB"/>
        </w:rPr>
        <w:t xml:space="preserve">also </w:t>
      </w:r>
      <w:r w:rsidR="002F4CF2" w:rsidRPr="6150CBAE">
        <w:rPr>
          <w:rFonts w:ascii="Calibri" w:eastAsia="Calibri" w:hAnsi="Calibri" w:cs="Calibri"/>
          <w:lang w:val="en-US"/>
        </w:rPr>
        <w:t xml:space="preserve">distinguishes the situation where a sharing </w:t>
      </w:r>
      <w:r w:rsidR="7AC72B78" w:rsidRPr="6150CBAE">
        <w:rPr>
          <w:rFonts w:ascii="Calibri" w:eastAsia="Calibri" w:hAnsi="Calibri" w:cs="Calibri"/>
          <w:lang w:val="en-US"/>
        </w:rPr>
        <w:t>agreement</w:t>
      </w:r>
      <w:r w:rsidR="002F4CF2" w:rsidRPr="6150CBAE">
        <w:rPr>
          <w:rFonts w:ascii="Calibri" w:eastAsia="Calibri" w:hAnsi="Calibri" w:cs="Calibri"/>
          <w:lang w:val="en-US"/>
        </w:rPr>
        <w:t xml:space="preserve"> is in place already, specifying a </w:t>
      </w:r>
      <w:r w:rsidR="002F53CD" w:rsidRPr="6150CBAE">
        <w:rPr>
          <w:rFonts w:ascii="Calibri" w:eastAsia="Calibri" w:hAnsi="Calibri" w:cs="Calibri"/>
          <w:lang w:val="en-US"/>
        </w:rPr>
        <w:t>shorter</w:t>
      </w:r>
      <w:r w:rsidR="002F4CF2" w:rsidRPr="6150CBAE">
        <w:rPr>
          <w:rFonts w:ascii="Calibri" w:eastAsia="Calibri" w:hAnsi="Calibri" w:cs="Calibri"/>
          <w:lang w:val="en-US"/>
        </w:rPr>
        <w:t xml:space="preserve"> implementation timeline for those cases. </w:t>
      </w:r>
    </w:p>
    <w:p w14:paraId="53DD4D46" w14:textId="0AE0F086" w:rsidR="006B0A95" w:rsidRPr="00A7676F" w:rsidRDefault="1C73F749" w:rsidP="00351E64">
      <w:pPr>
        <w:spacing w:before="240" w:after="240"/>
        <w:jc w:val="both"/>
        <w:rPr>
          <w:lang w:val="en-US"/>
        </w:rPr>
      </w:pPr>
      <w:r w:rsidRPr="6E444347">
        <w:rPr>
          <w:rFonts w:ascii="Calibri" w:eastAsia="Calibri" w:hAnsi="Calibri" w:cs="Calibri"/>
          <w:lang w:val="en-GB"/>
        </w:rPr>
        <w:t xml:space="preserve">This amendment therefore provides a </w:t>
      </w:r>
      <w:r w:rsidRPr="6E444347">
        <w:rPr>
          <w:rFonts w:ascii="Calibri" w:eastAsia="Calibri" w:hAnsi="Calibri" w:cs="Calibri"/>
          <w:b/>
          <w:bCs/>
          <w:lang w:val="en-GB"/>
        </w:rPr>
        <w:t>pragmatic and proportionate solution</w:t>
      </w:r>
      <w:r w:rsidRPr="6E444347">
        <w:rPr>
          <w:rFonts w:ascii="Calibri" w:eastAsia="Calibri" w:hAnsi="Calibri" w:cs="Calibri"/>
          <w:lang w:val="en-GB"/>
        </w:rPr>
        <w:t>, allowing each SOR to progress according to its own readiness, while maintaining the integrity and harmonised application of the methodology across regions. It reflects the reality of differing development stages among SORs and ensures that implementation proceeds in line with actual operational capabilities rather than arbitrary deadlines.</w:t>
      </w:r>
    </w:p>
    <w:p w14:paraId="7FCBDE84" w14:textId="35AC4E60" w:rsidR="006B0A95" w:rsidRPr="006B0A95" w:rsidRDefault="006B0A95" w:rsidP="006B0A95">
      <w:pPr>
        <w:rPr>
          <w:lang w:val="en-GB"/>
        </w:rPr>
      </w:pPr>
    </w:p>
    <w:sectPr w:rsidR="006B0A95" w:rsidRPr="006B0A95" w:rsidSect="00DA52A8">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B5A3" w14:textId="77777777" w:rsidR="0050228C" w:rsidRDefault="0050228C" w:rsidP="00842D8A">
      <w:pPr>
        <w:spacing w:after="0" w:line="240" w:lineRule="auto"/>
      </w:pPr>
      <w:r>
        <w:separator/>
      </w:r>
    </w:p>
  </w:endnote>
  <w:endnote w:type="continuationSeparator" w:id="0">
    <w:p w14:paraId="78863977" w14:textId="77777777" w:rsidR="0050228C" w:rsidRDefault="0050228C" w:rsidP="00842D8A">
      <w:pPr>
        <w:spacing w:after="0" w:line="240" w:lineRule="auto"/>
      </w:pPr>
      <w:r>
        <w:continuationSeparator/>
      </w:r>
    </w:p>
  </w:endnote>
  <w:endnote w:type="continuationNotice" w:id="1">
    <w:p w14:paraId="45F41DB3" w14:textId="77777777" w:rsidR="0050228C" w:rsidRDefault="005022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5512"/>
      <w:docPartObj>
        <w:docPartGallery w:val="Page Numbers (Bottom of Page)"/>
        <w:docPartUnique/>
      </w:docPartObj>
    </w:sdtPr>
    <w:sdtEndPr>
      <w:rPr>
        <w:noProof/>
      </w:rPr>
    </w:sdtEndPr>
    <w:sdtContent>
      <w:p w14:paraId="1F4564D1" w14:textId="3915F7F6" w:rsidR="00703B75" w:rsidRDefault="00703B75">
        <w:pPr>
          <w:pStyle w:val="Footer"/>
          <w:jc w:val="right"/>
        </w:pPr>
        <w:r>
          <w:fldChar w:fldCharType="begin"/>
        </w:r>
        <w:r>
          <w:instrText xml:space="preserve"> PAGE   \* MERGEFORMAT </w:instrText>
        </w:r>
        <w:r>
          <w:fldChar w:fldCharType="separate"/>
        </w:r>
        <w:r w:rsidR="001D5E33">
          <w:rPr>
            <w:noProof/>
          </w:rPr>
          <w:t>1</w:t>
        </w:r>
        <w:r w:rsidR="001D5E33">
          <w:rPr>
            <w:noProof/>
          </w:rPr>
          <w:t>5</w:t>
        </w:r>
        <w:r>
          <w:rPr>
            <w:noProof/>
          </w:rPr>
          <w:fldChar w:fldCharType="end"/>
        </w:r>
      </w:p>
    </w:sdtContent>
  </w:sdt>
  <w:p w14:paraId="62E3AC93" w14:textId="77777777" w:rsidR="00842D8A" w:rsidRDefault="00842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950965"/>
      <w:docPartObj>
        <w:docPartGallery w:val="Page Numbers (Bottom of Page)"/>
        <w:docPartUnique/>
      </w:docPartObj>
    </w:sdtPr>
    <w:sdtEndPr>
      <w:rPr>
        <w:noProof/>
      </w:rPr>
    </w:sdtEndPr>
    <w:sdtContent>
      <w:p w14:paraId="76E6E4EA" w14:textId="77777777" w:rsidR="003358AD" w:rsidRPr="003016DF" w:rsidRDefault="003358AD" w:rsidP="003358AD">
        <w:pPr>
          <w:pStyle w:val="Footer"/>
          <w:ind w:right="360"/>
          <w:jc w:val="center"/>
          <w:rPr>
            <w:rFonts w:ascii="Calibri" w:hAnsi="Calibri" w:cs="Calibri"/>
            <w:color w:val="0F218B"/>
            <w:sz w:val="21"/>
            <w:szCs w:val="32"/>
            <w:lang w:val="fr-FR"/>
          </w:rPr>
        </w:pPr>
        <w:r w:rsidRPr="005B55AE">
          <w:rPr>
            <w:rFonts w:ascii="Calibri" w:hAnsi="Calibri" w:cs="Calibri"/>
            <w:color w:val="0F218B"/>
            <w:sz w:val="21"/>
            <w:szCs w:val="32"/>
            <w:lang w:val="fr-FR"/>
          </w:rPr>
          <w:t xml:space="preserve">ENTSO-E </w:t>
        </w:r>
        <w:r w:rsidRPr="005B55AE">
          <w:rPr>
            <w:rFonts w:ascii="Calibri" w:hAnsi="Calibri" w:cs="Calibri"/>
            <w:color w:val="0F218B"/>
            <w:sz w:val="24"/>
            <w:szCs w:val="32"/>
            <w:lang w:val="fr-FR"/>
          </w:rPr>
          <w:t>|</w:t>
        </w:r>
        <w:r w:rsidRPr="005B55AE">
          <w:rPr>
            <w:rFonts w:ascii="Calibri" w:hAnsi="Calibri" w:cs="Calibri"/>
            <w:color w:val="0F218B"/>
            <w:sz w:val="21"/>
            <w:szCs w:val="32"/>
            <w:lang w:val="fr-FR"/>
          </w:rPr>
          <w:t xml:space="preserve"> Rue de Spa, 8 </w:t>
        </w:r>
        <w:r w:rsidRPr="005B55AE">
          <w:rPr>
            <w:rFonts w:ascii="Calibri" w:hAnsi="Calibri" w:cs="Calibri"/>
            <w:color w:val="0F218B"/>
            <w:sz w:val="24"/>
            <w:szCs w:val="32"/>
            <w:lang w:val="fr-FR"/>
          </w:rPr>
          <w:t>|</w:t>
        </w:r>
        <w:r w:rsidRPr="005B55AE">
          <w:rPr>
            <w:rFonts w:ascii="Calibri" w:hAnsi="Calibri" w:cs="Calibri"/>
            <w:color w:val="0F218B"/>
            <w:sz w:val="21"/>
            <w:szCs w:val="32"/>
            <w:lang w:val="fr-FR"/>
          </w:rPr>
          <w:t xml:space="preserve"> 1000 Brussels </w:t>
        </w:r>
        <w:r w:rsidRPr="005B55AE">
          <w:rPr>
            <w:rFonts w:ascii="Calibri" w:hAnsi="Calibri" w:cs="Calibri"/>
            <w:color w:val="0F218B"/>
            <w:sz w:val="24"/>
            <w:szCs w:val="32"/>
            <w:lang w:val="fr-FR"/>
          </w:rPr>
          <w:t>|</w:t>
        </w:r>
        <w:r w:rsidRPr="005B55AE">
          <w:rPr>
            <w:rFonts w:ascii="Calibri" w:hAnsi="Calibri" w:cs="Calibri"/>
            <w:color w:val="0F218B"/>
            <w:sz w:val="21"/>
            <w:szCs w:val="32"/>
            <w:lang w:val="fr-FR"/>
          </w:rPr>
          <w:t xml:space="preserve"> info@entsoe.eu </w:t>
        </w:r>
        <w:r w:rsidRPr="005B55AE">
          <w:rPr>
            <w:rFonts w:ascii="Calibri" w:hAnsi="Calibri" w:cs="Calibri"/>
            <w:color w:val="0F218B"/>
            <w:sz w:val="24"/>
            <w:szCs w:val="32"/>
            <w:lang w:val="fr-FR"/>
          </w:rPr>
          <w:t>|</w:t>
        </w:r>
        <w:r w:rsidRPr="005B55AE">
          <w:rPr>
            <w:rFonts w:ascii="Calibri" w:hAnsi="Calibri" w:cs="Calibri"/>
            <w:color w:val="0F218B"/>
            <w:sz w:val="21"/>
            <w:szCs w:val="32"/>
            <w:lang w:val="fr-FR"/>
          </w:rPr>
          <w:t xml:space="preserve"> www.entsoe.eu </w:t>
        </w:r>
        <w:r w:rsidRPr="005B55AE">
          <w:rPr>
            <w:rFonts w:ascii="Calibri" w:hAnsi="Calibri" w:cs="Calibri"/>
            <w:color w:val="0F218B"/>
            <w:sz w:val="24"/>
            <w:szCs w:val="32"/>
            <w:lang w:val="fr-FR"/>
          </w:rPr>
          <w:t>|</w:t>
        </w:r>
        <w:r w:rsidRPr="005B55AE">
          <w:rPr>
            <w:rFonts w:ascii="Calibri" w:hAnsi="Calibri" w:cs="Calibri"/>
            <w:color w:val="0F218B"/>
            <w:sz w:val="21"/>
            <w:szCs w:val="32"/>
            <w:lang w:val="fr-FR"/>
          </w:rPr>
          <w:t xml:space="preserve"> @entso_e</w:t>
        </w:r>
      </w:p>
      <w:p w14:paraId="711D3B0F" w14:textId="001780BD" w:rsidR="003358AD" w:rsidRPr="003358AD" w:rsidRDefault="00000000" w:rsidP="003358AD">
        <w:pPr>
          <w:pStyle w:val="Footer"/>
          <w:tabs>
            <w:tab w:val="center" w:pos="4536"/>
            <w:tab w:val="right" w:pos="9072"/>
          </w:tabs>
          <w:jc w:val="right"/>
          <w:rPr>
            <w:rFonts w:ascii="Arial" w:hAnsi="Arial"/>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44D7" w14:textId="77777777" w:rsidR="0050228C" w:rsidRDefault="0050228C" w:rsidP="00842D8A">
      <w:pPr>
        <w:spacing w:after="0" w:line="240" w:lineRule="auto"/>
      </w:pPr>
      <w:r>
        <w:separator/>
      </w:r>
    </w:p>
  </w:footnote>
  <w:footnote w:type="continuationSeparator" w:id="0">
    <w:p w14:paraId="7CBFC496" w14:textId="77777777" w:rsidR="0050228C" w:rsidRDefault="0050228C" w:rsidP="00842D8A">
      <w:pPr>
        <w:spacing w:after="0" w:line="240" w:lineRule="auto"/>
      </w:pPr>
      <w:r>
        <w:continuationSeparator/>
      </w:r>
    </w:p>
  </w:footnote>
  <w:footnote w:type="continuationNotice" w:id="1">
    <w:p w14:paraId="7CE77A5B" w14:textId="77777777" w:rsidR="0050228C" w:rsidRDefault="005022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AE80" w14:textId="77777777" w:rsidR="0089313E" w:rsidRDefault="0089313E">
    <w:pPr>
      <w:pStyle w:val="Header"/>
    </w:pPr>
  </w:p>
  <w:p w14:paraId="306D9D67" w14:textId="77777777" w:rsidR="0089313E" w:rsidRDefault="0089313E">
    <w:pPr>
      <w:pStyle w:val="Header"/>
    </w:pPr>
  </w:p>
  <w:p w14:paraId="286A0739" w14:textId="77777777" w:rsidR="0089313E" w:rsidRDefault="0089313E">
    <w:pPr>
      <w:pStyle w:val="Header"/>
    </w:pPr>
  </w:p>
  <w:p w14:paraId="4C621B81" w14:textId="2CCBFB07" w:rsidR="003358AD" w:rsidRDefault="003358AD">
    <w:pPr>
      <w:pStyle w:val="Header"/>
    </w:pPr>
    <w:r>
      <w:rPr>
        <w:noProof/>
        <w:lang w:val="pl-PL" w:eastAsia="pl-PL"/>
      </w:rPr>
      <w:drawing>
        <wp:anchor distT="0" distB="0" distL="114300" distR="114300" simplePos="0" relativeHeight="251658240" behindDoc="0" locked="1" layoutInCell="1" allowOverlap="1" wp14:anchorId="3D06527B" wp14:editId="4C25F19E">
          <wp:simplePos x="0" y="0"/>
          <wp:positionH relativeFrom="page">
            <wp:posOffset>4430395</wp:posOffset>
          </wp:positionH>
          <wp:positionV relativeFrom="page">
            <wp:posOffset>455930</wp:posOffset>
          </wp:positionV>
          <wp:extent cx="2929890" cy="382905"/>
          <wp:effectExtent l="19050" t="0" r="3300" b="0"/>
          <wp:wrapNone/>
          <wp:docPr id="12" name="Picture 12" descr="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mf"/>
                  <pic:cNvPicPr/>
                </pic:nvPicPr>
                <pic:blipFill>
                  <a:blip r:embed="rId1"/>
                  <a:stretch>
                    <a:fillRect/>
                  </a:stretch>
                </pic:blipFill>
                <pic:spPr>
                  <a:xfrm>
                    <a:off x="0" y="0"/>
                    <a:ext cx="2929890" cy="3829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F24D" w14:textId="1CFEF331" w:rsidR="003358AD" w:rsidRDefault="003358AD">
    <w:pPr>
      <w:pStyle w:val="Header"/>
    </w:pPr>
    <w:r>
      <w:rPr>
        <w:noProof/>
        <w:lang w:val="pl-PL" w:eastAsia="pl-PL"/>
      </w:rPr>
      <w:drawing>
        <wp:anchor distT="0" distB="0" distL="114300" distR="114300" simplePos="0" relativeHeight="251658241" behindDoc="0" locked="1" layoutInCell="1" allowOverlap="1" wp14:anchorId="7BC46468" wp14:editId="709E34F9">
          <wp:simplePos x="0" y="0"/>
          <wp:positionH relativeFrom="page">
            <wp:posOffset>4338955</wp:posOffset>
          </wp:positionH>
          <wp:positionV relativeFrom="page">
            <wp:posOffset>441325</wp:posOffset>
          </wp:positionV>
          <wp:extent cx="2929890" cy="382905"/>
          <wp:effectExtent l="19050" t="0" r="3300" b="0"/>
          <wp:wrapNone/>
          <wp:docPr id="2" name="Picture 2" descr="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mf"/>
                  <pic:cNvPicPr/>
                </pic:nvPicPr>
                <pic:blipFill>
                  <a:blip r:embed="rId1"/>
                  <a:stretch>
                    <a:fillRect/>
                  </a:stretch>
                </pic:blipFill>
                <pic:spPr>
                  <a:xfrm>
                    <a:off x="0" y="0"/>
                    <a:ext cx="2929890" cy="3829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B6E"/>
    <w:multiLevelType w:val="hybridMultilevel"/>
    <w:tmpl w:val="7436D9F0"/>
    <w:lvl w:ilvl="0" w:tplc="040C0001">
      <w:numFmt w:val="bullet"/>
      <w:lvlText w:val="−"/>
      <w:lvlJc w:val="left"/>
      <w:pPr>
        <w:ind w:left="720" w:hanging="360"/>
      </w:pPr>
      <w:rPr>
        <w:rFonts w:ascii="Times New Roman" w:eastAsia="Times New Roman" w:hAnsi="Times New Roman" w:cs="Times New Roman" w:hint="default"/>
        <w:b w:val="0"/>
        <w:color w:val="000000"/>
        <w:sz w:val="15"/>
      </w:rPr>
    </w:lvl>
    <w:lvl w:ilvl="1" w:tplc="FFFFFFFF">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E9588E"/>
    <w:multiLevelType w:val="hybridMultilevel"/>
    <w:tmpl w:val="2DFED1A6"/>
    <w:lvl w:ilvl="0" w:tplc="656413AA">
      <w:start w:val="1"/>
      <w:numFmt w:val="bullet"/>
      <w:lvlText w:val=""/>
      <w:lvlJc w:val="left"/>
      <w:pPr>
        <w:ind w:left="720" w:hanging="360"/>
      </w:pPr>
      <w:rPr>
        <w:rFonts w:ascii="Symbol" w:hAnsi="Symbol" w:hint="default"/>
      </w:rPr>
    </w:lvl>
    <w:lvl w:ilvl="1" w:tplc="CE0E6490">
      <w:start w:val="1"/>
      <w:numFmt w:val="bullet"/>
      <w:lvlText w:val="o"/>
      <w:lvlJc w:val="left"/>
      <w:pPr>
        <w:ind w:left="1440" w:hanging="360"/>
      </w:pPr>
      <w:rPr>
        <w:rFonts w:ascii="Courier New" w:hAnsi="Courier New" w:hint="default"/>
      </w:rPr>
    </w:lvl>
    <w:lvl w:ilvl="2" w:tplc="3D80E504">
      <w:start w:val="1"/>
      <w:numFmt w:val="bullet"/>
      <w:lvlText w:val=""/>
      <w:lvlJc w:val="left"/>
      <w:pPr>
        <w:ind w:left="2160" w:hanging="360"/>
      </w:pPr>
      <w:rPr>
        <w:rFonts w:ascii="Wingdings" w:hAnsi="Wingdings" w:hint="default"/>
      </w:rPr>
    </w:lvl>
    <w:lvl w:ilvl="3" w:tplc="5008BF12">
      <w:start w:val="1"/>
      <w:numFmt w:val="bullet"/>
      <w:lvlText w:val=""/>
      <w:lvlJc w:val="left"/>
      <w:pPr>
        <w:ind w:left="2880" w:hanging="360"/>
      </w:pPr>
      <w:rPr>
        <w:rFonts w:ascii="Symbol" w:hAnsi="Symbol" w:hint="default"/>
      </w:rPr>
    </w:lvl>
    <w:lvl w:ilvl="4" w:tplc="B412C298">
      <w:start w:val="1"/>
      <w:numFmt w:val="bullet"/>
      <w:lvlText w:val="o"/>
      <w:lvlJc w:val="left"/>
      <w:pPr>
        <w:ind w:left="3600" w:hanging="360"/>
      </w:pPr>
      <w:rPr>
        <w:rFonts w:ascii="Courier New" w:hAnsi="Courier New" w:hint="default"/>
      </w:rPr>
    </w:lvl>
    <w:lvl w:ilvl="5" w:tplc="D3C24C1A">
      <w:start w:val="1"/>
      <w:numFmt w:val="bullet"/>
      <w:lvlText w:val=""/>
      <w:lvlJc w:val="left"/>
      <w:pPr>
        <w:ind w:left="4320" w:hanging="360"/>
      </w:pPr>
      <w:rPr>
        <w:rFonts w:ascii="Wingdings" w:hAnsi="Wingdings" w:hint="default"/>
      </w:rPr>
    </w:lvl>
    <w:lvl w:ilvl="6" w:tplc="FEE0840E">
      <w:start w:val="1"/>
      <w:numFmt w:val="bullet"/>
      <w:lvlText w:val=""/>
      <w:lvlJc w:val="left"/>
      <w:pPr>
        <w:ind w:left="5040" w:hanging="360"/>
      </w:pPr>
      <w:rPr>
        <w:rFonts w:ascii="Symbol" w:hAnsi="Symbol" w:hint="default"/>
      </w:rPr>
    </w:lvl>
    <w:lvl w:ilvl="7" w:tplc="7B6C82E4">
      <w:start w:val="1"/>
      <w:numFmt w:val="bullet"/>
      <w:lvlText w:val="o"/>
      <w:lvlJc w:val="left"/>
      <w:pPr>
        <w:ind w:left="5760" w:hanging="360"/>
      </w:pPr>
      <w:rPr>
        <w:rFonts w:ascii="Courier New" w:hAnsi="Courier New" w:hint="default"/>
      </w:rPr>
    </w:lvl>
    <w:lvl w:ilvl="8" w:tplc="F4087A3A">
      <w:start w:val="1"/>
      <w:numFmt w:val="bullet"/>
      <w:lvlText w:val=""/>
      <w:lvlJc w:val="left"/>
      <w:pPr>
        <w:ind w:left="6480" w:hanging="360"/>
      </w:pPr>
      <w:rPr>
        <w:rFonts w:ascii="Wingdings" w:hAnsi="Wingdings" w:hint="default"/>
      </w:rPr>
    </w:lvl>
  </w:abstractNum>
  <w:abstractNum w:abstractNumId="2" w15:restartNumberingAfterBreak="0">
    <w:nsid w:val="14D86037"/>
    <w:multiLevelType w:val="hybridMultilevel"/>
    <w:tmpl w:val="91EEF904"/>
    <w:lvl w:ilvl="0" w:tplc="566A73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507F07"/>
    <w:multiLevelType w:val="hybridMultilevel"/>
    <w:tmpl w:val="0068F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43054"/>
    <w:multiLevelType w:val="hybridMultilevel"/>
    <w:tmpl w:val="871A55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F67F74"/>
    <w:multiLevelType w:val="hybridMultilevel"/>
    <w:tmpl w:val="B8622A88"/>
    <w:lvl w:ilvl="0" w:tplc="FFFFFFFF">
      <w:start w:val="1"/>
      <w:numFmt w:val="decimal"/>
      <w:lvlText w:val="%1."/>
      <w:lvlJc w:val="left"/>
      <w:pPr>
        <w:ind w:left="720" w:hanging="360"/>
      </w:pPr>
    </w:lvl>
    <w:lvl w:ilvl="1" w:tplc="AD8E95C8">
      <w:start w:val="1"/>
      <w:numFmt w:val="lowerLetter"/>
      <w:lvlText w:val="%2."/>
      <w:lvlJc w:val="left"/>
      <w:pPr>
        <w:ind w:left="1440" w:hanging="360"/>
      </w:pPr>
    </w:lvl>
    <w:lvl w:ilvl="2" w:tplc="BC0A77C8">
      <w:start w:val="1"/>
      <w:numFmt w:val="lowerRoman"/>
      <w:lvlText w:val="%3."/>
      <w:lvlJc w:val="right"/>
      <w:pPr>
        <w:ind w:left="2160" w:hanging="180"/>
      </w:pPr>
    </w:lvl>
    <w:lvl w:ilvl="3" w:tplc="A6266CC2">
      <w:start w:val="1"/>
      <w:numFmt w:val="decimal"/>
      <w:lvlText w:val="%4."/>
      <w:lvlJc w:val="left"/>
      <w:pPr>
        <w:ind w:left="2880" w:hanging="360"/>
      </w:pPr>
    </w:lvl>
    <w:lvl w:ilvl="4" w:tplc="E91431BC">
      <w:start w:val="1"/>
      <w:numFmt w:val="lowerLetter"/>
      <w:lvlText w:val="%5."/>
      <w:lvlJc w:val="left"/>
      <w:pPr>
        <w:ind w:left="3600" w:hanging="360"/>
      </w:pPr>
    </w:lvl>
    <w:lvl w:ilvl="5" w:tplc="8162F96A">
      <w:start w:val="1"/>
      <w:numFmt w:val="lowerRoman"/>
      <w:lvlText w:val="%6."/>
      <w:lvlJc w:val="right"/>
      <w:pPr>
        <w:ind w:left="4320" w:hanging="180"/>
      </w:pPr>
    </w:lvl>
    <w:lvl w:ilvl="6" w:tplc="DD2C8E34">
      <w:start w:val="1"/>
      <w:numFmt w:val="decimal"/>
      <w:lvlText w:val="%7."/>
      <w:lvlJc w:val="left"/>
      <w:pPr>
        <w:ind w:left="5040" w:hanging="360"/>
      </w:pPr>
    </w:lvl>
    <w:lvl w:ilvl="7" w:tplc="022EF76E">
      <w:start w:val="1"/>
      <w:numFmt w:val="lowerLetter"/>
      <w:lvlText w:val="%8."/>
      <w:lvlJc w:val="left"/>
      <w:pPr>
        <w:ind w:left="5760" w:hanging="360"/>
      </w:pPr>
    </w:lvl>
    <w:lvl w:ilvl="8" w:tplc="C7744872">
      <w:start w:val="1"/>
      <w:numFmt w:val="lowerRoman"/>
      <w:lvlText w:val="%9."/>
      <w:lvlJc w:val="right"/>
      <w:pPr>
        <w:ind w:left="6480" w:hanging="180"/>
      </w:pPr>
    </w:lvl>
  </w:abstractNum>
  <w:abstractNum w:abstractNumId="6" w15:restartNumberingAfterBreak="0">
    <w:nsid w:val="1FD26371"/>
    <w:multiLevelType w:val="hybridMultilevel"/>
    <w:tmpl w:val="8C8E86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1A71CE"/>
    <w:multiLevelType w:val="hybridMultilevel"/>
    <w:tmpl w:val="F3327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FC17FF"/>
    <w:multiLevelType w:val="hybridMultilevel"/>
    <w:tmpl w:val="446C41D0"/>
    <w:lvl w:ilvl="0" w:tplc="4B42AA0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14066"/>
    <w:multiLevelType w:val="hybridMultilevel"/>
    <w:tmpl w:val="05F61EB4"/>
    <w:lvl w:ilvl="0" w:tplc="18EEA8C4">
      <w:start w:val="1"/>
      <w:numFmt w:val="decimal"/>
      <w:lvlText w:val="%1."/>
      <w:lvlJc w:val="left"/>
      <w:pPr>
        <w:ind w:left="720" w:hanging="360"/>
      </w:pPr>
      <w:rPr>
        <w:rFonts w:eastAsiaTheme="minorEastAsia"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690303"/>
    <w:multiLevelType w:val="hybridMultilevel"/>
    <w:tmpl w:val="78C8EFA6"/>
    <w:lvl w:ilvl="0" w:tplc="F6F6D11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E02372B"/>
    <w:multiLevelType w:val="hybridMultilevel"/>
    <w:tmpl w:val="49B64A80"/>
    <w:lvl w:ilvl="0" w:tplc="843A15E6">
      <w:numFmt w:val="none"/>
      <w:lvlText w:val=""/>
      <w:lvlJc w:val="left"/>
      <w:pPr>
        <w:tabs>
          <w:tab w:val="num" w:pos="360"/>
        </w:tabs>
      </w:pPr>
    </w:lvl>
    <w:lvl w:ilvl="1" w:tplc="5972FBAC">
      <w:start w:val="1"/>
      <w:numFmt w:val="lowerLetter"/>
      <w:lvlText w:val="%2."/>
      <w:lvlJc w:val="left"/>
      <w:pPr>
        <w:ind w:left="1440" w:hanging="360"/>
      </w:pPr>
    </w:lvl>
    <w:lvl w:ilvl="2" w:tplc="889C7074">
      <w:start w:val="1"/>
      <w:numFmt w:val="lowerRoman"/>
      <w:lvlText w:val="%3."/>
      <w:lvlJc w:val="right"/>
      <w:pPr>
        <w:ind w:left="2160" w:hanging="180"/>
      </w:pPr>
    </w:lvl>
    <w:lvl w:ilvl="3" w:tplc="788ACE32">
      <w:start w:val="1"/>
      <w:numFmt w:val="decimal"/>
      <w:lvlText w:val="%4."/>
      <w:lvlJc w:val="left"/>
      <w:pPr>
        <w:ind w:left="2880" w:hanging="360"/>
      </w:pPr>
    </w:lvl>
    <w:lvl w:ilvl="4" w:tplc="13AAB21A">
      <w:start w:val="1"/>
      <w:numFmt w:val="lowerLetter"/>
      <w:lvlText w:val="%5."/>
      <w:lvlJc w:val="left"/>
      <w:pPr>
        <w:ind w:left="3600" w:hanging="360"/>
      </w:pPr>
    </w:lvl>
    <w:lvl w:ilvl="5" w:tplc="0290B9B2">
      <w:start w:val="1"/>
      <w:numFmt w:val="lowerRoman"/>
      <w:lvlText w:val="%6."/>
      <w:lvlJc w:val="right"/>
      <w:pPr>
        <w:ind w:left="4320" w:hanging="180"/>
      </w:pPr>
    </w:lvl>
    <w:lvl w:ilvl="6" w:tplc="65B0AC72">
      <w:start w:val="1"/>
      <w:numFmt w:val="decimal"/>
      <w:lvlText w:val="%7."/>
      <w:lvlJc w:val="left"/>
      <w:pPr>
        <w:ind w:left="5040" w:hanging="360"/>
      </w:pPr>
    </w:lvl>
    <w:lvl w:ilvl="7" w:tplc="FB3A81FA">
      <w:start w:val="1"/>
      <w:numFmt w:val="lowerLetter"/>
      <w:lvlText w:val="%8."/>
      <w:lvlJc w:val="left"/>
      <w:pPr>
        <w:ind w:left="5760" w:hanging="360"/>
      </w:pPr>
    </w:lvl>
    <w:lvl w:ilvl="8" w:tplc="EF8A25F0">
      <w:start w:val="1"/>
      <w:numFmt w:val="lowerRoman"/>
      <w:lvlText w:val="%9."/>
      <w:lvlJc w:val="right"/>
      <w:pPr>
        <w:ind w:left="6480" w:hanging="180"/>
      </w:pPr>
    </w:lvl>
  </w:abstractNum>
  <w:abstractNum w:abstractNumId="12" w15:restartNumberingAfterBreak="0">
    <w:nsid w:val="2E412C1A"/>
    <w:multiLevelType w:val="hybridMultilevel"/>
    <w:tmpl w:val="31248E76"/>
    <w:lvl w:ilvl="0" w:tplc="BFE0ABCA">
      <w:numFmt w:val="none"/>
      <w:lvlText w:val=""/>
      <w:lvlJc w:val="left"/>
      <w:pPr>
        <w:tabs>
          <w:tab w:val="num" w:pos="360"/>
        </w:tabs>
      </w:pPr>
    </w:lvl>
    <w:lvl w:ilvl="1" w:tplc="EB0AA4AA">
      <w:start w:val="1"/>
      <w:numFmt w:val="lowerLetter"/>
      <w:lvlText w:val="%2."/>
      <w:lvlJc w:val="left"/>
      <w:pPr>
        <w:ind w:left="1440" w:hanging="360"/>
      </w:pPr>
    </w:lvl>
    <w:lvl w:ilvl="2" w:tplc="918412F6">
      <w:start w:val="1"/>
      <w:numFmt w:val="lowerRoman"/>
      <w:lvlText w:val="%3."/>
      <w:lvlJc w:val="right"/>
      <w:pPr>
        <w:ind w:left="2160" w:hanging="180"/>
      </w:pPr>
    </w:lvl>
    <w:lvl w:ilvl="3" w:tplc="E12009C4">
      <w:start w:val="1"/>
      <w:numFmt w:val="decimal"/>
      <w:lvlText w:val="%4."/>
      <w:lvlJc w:val="left"/>
      <w:pPr>
        <w:ind w:left="2880" w:hanging="360"/>
      </w:pPr>
    </w:lvl>
    <w:lvl w:ilvl="4" w:tplc="04E8AF2A">
      <w:start w:val="1"/>
      <w:numFmt w:val="lowerLetter"/>
      <w:lvlText w:val="%5."/>
      <w:lvlJc w:val="left"/>
      <w:pPr>
        <w:ind w:left="3600" w:hanging="360"/>
      </w:pPr>
    </w:lvl>
    <w:lvl w:ilvl="5" w:tplc="51F8EBC8">
      <w:start w:val="1"/>
      <w:numFmt w:val="lowerRoman"/>
      <w:lvlText w:val="%6."/>
      <w:lvlJc w:val="right"/>
      <w:pPr>
        <w:ind w:left="4320" w:hanging="180"/>
      </w:pPr>
    </w:lvl>
    <w:lvl w:ilvl="6" w:tplc="DF80B47E">
      <w:start w:val="1"/>
      <w:numFmt w:val="decimal"/>
      <w:lvlText w:val="%7."/>
      <w:lvlJc w:val="left"/>
      <w:pPr>
        <w:ind w:left="5040" w:hanging="360"/>
      </w:pPr>
    </w:lvl>
    <w:lvl w:ilvl="7" w:tplc="C26E67E6">
      <w:start w:val="1"/>
      <w:numFmt w:val="lowerLetter"/>
      <w:lvlText w:val="%8."/>
      <w:lvlJc w:val="left"/>
      <w:pPr>
        <w:ind w:left="5760" w:hanging="360"/>
      </w:pPr>
    </w:lvl>
    <w:lvl w:ilvl="8" w:tplc="7C9E4332">
      <w:start w:val="1"/>
      <w:numFmt w:val="lowerRoman"/>
      <w:lvlText w:val="%9."/>
      <w:lvlJc w:val="right"/>
      <w:pPr>
        <w:ind w:left="6480" w:hanging="180"/>
      </w:pPr>
    </w:lvl>
  </w:abstractNum>
  <w:abstractNum w:abstractNumId="13" w15:restartNumberingAfterBreak="0">
    <w:nsid w:val="2E6937B0"/>
    <w:multiLevelType w:val="hybridMultilevel"/>
    <w:tmpl w:val="59462760"/>
    <w:lvl w:ilvl="0" w:tplc="104486C0">
      <w:numFmt w:val="none"/>
      <w:lvlText w:val=""/>
      <w:lvlJc w:val="left"/>
      <w:pPr>
        <w:tabs>
          <w:tab w:val="num" w:pos="360"/>
        </w:tabs>
      </w:pPr>
    </w:lvl>
    <w:lvl w:ilvl="1" w:tplc="F444A0AE">
      <w:start w:val="1"/>
      <w:numFmt w:val="lowerLetter"/>
      <w:lvlText w:val="%2."/>
      <w:lvlJc w:val="left"/>
      <w:pPr>
        <w:ind w:left="1440" w:hanging="360"/>
      </w:pPr>
    </w:lvl>
    <w:lvl w:ilvl="2" w:tplc="D3A05222">
      <w:start w:val="1"/>
      <w:numFmt w:val="lowerRoman"/>
      <w:lvlText w:val="%3."/>
      <w:lvlJc w:val="right"/>
      <w:pPr>
        <w:ind w:left="2160" w:hanging="180"/>
      </w:pPr>
    </w:lvl>
    <w:lvl w:ilvl="3" w:tplc="3F18FF50">
      <w:start w:val="1"/>
      <w:numFmt w:val="decimal"/>
      <w:lvlText w:val="%4."/>
      <w:lvlJc w:val="left"/>
      <w:pPr>
        <w:ind w:left="2880" w:hanging="360"/>
      </w:pPr>
    </w:lvl>
    <w:lvl w:ilvl="4" w:tplc="63D670F6">
      <w:start w:val="1"/>
      <w:numFmt w:val="lowerLetter"/>
      <w:lvlText w:val="%5."/>
      <w:lvlJc w:val="left"/>
      <w:pPr>
        <w:ind w:left="3600" w:hanging="360"/>
      </w:pPr>
    </w:lvl>
    <w:lvl w:ilvl="5" w:tplc="FFCE5106">
      <w:start w:val="1"/>
      <w:numFmt w:val="lowerRoman"/>
      <w:lvlText w:val="%6."/>
      <w:lvlJc w:val="right"/>
      <w:pPr>
        <w:ind w:left="4320" w:hanging="180"/>
      </w:pPr>
    </w:lvl>
    <w:lvl w:ilvl="6" w:tplc="D0CC9B6A">
      <w:start w:val="1"/>
      <w:numFmt w:val="decimal"/>
      <w:lvlText w:val="%7."/>
      <w:lvlJc w:val="left"/>
      <w:pPr>
        <w:ind w:left="5040" w:hanging="360"/>
      </w:pPr>
    </w:lvl>
    <w:lvl w:ilvl="7" w:tplc="E192590C">
      <w:start w:val="1"/>
      <w:numFmt w:val="lowerLetter"/>
      <w:lvlText w:val="%8."/>
      <w:lvlJc w:val="left"/>
      <w:pPr>
        <w:ind w:left="5760" w:hanging="360"/>
      </w:pPr>
    </w:lvl>
    <w:lvl w:ilvl="8" w:tplc="ACA0E12C">
      <w:start w:val="1"/>
      <w:numFmt w:val="lowerRoman"/>
      <w:lvlText w:val="%9."/>
      <w:lvlJc w:val="right"/>
      <w:pPr>
        <w:ind w:left="6480" w:hanging="180"/>
      </w:pPr>
    </w:lvl>
  </w:abstractNum>
  <w:abstractNum w:abstractNumId="14" w15:restartNumberingAfterBreak="0">
    <w:nsid w:val="2F371F8E"/>
    <w:multiLevelType w:val="multilevel"/>
    <w:tmpl w:val="08090025"/>
    <w:lvl w:ilvl="0">
      <w:start w:val="1"/>
      <w:numFmt w:val="decimal"/>
      <w:pStyle w:val="Heading1"/>
      <w:lvlText w:val="%1"/>
      <w:lvlJc w:val="left"/>
      <w:pPr>
        <w:ind w:left="1567"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0057EB0"/>
    <w:multiLevelType w:val="hybridMultilevel"/>
    <w:tmpl w:val="E2F2FDB0"/>
    <w:lvl w:ilvl="0" w:tplc="09B235AE">
      <w:start w:val="1"/>
      <w:numFmt w:val="bullet"/>
      <w:lvlText w:val=""/>
      <w:lvlJc w:val="left"/>
      <w:pPr>
        <w:ind w:left="720" w:hanging="360"/>
      </w:pPr>
      <w:rPr>
        <w:rFonts w:ascii="Symbol" w:hAnsi="Symbol" w:hint="default"/>
      </w:rPr>
    </w:lvl>
    <w:lvl w:ilvl="1" w:tplc="A406262C">
      <w:start w:val="1"/>
      <w:numFmt w:val="bullet"/>
      <w:lvlText w:val="o"/>
      <w:lvlJc w:val="left"/>
      <w:pPr>
        <w:ind w:left="1440" w:hanging="360"/>
      </w:pPr>
      <w:rPr>
        <w:rFonts w:ascii="Courier New" w:hAnsi="Courier New" w:hint="default"/>
      </w:rPr>
    </w:lvl>
    <w:lvl w:ilvl="2" w:tplc="DC287906">
      <w:start w:val="1"/>
      <w:numFmt w:val="bullet"/>
      <w:lvlText w:val=""/>
      <w:lvlJc w:val="left"/>
      <w:pPr>
        <w:ind w:left="2160" w:hanging="360"/>
      </w:pPr>
      <w:rPr>
        <w:rFonts w:ascii="Wingdings" w:hAnsi="Wingdings" w:hint="default"/>
      </w:rPr>
    </w:lvl>
    <w:lvl w:ilvl="3" w:tplc="40380C06">
      <w:start w:val="1"/>
      <w:numFmt w:val="bullet"/>
      <w:lvlText w:val=""/>
      <w:lvlJc w:val="left"/>
      <w:pPr>
        <w:ind w:left="2880" w:hanging="360"/>
      </w:pPr>
      <w:rPr>
        <w:rFonts w:ascii="Symbol" w:hAnsi="Symbol" w:hint="default"/>
      </w:rPr>
    </w:lvl>
    <w:lvl w:ilvl="4" w:tplc="88FA70AA">
      <w:start w:val="1"/>
      <w:numFmt w:val="bullet"/>
      <w:lvlText w:val="o"/>
      <w:lvlJc w:val="left"/>
      <w:pPr>
        <w:ind w:left="3600" w:hanging="360"/>
      </w:pPr>
      <w:rPr>
        <w:rFonts w:ascii="Courier New" w:hAnsi="Courier New" w:hint="default"/>
      </w:rPr>
    </w:lvl>
    <w:lvl w:ilvl="5" w:tplc="C7323CA8">
      <w:start w:val="1"/>
      <w:numFmt w:val="bullet"/>
      <w:lvlText w:val=""/>
      <w:lvlJc w:val="left"/>
      <w:pPr>
        <w:ind w:left="4320" w:hanging="360"/>
      </w:pPr>
      <w:rPr>
        <w:rFonts w:ascii="Wingdings" w:hAnsi="Wingdings" w:hint="default"/>
      </w:rPr>
    </w:lvl>
    <w:lvl w:ilvl="6" w:tplc="54DCD9C0">
      <w:start w:val="1"/>
      <w:numFmt w:val="bullet"/>
      <w:lvlText w:val=""/>
      <w:lvlJc w:val="left"/>
      <w:pPr>
        <w:ind w:left="5040" w:hanging="360"/>
      </w:pPr>
      <w:rPr>
        <w:rFonts w:ascii="Symbol" w:hAnsi="Symbol" w:hint="default"/>
      </w:rPr>
    </w:lvl>
    <w:lvl w:ilvl="7" w:tplc="4E7E9256">
      <w:start w:val="1"/>
      <w:numFmt w:val="bullet"/>
      <w:lvlText w:val="o"/>
      <w:lvlJc w:val="left"/>
      <w:pPr>
        <w:ind w:left="5760" w:hanging="360"/>
      </w:pPr>
      <w:rPr>
        <w:rFonts w:ascii="Courier New" w:hAnsi="Courier New" w:hint="default"/>
      </w:rPr>
    </w:lvl>
    <w:lvl w:ilvl="8" w:tplc="637E57BA">
      <w:start w:val="1"/>
      <w:numFmt w:val="bullet"/>
      <w:lvlText w:val=""/>
      <w:lvlJc w:val="left"/>
      <w:pPr>
        <w:ind w:left="6480" w:hanging="360"/>
      </w:pPr>
      <w:rPr>
        <w:rFonts w:ascii="Wingdings" w:hAnsi="Wingdings" w:hint="default"/>
      </w:rPr>
    </w:lvl>
  </w:abstractNum>
  <w:abstractNum w:abstractNumId="16" w15:restartNumberingAfterBreak="0">
    <w:nsid w:val="32A34257"/>
    <w:multiLevelType w:val="hybridMultilevel"/>
    <w:tmpl w:val="A8123CA0"/>
    <w:lvl w:ilvl="0" w:tplc="FFC24F74">
      <w:numFmt w:val="bullet"/>
      <w:lvlText w:val=""/>
      <w:lvlJc w:val="left"/>
      <w:pPr>
        <w:ind w:left="720" w:hanging="360"/>
      </w:pPr>
      <w:rPr>
        <w:rFonts w:ascii="Symbol" w:eastAsiaTheme="minorHAns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01C6F"/>
    <w:multiLevelType w:val="hybridMultilevel"/>
    <w:tmpl w:val="F2D6C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B7E1F"/>
    <w:multiLevelType w:val="hybridMultilevel"/>
    <w:tmpl w:val="207A6018"/>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C4F2915"/>
    <w:multiLevelType w:val="hybridMultilevel"/>
    <w:tmpl w:val="868C3E40"/>
    <w:lvl w:ilvl="0" w:tplc="895625F6">
      <w:numFmt w:val="none"/>
      <w:lvlText w:val=""/>
      <w:lvlJc w:val="left"/>
      <w:pPr>
        <w:tabs>
          <w:tab w:val="num" w:pos="360"/>
        </w:tabs>
      </w:pPr>
    </w:lvl>
    <w:lvl w:ilvl="1" w:tplc="AAC24822">
      <w:start w:val="1"/>
      <w:numFmt w:val="lowerLetter"/>
      <w:lvlText w:val="%2."/>
      <w:lvlJc w:val="left"/>
      <w:pPr>
        <w:ind w:left="1440" w:hanging="360"/>
      </w:pPr>
    </w:lvl>
    <w:lvl w:ilvl="2" w:tplc="C32CE024">
      <w:start w:val="1"/>
      <w:numFmt w:val="lowerRoman"/>
      <w:lvlText w:val="%3."/>
      <w:lvlJc w:val="right"/>
      <w:pPr>
        <w:ind w:left="2160" w:hanging="180"/>
      </w:pPr>
    </w:lvl>
    <w:lvl w:ilvl="3" w:tplc="78A24DE2">
      <w:start w:val="1"/>
      <w:numFmt w:val="decimal"/>
      <w:lvlText w:val="%4."/>
      <w:lvlJc w:val="left"/>
      <w:pPr>
        <w:ind w:left="2880" w:hanging="360"/>
      </w:pPr>
    </w:lvl>
    <w:lvl w:ilvl="4" w:tplc="40F09CF0">
      <w:start w:val="1"/>
      <w:numFmt w:val="lowerLetter"/>
      <w:lvlText w:val="%5."/>
      <w:lvlJc w:val="left"/>
      <w:pPr>
        <w:ind w:left="3600" w:hanging="360"/>
      </w:pPr>
    </w:lvl>
    <w:lvl w:ilvl="5" w:tplc="2F961626">
      <w:start w:val="1"/>
      <w:numFmt w:val="lowerRoman"/>
      <w:lvlText w:val="%6."/>
      <w:lvlJc w:val="right"/>
      <w:pPr>
        <w:ind w:left="4320" w:hanging="180"/>
      </w:pPr>
    </w:lvl>
    <w:lvl w:ilvl="6" w:tplc="FBE06B8C">
      <w:start w:val="1"/>
      <w:numFmt w:val="decimal"/>
      <w:lvlText w:val="%7."/>
      <w:lvlJc w:val="left"/>
      <w:pPr>
        <w:ind w:left="5040" w:hanging="360"/>
      </w:pPr>
    </w:lvl>
    <w:lvl w:ilvl="7" w:tplc="64C40930">
      <w:start w:val="1"/>
      <w:numFmt w:val="lowerLetter"/>
      <w:lvlText w:val="%8."/>
      <w:lvlJc w:val="left"/>
      <w:pPr>
        <w:ind w:left="5760" w:hanging="360"/>
      </w:pPr>
    </w:lvl>
    <w:lvl w:ilvl="8" w:tplc="D05254A0">
      <w:start w:val="1"/>
      <w:numFmt w:val="lowerRoman"/>
      <w:lvlText w:val="%9."/>
      <w:lvlJc w:val="right"/>
      <w:pPr>
        <w:ind w:left="6480" w:hanging="180"/>
      </w:pPr>
    </w:lvl>
  </w:abstractNum>
  <w:abstractNum w:abstractNumId="20" w15:restartNumberingAfterBreak="0">
    <w:nsid w:val="6017233B"/>
    <w:multiLevelType w:val="hybridMultilevel"/>
    <w:tmpl w:val="78B4EFBA"/>
    <w:lvl w:ilvl="0" w:tplc="375411D8">
      <w:numFmt w:val="none"/>
      <w:lvlText w:val=""/>
      <w:lvlJc w:val="left"/>
      <w:pPr>
        <w:tabs>
          <w:tab w:val="num" w:pos="360"/>
        </w:tabs>
      </w:pPr>
    </w:lvl>
    <w:lvl w:ilvl="1" w:tplc="D494B4DC">
      <w:start w:val="1"/>
      <w:numFmt w:val="lowerLetter"/>
      <w:lvlText w:val="%2."/>
      <w:lvlJc w:val="left"/>
      <w:pPr>
        <w:ind w:left="1440" w:hanging="360"/>
      </w:pPr>
    </w:lvl>
    <w:lvl w:ilvl="2" w:tplc="1150785E">
      <w:start w:val="1"/>
      <w:numFmt w:val="lowerRoman"/>
      <w:lvlText w:val="%3."/>
      <w:lvlJc w:val="right"/>
      <w:pPr>
        <w:ind w:left="2160" w:hanging="180"/>
      </w:pPr>
    </w:lvl>
    <w:lvl w:ilvl="3" w:tplc="481AA224">
      <w:start w:val="1"/>
      <w:numFmt w:val="decimal"/>
      <w:lvlText w:val="%4."/>
      <w:lvlJc w:val="left"/>
      <w:pPr>
        <w:ind w:left="2880" w:hanging="360"/>
      </w:pPr>
    </w:lvl>
    <w:lvl w:ilvl="4" w:tplc="CE74BB34">
      <w:start w:val="1"/>
      <w:numFmt w:val="lowerLetter"/>
      <w:lvlText w:val="%5."/>
      <w:lvlJc w:val="left"/>
      <w:pPr>
        <w:ind w:left="3600" w:hanging="360"/>
      </w:pPr>
    </w:lvl>
    <w:lvl w:ilvl="5" w:tplc="5456EFDC">
      <w:start w:val="1"/>
      <w:numFmt w:val="lowerRoman"/>
      <w:lvlText w:val="%6."/>
      <w:lvlJc w:val="right"/>
      <w:pPr>
        <w:ind w:left="4320" w:hanging="180"/>
      </w:pPr>
    </w:lvl>
    <w:lvl w:ilvl="6" w:tplc="5CE8A64E">
      <w:start w:val="1"/>
      <w:numFmt w:val="decimal"/>
      <w:lvlText w:val="%7."/>
      <w:lvlJc w:val="left"/>
      <w:pPr>
        <w:ind w:left="5040" w:hanging="360"/>
      </w:pPr>
    </w:lvl>
    <w:lvl w:ilvl="7" w:tplc="B0A2A498">
      <w:start w:val="1"/>
      <w:numFmt w:val="lowerLetter"/>
      <w:lvlText w:val="%8."/>
      <w:lvlJc w:val="left"/>
      <w:pPr>
        <w:ind w:left="5760" w:hanging="360"/>
      </w:pPr>
    </w:lvl>
    <w:lvl w:ilvl="8" w:tplc="D1A66D0C">
      <w:start w:val="1"/>
      <w:numFmt w:val="lowerRoman"/>
      <w:lvlText w:val="%9."/>
      <w:lvlJc w:val="right"/>
      <w:pPr>
        <w:ind w:left="6480" w:hanging="180"/>
      </w:pPr>
    </w:lvl>
  </w:abstractNum>
  <w:abstractNum w:abstractNumId="21" w15:restartNumberingAfterBreak="0">
    <w:nsid w:val="69B761B9"/>
    <w:multiLevelType w:val="hybridMultilevel"/>
    <w:tmpl w:val="1D4AFB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B16F17"/>
    <w:multiLevelType w:val="hybridMultilevel"/>
    <w:tmpl w:val="483A7146"/>
    <w:lvl w:ilvl="0" w:tplc="4B42AA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6402FB"/>
    <w:multiLevelType w:val="hybridMultilevel"/>
    <w:tmpl w:val="B434CC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18193901">
    <w:abstractNumId w:val="19"/>
  </w:num>
  <w:num w:numId="2" w16cid:durableId="584388479">
    <w:abstractNumId w:val="15"/>
  </w:num>
  <w:num w:numId="3" w16cid:durableId="5864962">
    <w:abstractNumId w:val="1"/>
  </w:num>
  <w:num w:numId="4" w16cid:durableId="896666194">
    <w:abstractNumId w:val="5"/>
  </w:num>
  <w:num w:numId="5" w16cid:durableId="601960263">
    <w:abstractNumId w:val="0"/>
  </w:num>
  <w:num w:numId="6" w16cid:durableId="1385176162">
    <w:abstractNumId w:val="14"/>
  </w:num>
  <w:num w:numId="7" w16cid:durableId="1303386992">
    <w:abstractNumId w:val="23"/>
  </w:num>
  <w:num w:numId="8" w16cid:durableId="1061560204">
    <w:abstractNumId w:val="7"/>
  </w:num>
  <w:num w:numId="9" w16cid:durableId="730156913">
    <w:abstractNumId w:val="17"/>
  </w:num>
  <w:num w:numId="10" w16cid:durableId="900479761">
    <w:abstractNumId w:val="16"/>
  </w:num>
  <w:num w:numId="11" w16cid:durableId="997071776">
    <w:abstractNumId w:val="8"/>
  </w:num>
  <w:num w:numId="12" w16cid:durableId="1848599371">
    <w:abstractNumId w:val="22"/>
  </w:num>
  <w:num w:numId="13" w16cid:durableId="2077430264">
    <w:abstractNumId w:val="21"/>
  </w:num>
  <w:num w:numId="14" w16cid:durableId="871458574">
    <w:abstractNumId w:val="14"/>
  </w:num>
  <w:num w:numId="15" w16cid:durableId="1034770095">
    <w:abstractNumId w:val="4"/>
  </w:num>
  <w:num w:numId="16" w16cid:durableId="633558813">
    <w:abstractNumId w:val="6"/>
  </w:num>
  <w:num w:numId="17" w16cid:durableId="545917926">
    <w:abstractNumId w:val="3"/>
  </w:num>
  <w:num w:numId="18" w16cid:durableId="176235079">
    <w:abstractNumId w:val="14"/>
  </w:num>
  <w:num w:numId="19" w16cid:durableId="1284116941">
    <w:abstractNumId w:val="2"/>
  </w:num>
  <w:num w:numId="20" w16cid:durableId="1683437906">
    <w:abstractNumId w:val="12"/>
  </w:num>
  <w:num w:numId="21" w16cid:durableId="817722368">
    <w:abstractNumId w:val="20"/>
  </w:num>
  <w:num w:numId="22" w16cid:durableId="1874540022">
    <w:abstractNumId w:val="11"/>
  </w:num>
  <w:num w:numId="23" w16cid:durableId="1547983028">
    <w:abstractNumId w:val="13"/>
  </w:num>
  <w:num w:numId="24" w16cid:durableId="758524927">
    <w:abstractNumId w:val="18"/>
  </w:num>
  <w:num w:numId="25" w16cid:durableId="2131583708">
    <w:abstractNumId w:val="9"/>
  </w:num>
  <w:num w:numId="26" w16cid:durableId="1413964794">
    <w:abstractNumId w:val="10"/>
  </w:num>
  <w:num w:numId="27" w16cid:durableId="8950493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C2A"/>
    <w:rsid w:val="00010C6E"/>
    <w:rsid w:val="0001390C"/>
    <w:rsid w:val="000175EB"/>
    <w:rsid w:val="000218DA"/>
    <w:rsid w:val="00023B6D"/>
    <w:rsid w:val="00030A1F"/>
    <w:rsid w:val="00031537"/>
    <w:rsid w:val="00034276"/>
    <w:rsid w:val="0004026F"/>
    <w:rsid w:val="0005424D"/>
    <w:rsid w:val="00060C36"/>
    <w:rsid w:val="00062098"/>
    <w:rsid w:val="000625C7"/>
    <w:rsid w:val="00062B85"/>
    <w:rsid w:val="00063ED4"/>
    <w:rsid w:val="0006546B"/>
    <w:rsid w:val="00067ADC"/>
    <w:rsid w:val="00076AC6"/>
    <w:rsid w:val="00077955"/>
    <w:rsid w:val="00080982"/>
    <w:rsid w:val="000830BB"/>
    <w:rsid w:val="0008503C"/>
    <w:rsid w:val="00087752"/>
    <w:rsid w:val="00093B1B"/>
    <w:rsid w:val="000962D2"/>
    <w:rsid w:val="00097414"/>
    <w:rsid w:val="000A12B9"/>
    <w:rsid w:val="000A1518"/>
    <w:rsid w:val="000A779A"/>
    <w:rsid w:val="000B6FA0"/>
    <w:rsid w:val="000C1E39"/>
    <w:rsid w:val="000C2B54"/>
    <w:rsid w:val="000C2C03"/>
    <w:rsid w:val="000C40C3"/>
    <w:rsid w:val="000F31B8"/>
    <w:rsid w:val="001013C6"/>
    <w:rsid w:val="00103C16"/>
    <w:rsid w:val="00114B7A"/>
    <w:rsid w:val="00114C6C"/>
    <w:rsid w:val="0011621E"/>
    <w:rsid w:val="00120A81"/>
    <w:rsid w:val="00121634"/>
    <w:rsid w:val="00122BF5"/>
    <w:rsid w:val="00125F2E"/>
    <w:rsid w:val="001262EB"/>
    <w:rsid w:val="00136885"/>
    <w:rsid w:val="001368DB"/>
    <w:rsid w:val="00141972"/>
    <w:rsid w:val="001421DC"/>
    <w:rsid w:val="0014275E"/>
    <w:rsid w:val="00145A9E"/>
    <w:rsid w:val="00146230"/>
    <w:rsid w:val="00147245"/>
    <w:rsid w:val="001473A8"/>
    <w:rsid w:val="00152FF3"/>
    <w:rsid w:val="0016325D"/>
    <w:rsid w:val="00174CF8"/>
    <w:rsid w:val="001773A1"/>
    <w:rsid w:val="00177FA5"/>
    <w:rsid w:val="00182342"/>
    <w:rsid w:val="0018381B"/>
    <w:rsid w:val="001858A2"/>
    <w:rsid w:val="00187652"/>
    <w:rsid w:val="00190B99"/>
    <w:rsid w:val="00190CF8"/>
    <w:rsid w:val="00193A2E"/>
    <w:rsid w:val="00193C64"/>
    <w:rsid w:val="00197439"/>
    <w:rsid w:val="001A7A92"/>
    <w:rsid w:val="001B013C"/>
    <w:rsid w:val="001B5184"/>
    <w:rsid w:val="001B5A29"/>
    <w:rsid w:val="001B6D29"/>
    <w:rsid w:val="001B7B9E"/>
    <w:rsid w:val="001C4405"/>
    <w:rsid w:val="001C5162"/>
    <w:rsid w:val="001D03AC"/>
    <w:rsid w:val="001D2F79"/>
    <w:rsid w:val="001D5E33"/>
    <w:rsid w:val="001D7A9A"/>
    <w:rsid w:val="001D7B35"/>
    <w:rsid w:val="001E3536"/>
    <w:rsid w:val="001E7D71"/>
    <w:rsid w:val="001F103A"/>
    <w:rsid w:val="001F48E9"/>
    <w:rsid w:val="00200F5F"/>
    <w:rsid w:val="0020160C"/>
    <w:rsid w:val="002016DD"/>
    <w:rsid w:val="00201F0C"/>
    <w:rsid w:val="00206E7A"/>
    <w:rsid w:val="002113A1"/>
    <w:rsid w:val="00211AF9"/>
    <w:rsid w:val="002139EB"/>
    <w:rsid w:val="00213BFB"/>
    <w:rsid w:val="00215510"/>
    <w:rsid w:val="00217E53"/>
    <w:rsid w:val="00220666"/>
    <w:rsid w:val="00224162"/>
    <w:rsid w:val="00225243"/>
    <w:rsid w:val="002267AC"/>
    <w:rsid w:val="00227A3C"/>
    <w:rsid w:val="00232818"/>
    <w:rsid w:val="0023431F"/>
    <w:rsid w:val="00240C17"/>
    <w:rsid w:val="002466F2"/>
    <w:rsid w:val="00246D7A"/>
    <w:rsid w:val="002472E3"/>
    <w:rsid w:val="00252CB2"/>
    <w:rsid w:val="00253E91"/>
    <w:rsid w:val="0026687B"/>
    <w:rsid w:val="00267221"/>
    <w:rsid w:val="0027157F"/>
    <w:rsid w:val="0027488F"/>
    <w:rsid w:val="00275591"/>
    <w:rsid w:val="00275DF3"/>
    <w:rsid w:val="002909B2"/>
    <w:rsid w:val="00293A4C"/>
    <w:rsid w:val="0029510B"/>
    <w:rsid w:val="00295A23"/>
    <w:rsid w:val="0029995D"/>
    <w:rsid w:val="002A270F"/>
    <w:rsid w:val="002A62D1"/>
    <w:rsid w:val="002B18FE"/>
    <w:rsid w:val="002B199A"/>
    <w:rsid w:val="002B2991"/>
    <w:rsid w:val="002B50DB"/>
    <w:rsid w:val="002BAE7D"/>
    <w:rsid w:val="002C0532"/>
    <w:rsid w:val="002C1744"/>
    <w:rsid w:val="002C48B8"/>
    <w:rsid w:val="002C7A56"/>
    <w:rsid w:val="002D63FC"/>
    <w:rsid w:val="002E4E17"/>
    <w:rsid w:val="002E644C"/>
    <w:rsid w:val="002E76F9"/>
    <w:rsid w:val="002F14A8"/>
    <w:rsid w:val="002F4109"/>
    <w:rsid w:val="002F4384"/>
    <w:rsid w:val="002F499A"/>
    <w:rsid w:val="002F4CF2"/>
    <w:rsid w:val="002F4E4F"/>
    <w:rsid w:val="002F53CD"/>
    <w:rsid w:val="00300BC4"/>
    <w:rsid w:val="003067FF"/>
    <w:rsid w:val="00307843"/>
    <w:rsid w:val="00307BFD"/>
    <w:rsid w:val="0031223A"/>
    <w:rsid w:val="00321C61"/>
    <w:rsid w:val="00324A85"/>
    <w:rsid w:val="00330830"/>
    <w:rsid w:val="003358AD"/>
    <w:rsid w:val="00342C64"/>
    <w:rsid w:val="00342C6E"/>
    <w:rsid w:val="003435E4"/>
    <w:rsid w:val="0034391A"/>
    <w:rsid w:val="003447E5"/>
    <w:rsid w:val="00345C7A"/>
    <w:rsid w:val="0034707E"/>
    <w:rsid w:val="00347AED"/>
    <w:rsid w:val="00350306"/>
    <w:rsid w:val="00351B02"/>
    <w:rsid w:val="00351C21"/>
    <w:rsid w:val="00351E64"/>
    <w:rsid w:val="00352D58"/>
    <w:rsid w:val="00365524"/>
    <w:rsid w:val="00372360"/>
    <w:rsid w:val="003730A0"/>
    <w:rsid w:val="00373270"/>
    <w:rsid w:val="003745DE"/>
    <w:rsid w:val="00374C19"/>
    <w:rsid w:val="00377B85"/>
    <w:rsid w:val="00380C68"/>
    <w:rsid w:val="003961F6"/>
    <w:rsid w:val="003A1D58"/>
    <w:rsid w:val="003A5424"/>
    <w:rsid w:val="003A544E"/>
    <w:rsid w:val="003B5975"/>
    <w:rsid w:val="003B75D7"/>
    <w:rsid w:val="003C6F18"/>
    <w:rsid w:val="003D0505"/>
    <w:rsid w:val="003D25BA"/>
    <w:rsid w:val="003D40BB"/>
    <w:rsid w:val="003D7567"/>
    <w:rsid w:val="003D7B46"/>
    <w:rsid w:val="003F4AF9"/>
    <w:rsid w:val="0040073B"/>
    <w:rsid w:val="00400F22"/>
    <w:rsid w:val="00401F75"/>
    <w:rsid w:val="0040713E"/>
    <w:rsid w:val="00407AB9"/>
    <w:rsid w:val="00411B22"/>
    <w:rsid w:val="004120DC"/>
    <w:rsid w:val="004122EC"/>
    <w:rsid w:val="004130FB"/>
    <w:rsid w:val="004136C8"/>
    <w:rsid w:val="00422783"/>
    <w:rsid w:val="00424A4B"/>
    <w:rsid w:val="00425595"/>
    <w:rsid w:val="00426545"/>
    <w:rsid w:val="00433443"/>
    <w:rsid w:val="004439F7"/>
    <w:rsid w:val="00443CFC"/>
    <w:rsid w:val="00443FEE"/>
    <w:rsid w:val="00445081"/>
    <w:rsid w:val="00445303"/>
    <w:rsid w:val="00456E43"/>
    <w:rsid w:val="00457AE5"/>
    <w:rsid w:val="004612E4"/>
    <w:rsid w:val="00461B41"/>
    <w:rsid w:val="00462AE2"/>
    <w:rsid w:val="00470256"/>
    <w:rsid w:val="004743E3"/>
    <w:rsid w:val="00482702"/>
    <w:rsid w:val="00484405"/>
    <w:rsid w:val="00484E08"/>
    <w:rsid w:val="00486416"/>
    <w:rsid w:val="00490862"/>
    <w:rsid w:val="00493C53"/>
    <w:rsid w:val="0049416F"/>
    <w:rsid w:val="00495ED7"/>
    <w:rsid w:val="004963C9"/>
    <w:rsid w:val="004A1916"/>
    <w:rsid w:val="004B0A7C"/>
    <w:rsid w:val="004B0F95"/>
    <w:rsid w:val="004B1037"/>
    <w:rsid w:val="004B1572"/>
    <w:rsid w:val="004B71C4"/>
    <w:rsid w:val="004C0D40"/>
    <w:rsid w:val="004C3489"/>
    <w:rsid w:val="004C407A"/>
    <w:rsid w:val="004C49C1"/>
    <w:rsid w:val="004C6C2A"/>
    <w:rsid w:val="004D2538"/>
    <w:rsid w:val="004D3E29"/>
    <w:rsid w:val="004D4D3A"/>
    <w:rsid w:val="004D6A1F"/>
    <w:rsid w:val="004E331F"/>
    <w:rsid w:val="004E40EF"/>
    <w:rsid w:val="004E6E48"/>
    <w:rsid w:val="004F2601"/>
    <w:rsid w:val="004F2A17"/>
    <w:rsid w:val="004F6DEB"/>
    <w:rsid w:val="00501196"/>
    <w:rsid w:val="00501FB3"/>
    <w:rsid w:val="0050228C"/>
    <w:rsid w:val="005139E6"/>
    <w:rsid w:val="0051587B"/>
    <w:rsid w:val="00517BCF"/>
    <w:rsid w:val="00520092"/>
    <w:rsid w:val="00523BB2"/>
    <w:rsid w:val="00525018"/>
    <w:rsid w:val="00531C6B"/>
    <w:rsid w:val="00536383"/>
    <w:rsid w:val="00541E5C"/>
    <w:rsid w:val="00543EAB"/>
    <w:rsid w:val="00544639"/>
    <w:rsid w:val="00547C6B"/>
    <w:rsid w:val="005505FA"/>
    <w:rsid w:val="005511D8"/>
    <w:rsid w:val="00551598"/>
    <w:rsid w:val="0055462C"/>
    <w:rsid w:val="005569C1"/>
    <w:rsid w:val="005578F7"/>
    <w:rsid w:val="00561587"/>
    <w:rsid w:val="0056348E"/>
    <w:rsid w:val="00566256"/>
    <w:rsid w:val="00570101"/>
    <w:rsid w:val="00570EC2"/>
    <w:rsid w:val="00571D49"/>
    <w:rsid w:val="0057451E"/>
    <w:rsid w:val="00577316"/>
    <w:rsid w:val="0057783A"/>
    <w:rsid w:val="00593C79"/>
    <w:rsid w:val="005A0E26"/>
    <w:rsid w:val="005A1161"/>
    <w:rsid w:val="005A2B8B"/>
    <w:rsid w:val="005A3B1D"/>
    <w:rsid w:val="005B54C7"/>
    <w:rsid w:val="005B69BE"/>
    <w:rsid w:val="005C2840"/>
    <w:rsid w:val="005C502A"/>
    <w:rsid w:val="005C66CA"/>
    <w:rsid w:val="005C751F"/>
    <w:rsid w:val="005D0D71"/>
    <w:rsid w:val="005D1722"/>
    <w:rsid w:val="005D5450"/>
    <w:rsid w:val="005E3928"/>
    <w:rsid w:val="005E5031"/>
    <w:rsid w:val="005F4AAC"/>
    <w:rsid w:val="005F54AD"/>
    <w:rsid w:val="00600C38"/>
    <w:rsid w:val="00602F08"/>
    <w:rsid w:val="00605BF5"/>
    <w:rsid w:val="0061095B"/>
    <w:rsid w:val="00610CE0"/>
    <w:rsid w:val="00610E86"/>
    <w:rsid w:val="00611065"/>
    <w:rsid w:val="0061126D"/>
    <w:rsid w:val="00613ADB"/>
    <w:rsid w:val="00616791"/>
    <w:rsid w:val="006176DD"/>
    <w:rsid w:val="00631093"/>
    <w:rsid w:val="00632A64"/>
    <w:rsid w:val="006359D6"/>
    <w:rsid w:val="006464DD"/>
    <w:rsid w:val="006531F9"/>
    <w:rsid w:val="006542DC"/>
    <w:rsid w:val="0065652E"/>
    <w:rsid w:val="0065749E"/>
    <w:rsid w:val="00662DFA"/>
    <w:rsid w:val="00671094"/>
    <w:rsid w:val="00674A4E"/>
    <w:rsid w:val="006774B2"/>
    <w:rsid w:val="00677BF8"/>
    <w:rsid w:val="00683F72"/>
    <w:rsid w:val="00684129"/>
    <w:rsid w:val="00684B15"/>
    <w:rsid w:val="006866E8"/>
    <w:rsid w:val="00687A02"/>
    <w:rsid w:val="00694A73"/>
    <w:rsid w:val="006A0CA4"/>
    <w:rsid w:val="006A0CFF"/>
    <w:rsid w:val="006A1C71"/>
    <w:rsid w:val="006A7695"/>
    <w:rsid w:val="006B0433"/>
    <w:rsid w:val="006B0A95"/>
    <w:rsid w:val="006B0C43"/>
    <w:rsid w:val="006B202E"/>
    <w:rsid w:val="006B5152"/>
    <w:rsid w:val="006B5EBF"/>
    <w:rsid w:val="006B736F"/>
    <w:rsid w:val="006C1636"/>
    <w:rsid w:val="006C287E"/>
    <w:rsid w:val="006D4E33"/>
    <w:rsid w:val="006D6BD7"/>
    <w:rsid w:val="006D716D"/>
    <w:rsid w:val="006D7864"/>
    <w:rsid w:val="006D7FCD"/>
    <w:rsid w:val="006E040E"/>
    <w:rsid w:val="006E072F"/>
    <w:rsid w:val="006E092D"/>
    <w:rsid w:val="006E29C7"/>
    <w:rsid w:val="006E6545"/>
    <w:rsid w:val="006F3761"/>
    <w:rsid w:val="006F404E"/>
    <w:rsid w:val="006F6D08"/>
    <w:rsid w:val="00700524"/>
    <w:rsid w:val="007034DB"/>
    <w:rsid w:val="00703B75"/>
    <w:rsid w:val="007054C0"/>
    <w:rsid w:val="007101BE"/>
    <w:rsid w:val="00711B1C"/>
    <w:rsid w:val="007135A4"/>
    <w:rsid w:val="00714D51"/>
    <w:rsid w:val="00727265"/>
    <w:rsid w:val="007305DF"/>
    <w:rsid w:val="00736712"/>
    <w:rsid w:val="00740E9E"/>
    <w:rsid w:val="00745AC0"/>
    <w:rsid w:val="00746C2F"/>
    <w:rsid w:val="00746FEB"/>
    <w:rsid w:val="00747950"/>
    <w:rsid w:val="007520E9"/>
    <w:rsid w:val="007604FC"/>
    <w:rsid w:val="007674D9"/>
    <w:rsid w:val="007678B4"/>
    <w:rsid w:val="0077146C"/>
    <w:rsid w:val="00772900"/>
    <w:rsid w:val="0079042B"/>
    <w:rsid w:val="00790B11"/>
    <w:rsid w:val="007917E7"/>
    <w:rsid w:val="0079651F"/>
    <w:rsid w:val="00796685"/>
    <w:rsid w:val="007B01A9"/>
    <w:rsid w:val="007B7B67"/>
    <w:rsid w:val="007C0CAC"/>
    <w:rsid w:val="007C12B8"/>
    <w:rsid w:val="007C20E1"/>
    <w:rsid w:val="007C3078"/>
    <w:rsid w:val="007C4D90"/>
    <w:rsid w:val="007D2144"/>
    <w:rsid w:val="007D22B0"/>
    <w:rsid w:val="007D4262"/>
    <w:rsid w:val="007D6061"/>
    <w:rsid w:val="007E0486"/>
    <w:rsid w:val="007E3A60"/>
    <w:rsid w:val="007E6B65"/>
    <w:rsid w:val="007E73B6"/>
    <w:rsid w:val="007F2BA7"/>
    <w:rsid w:val="007F55A6"/>
    <w:rsid w:val="008034C5"/>
    <w:rsid w:val="00811AD8"/>
    <w:rsid w:val="00815646"/>
    <w:rsid w:val="00822808"/>
    <w:rsid w:val="00823D03"/>
    <w:rsid w:val="0082602F"/>
    <w:rsid w:val="00827DD4"/>
    <w:rsid w:val="00834CE8"/>
    <w:rsid w:val="00837D5B"/>
    <w:rsid w:val="00842D8A"/>
    <w:rsid w:val="00843208"/>
    <w:rsid w:val="008466AF"/>
    <w:rsid w:val="00851567"/>
    <w:rsid w:val="00853056"/>
    <w:rsid w:val="00853EAB"/>
    <w:rsid w:val="00863480"/>
    <w:rsid w:val="008641D0"/>
    <w:rsid w:val="008672FE"/>
    <w:rsid w:val="00876859"/>
    <w:rsid w:val="00880003"/>
    <w:rsid w:val="0088276F"/>
    <w:rsid w:val="00885317"/>
    <w:rsid w:val="008907BA"/>
    <w:rsid w:val="0089313E"/>
    <w:rsid w:val="0089697D"/>
    <w:rsid w:val="00896CDB"/>
    <w:rsid w:val="008A3750"/>
    <w:rsid w:val="008A516A"/>
    <w:rsid w:val="008A5410"/>
    <w:rsid w:val="008A5594"/>
    <w:rsid w:val="008A6265"/>
    <w:rsid w:val="008A6DAB"/>
    <w:rsid w:val="008B2DA3"/>
    <w:rsid w:val="008B62B4"/>
    <w:rsid w:val="008B6354"/>
    <w:rsid w:val="008C10A7"/>
    <w:rsid w:val="008C2607"/>
    <w:rsid w:val="008D2255"/>
    <w:rsid w:val="008D6246"/>
    <w:rsid w:val="008D6B98"/>
    <w:rsid w:val="008E0258"/>
    <w:rsid w:val="008E4C5F"/>
    <w:rsid w:val="008E7C78"/>
    <w:rsid w:val="008F2E4B"/>
    <w:rsid w:val="008F69AC"/>
    <w:rsid w:val="008F7D10"/>
    <w:rsid w:val="0090029E"/>
    <w:rsid w:val="009060F8"/>
    <w:rsid w:val="00907412"/>
    <w:rsid w:val="00911256"/>
    <w:rsid w:val="00914717"/>
    <w:rsid w:val="00916B42"/>
    <w:rsid w:val="00917826"/>
    <w:rsid w:val="00921EE4"/>
    <w:rsid w:val="00922B51"/>
    <w:rsid w:val="00923B88"/>
    <w:rsid w:val="009247C3"/>
    <w:rsid w:val="00925C9C"/>
    <w:rsid w:val="009264D3"/>
    <w:rsid w:val="00932659"/>
    <w:rsid w:val="00932A14"/>
    <w:rsid w:val="00937E9F"/>
    <w:rsid w:val="0094329B"/>
    <w:rsid w:val="009433E6"/>
    <w:rsid w:val="00943902"/>
    <w:rsid w:val="00950705"/>
    <w:rsid w:val="009534CA"/>
    <w:rsid w:val="0095749A"/>
    <w:rsid w:val="00957F76"/>
    <w:rsid w:val="00962583"/>
    <w:rsid w:val="009661B8"/>
    <w:rsid w:val="00966934"/>
    <w:rsid w:val="00970905"/>
    <w:rsid w:val="00972507"/>
    <w:rsid w:val="00980F6F"/>
    <w:rsid w:val="00982369"/>
    <w:rsid w:val="00983683"/>
    <w:rsid w:val="00983FDD"/>
    <w:rsid w:val="00987518"/>
    <w:rsid w:val="0099305C"/>
    <w:rsid w:val="009949D6"/>
    <w:rsid w:val="00995278"/>
    <w:rsid w:val="009960CC"/>
    <w:rsid w:val="009A344C"/>
    <w:rsid w:val="009A4F75"/>
    <w:rsid w:val="009A62FE"/>
    <w:rsid w:val="009B2FC9"/>
    <w:rsid w:val="009B52AF"/>
    <w:rsid w:val="009B54DC"/>
    <w:rsid w:val="009B569F"/>
    <w:rsid w:val="009C0B10"/>
    <w:rsid w:val="009C7AD8"/>
    <w:rsid w:val="009D0792"/>
    <w:rsid w:val="009E56F2"/>
    <w:rsid w:val="009E6513"/>
    <w:rsid w:val="009E6668"/>
    <w:rsid w:val="009F0D34"/>
    <w:rsid w:val="009F1423"/>
    <w:rsid w:val="009F20BC"/>
    <w:rsid w:val="009F6361"/>
    <w:rsid w:val="009F6D0C"/>
    <w:rsid w:val="009F7E6E"/>
    <w:rsid w:val="00A00720"/>
    <w:rsid w:val="00A02A62"/>
    <w:rsid w:val="00A04B40"/>
    <w:rsid w:val="00A23F3C"/>
    <w:rsid w:val="00A24CCE"/>
    <w:rsid w:val="00A2666F"/>
    <w:rsid w:val="00A27B67"/>
    <w:rsid w:val="00A31CCD"/>
    <w:rsid w:val="00A326CC"/>
    <w:rsid w:val="00A40D82"/>
    <w:rsid w:val="00A40D84"/>
    <w:rsid w:val="00A40EB9"/>
    <w:rsid w:val="00A41A57"/>
    <w:rsid w:val="00A41CAE"/>
    <w:rsid w:val="00A4648D"/>
    <w:rsid w:val="00A6021D"/>
    <w:rsid w:val="00A62FBA"/>
    <w:rsid w:val="00A64EA4"/>
    <w:rsid w:val="00A66C45"/>
    <w:rsid w:val="00A71EC1"/>
    <w:rsid w:val="00A74621"/>
    <w:rsid w:val="00A75EEC"/>
    <w:rsid w:val="00A7676F"/>
    <w:rsid w:val="00A838BC"/>
    <w:rsid w:val="00A83954"/>
    <w:rsid w:val="00A86517"/>
    <w:rsid w:val="00A917D5"/>
    <w:rsid w:val="00A92632"/>
    <w:rsid w:val="00A92827"/>
    <w:rsid w:val="00A9413A"/>
    <w:rsid w:val="00A94430"/>
    <w:rsid w:val="00AA11DA"/>
    <w:rsid w:val="00AA4659"/>
    <w:rsid w:val="00AA57A4"/>
    <w:rsid w:val="00AA6149"/>
    <w:rsid w:val="00AB216D"/>
    <w:rsid w:val="00AB2780"/>
    <w:rsid w:val="00AB3478"/>
    <w:rsid w:val="00AB3750"/>
    <w:rsid w:val="00AB5EF9"/>
    <w:rsid w:val="00AC398B"/>
    <w:rsid w:val="00AD49A4"/>
    <w:rsid w:val="00AD7B16"/>
    <w:rsid w:val="00AE6588"/>
    <w:rsid w:val="00AE7206"/>
    <w:rsid w:val="00AF1114"/>
    <w:rsid w:val="00AF3D2C"/>
    <w:rsid w:val="00AF40E1"/>
    <w:rsid w:val="00AF49A6"/>
    <w:rsid w:val="00B04482"/>
    <w:rsid w:val="00B16A34"/>
    <w:rsid w:val="00B2052E"/>
    <w:rsid w:val="00B21154"/>
    <w:rsid w:val="00B221E1"/>
    <w:rsid w:val="00B227A4"/>
    <w:rsid w:val="00B23814"/>
    <w:rsid w:val="00B23EB1"/>
    <w:rsid w:val="00B27A47"/>
    <w:rsid w:val="00B40B4C"/>
    <w:rsid w:val="00B41E0C"/>
    <w:rsid w:val="00B4452A"/>
    <w:rsid w:val="00B47729"/>
    <w:rsid w:val="00B50570"/>
    <w:rsid w:val="00B50A51"/>
    <w:rsid w:val="00B609DF"/>
    <w:rsid w:val="00B61219"/>
    <w:rsid w:val="00B652E0"/>
    <w:rsid w:val="00B74261"/>
    <w:rsid w:val="00B74468"/>
    <w:rsid w:val="00B74F81"/>
    <w:rsid w:val="00B773B9"/>
    <w:rsid w:val="00B77681"/>
    <w:rsid w:val="00B77A29"/>
    <w:rsid w:val="00B8402B"/>
    <w:rsid w:val="00B90519"/>
    <w:rsid w:val="00B90959"/>
    <w:rsid w:val="00BA57F8"/>
    <w:rsid w:val="00BA7B58"/>
    <w:rsid w:val="00BB21D4"/>
    <w:rsid w:val="00BB3C46"/>
    <w:rsid w:val="00BC24B9"/>
    <w:rsid w:val="00BC2CED"/>
    <w:rsid w:val="00BC6392"/>
    <w:rsid w:val="00BC670B"/>
    <w:rsid w:val="00BD4EBD"/>
    <w:rsid w:val="00BD5818"/>
    <w:rsid w:val="00BD5EDC"/>
    <w:rsid w:val="00BE54D1"/>
    <w:rsid w:val="00BE6E2E"/>
    <w:rsid w:val="00BF05E4"/>
    <w:rsid w:val="00BF4D74"/>
    <w:rsid w:val="00BF5043"/>
    <w:rsid w:val="00BF68BF"/>
    <w:rsid w:val="00C043B6"/>
    <w:rsid w:val="00C07E82"/>
    <w:rsid w:val="00C15857"/>
    <w:rsid w:val="00C165DE"/>
    <w:rsid w:val="00C21682"/>
    <w:rsid w:val="00C25AAA"/>
    <w:rsid w:val="00C26A09"/>
    <w:rsid w:val="00C30928"/>
    <w:rsid w:val="00C31929"/>
    <w:rsid w:val="00C42C1F"/>
    <w:rsid w:val="00C42F9C"/>
    <w:rsid w:val="00C45FCA"/>
    <w:rsid w:val="00C463B7"/>
    <w:rsid w:val="00C56536"/>
    <w:rsid w:val="00C56D8B"/>
    <w:rsid w:val="00C71113"/>
    <w:rsid w:val="00C72EB6"/>
    <w:rsid w:val="00C736AF"/>
    <w:rsid w:val="00C74BB0"/>
    <w:rsid w:val="00C83D19"/>
    <w:rsid w:val="00C91110"/>
    <w:rsid w:val="00CA10DF"/>
    <w:rsid w:val="00CA20B4"/>
    <w:rsid w:val="00CA29DF"/>
    <w:rsid w:val="00CA3173"/>
    <w:rsid w:val="00CA5013"/>
    <w:rsid w:val="00CA7AB7"/>
    <w:rsid w:val="00CB1150"/>
    <w:rsid w:val="00CB38A5"/>
    <w:rsid w:val="00CB4CCE"/>
    <w:rsid w:val="00CB6E03"/>
    <w:rsid w:val="00CC0612"/>
    <w:rsid w:val="00CC0703"/>
    <w:rsid w:val="00CC0817"/>
    <w:rsid w:val="00CC233B"/>
    <w:rsid w:val="00CC2E27"/>
    <w:rsid w:val="00CC6E29"/>
    <w:rsid w:val="00CD0D5F"/>
    <w:rsid w:val="00CD17F8"/>
    <w:rsid w:val="00CD4947"/>
    <w:rsid w:val="00CD587C"/>
    <w:rsid w:val="00CD593F"/>
    <w:rsid w:val="00CD5C5D"/>
    <w:rsid w:val="00CE72E6"/>
    <w:rsid w:val="00CE737C"/>
    <w:rsid w:val="00CF6641"/>
    <w:rsid w:val="00D036B9"/>
    <w:rsid w:val="00D0515E"/>
    <w:rsid w:val="00D1016A"/>
    <w:rsid w:val="00D107B0"/>
    <w:rsid w:val="00D10FF3"/>
    <w:rsid w:val="00D16B60"/>
    <w:rsid w:val="00D2180E"/>
    <w:rsid w:val="00D21C61"/>
    <w:rsid w:val="00D25FA0"/>
    <w:rsid w:val="00D27E5F"/>
    <w:rsid w:val="00D404BF"/>
    <w:rsid w:val="00D466ED"/>
    <w:rsid w:val="00D557A9"/>
    <w:rsid w:val="00D57D80"/>
    <w:rsid w:val="00D60AB7"/>
    <w:rsid w:val="00D64CB6"/>
    <w:rsid w:val="00D66194"/>
    <w:rsid w:val="00D70133"/>
    <w:rsid w:val="00D7319B"/>
    <w:rsid w:val="00D746F0"/>
    <w:rsid w:val="00D82947"/>
    <w:rsid w:val="00D83139"/>
    <w:rsid w:val="00D836F6"/>
    <w:rsid w:val="00D85A7C"/>
    <w:rsid w:val="00D886A3"/>
    <w:rsid w:val="00D9020F"/>
    <w:rsid w:val="00D90B19"/>
    <w:rsid w:val="00D91271"/>
    <w:rsid w:val="00D91BE8"/>
    <w:rsid w:val="00D96801"/>
    <w:rsid w:val="00DA00CE"/>
    <w:rsid w:val="00DA52A8"/>
    <w:rsid w:val="00DA6FDA"/>
    <w:rsid w:val="00DA7A88"/>
    <w:rsid w:val="00DB391E"/>
    <w:rsid w:val="00DB3A07"/>
    <w:rsid w:val="00DB3C0D"/>
    <w:rsid w:val="00DB4C2B"/>
    <w:rsid w:val="00DB75ED"/>
    <w:rsid w:val="00DB7BAC"/>
    <w:rsid w:val="00DC613A"/>
    <w:rsid w:val="00DD2D89"/>
    <w:rsid w:val="00DD55DB"/>
    <w:rsid w:val="00DE6C46"/>
    <w:rsid w:val="00DF2301"/>
    <w:rsid w:val="00DF3CDB"/>
    <w:rsid w:val="00E03972"/>
    <w:rsid w:val="00E03988"/>
    <w:rsid w:val="00E05AE7"/>
    <w:rsid w:val="00E10A1F"/>
    <w:rsid w:val="00E134AC"/>
    <w:rsid w:val="00E13797"/>
    <w:rsid w:val="00E1635C"/>
    <w:rsid w:val="00E167E6"/>
    <w:rsid w:val="00E1694A"/>
    <w:rsid w:val="00E176F8"/>
    <w:rsid w:val="00E17C44"/>
    <w:rsid w:val="00E2480A"/>
    <w:rsid w:val="00E262A1"/>
    <w:rsid w:val="00E266A6"/>
    <w:rsid w:val="00E31DAF"/>
    <w:rsid w:val="00E3217D"/>
    <w:rsid w:val="00E375E5"/>
    <w:rsid w:val="00E46F2B"/>
    <w:rsid w:val="00E478A0"/>
    <w:rsid w:val="00E625AA"/>
    <w:rsid w:val="00E63C22"/>
    <w:rsid w:val="00E72664"/>
    <w:rsid w:val="00E74295"/>
    <w:rsid w:val="00E74F4E"/>
    <w:rsid w:val="00E75C2E"/>
    <w:rsid w:val="00E85299"/>
    <w:rsid w:val="00E862CC"/>
    <w:rsid w:val="00E8743F"/>
    <w:rsid w:val="00E876A1"/>
    <w:rsid w:val="00E87D17"/>
    <w:rsid w:val="00E97E40"/>
    <w:rsid w:val="00EA0A3B"/>
    <w:rsid w:val="00EB1265"/>
    <w:rsid w:val="00EB1ECA"/>
    <w:rsid w:val="00EB2D4B"/>
    <w:rsid w:val="00ED0E4B"/>
    <w:rsid w:val="00ED27DC"/>
    <w:rsid w:val="00ED43F5"/>
    <w:rsid w:val="00ED4A1D"/>
    <w:rsid w:val="00ED52F5"/>
    <w:rsid w:val="00ED7282"/>
    <w:rsid w:val="00ED792B"/>
    <w:rsid w:val="00EE000B"/>
    <w:rsid w:val="00EE15AF"/>
    <w:rsid w:val="00EE190A"/>
    <w:rsid w:val="00EE2A91"/>
    <w:rsid w:val="00EF6536"/>
    <w:rsid w:val="00F05BA2"/>
    <w:rsid w:val="00F1158D"/>
    <w:rsid w:val="00F1667C"/>
    <w:rsid w:val="00F172CF"/>
    <w:rsid w:val="00F24332"/>
    <w:rsid w:val="00F27458"/>
    <w:rsid w:val="00F30C3C"/>
    <w:rsid w:val="00F332A5"/>
    <w:rsid w:val="00F43061"/>
    <w:rsid w:val="00F51013"/>
    <w:rsid w:val="00F51926"/>
    <w:rsid w:val="00F53565"/>
    <w:rsid w:val="00F57924"/>
    <w:rsid w:val="00F61C3D"/>
    <w:rsid w:val="00F649D6"/>
    <w:rsid w:val="00F66F29"/>
    <w:rsid w:val="00F766AF"/>
    <w:rsid w:val="00F771ED"/>
    <w:rsid w:val="00F809FA"/>
    <w:rsid w:val="00F838D3"/>
    <w:rsid w:val="00F874D4"/>
    <w:rsid w:val="00F922B4"/>
    <w:rsid w:val="00F93A28"/>
    <w:rsid w:val="00F95538"/>
    <w:rsid w:val="00F96C36"/>
    <w:rsid w:val="00F972C7"/>
    <w:rsid w:val="00FA33EF"/>
    <w:rsid w:val="00FA7CF0"/>
    <w:rsid w:val="00FB5097"/>
    <w:rsid w:val="00FB6938"/>
    <w:rsid w:val="00FB7CC9"/>
    <w:rsid w:val="00FC4921"/>
    <w:rsid w:val="00FC776E"/>
    <w:rsid w:val="00FD0A82"/>
    <w:rsid w:val="00FD159D"/>
    <w:rsid w:val="00FE6588"/>
    <w:rsid w:val="00FF0D91"/>
    <w:rsid w:val="00FF1BA8"/>
    <w:rsid w:val="00FF2A1E"/>
    <w:rsid w:val="00FF7632"/>
    <w:rsid w:val="0123A4B0"/>
    <w:rsid w:val="01655BE8"/>
    <w:rsid w:val="01723A4E"/>
    <w:rsid w:val="01E5AAF4"/>
    <w:rsid w:val="01F9CBD9"/>
    <w:rsid w:val="021FEFDC"/>
    <w:rsid w:val="022052A1"/>
    <w:rsid w:val="0236347A"/>
    <w:rsid w:val="02791801"/>
    <w:rsid w:val="03007A89"/>
    <w:rsid w:val="031D44E6"/>
    <w:rsid w:val="0359B8F2"/>
    <w:rsid w:val="038BB3FD"/>
    <w:rsid w:val="038C7F06"/>
    <w:rsid w:val="03AAD4D5"/>
    <w:rsid w:val="04248FA2"/>
    <w:rsid w:val="04635686"/>
    <w:rsid w:val="0464B0D1"/>
    <w:rsid w:val="04665935"/>
    <w:rsid w:val="048637F7"/>
    <w:rsid w:val="04AECCF7"/>
    <w:rsid w:val="04D2483C"/>
    <w:rsid w:val="051DA4D2"/>
    <w:rsid w:val="063F88A4"/>
    <w:rsid w:val="069598F4"/>
    <w:rsid w:val="06A69397"/>
    <w:rsid w:val="06AD0514"/>
    <w:rsid w:val="06BD6B0A"/>
    <w:rsid w:val="0709B70C"/>
    <w:rsid w:val="07703955"/>
    <w:rsid w:val="07AD8B1C"/>
    <w:rsid w:val="07F4C647"/>
    <w:rsid w:val="0851E293"/>
    <w:rsid w:val="08749414"/>
    <w:rsid w:val="08866D93"/>
    <w:rsid w:val="0894B775"/>
    <w:rsid w:val="08C2EBB4"/>
    <w:rsid w:val="09E37286"/>
    <w:rsid w:val="0A1EBAE2"/>
    <w:rsid w:val="0A322B60"/>
    <w:rsid w:val="0A500813"/>
    <w:rsid w:val="0A6AFC4C"/>
    <w:rsid w:val="0A86F0CD"/>
    <w:rsid w:val="0A9E0B2E"/>
    <w:rsid w:val="0AB3F9E2"/>
    <w:rsid w:val="0AD5F05E"/>
    <w:rsid w:val="0AF38347"/>
    <w:rsid w:val="0B3C5CBF"/>
    <w:rsid w:val="0BE42EC6"/>
    <w:rsid w:val="0C212937"/>
    <w:rsid w:val="0CD53AC5"/>
    <w:rsid w:val="0CFFF2AD"/>
    <w:rsid w:val="0D7B1938"/>
    <w:rsid w:val="0D949E95"/>
    <w:rsid w:val="0DC7168D"/>
    <w:rsid w:val="0E573526"/>
    <w:rsid w:val="102E5BFE"/>
    <w:rsid w:val="10517F4F"/>
    <w:rsid w:val="10AAC5C8"/>
    <w:rsid w:val="10BA1A6F"/>
    <w:rsid w:val="11464EEF"/>
    <w:rsid w:val="1157CB64"/>
    <w:rsid w:val="12039873"/>
    <w:rsid w:val="121C19F6"/>
    <w:rsid w:val="12559957"/>
    <w:rsid w:val="126D2833"/>
    <w:rsid w:val="127833E5"/>
    <w:rsid w:val="12CCC35F"/>
    <w:rsid w:val="13B4CB15"/>
    <w:rsid w:val="13BAEA29"/>
    <w:rsid w:val="13FF9CA6"/>
    <w:rsid w:val="142946BF"/>
    <w:rsid w:val="148B7FC7"/>
    <w:rsid w:val="151BC497"/>
    <w:rsid w:val="1558B9D5"/>
    <w:rsid w:val="155F3ECA"/>
    <w:rsid w:val="1575757F"/>
    <w:rsid w:val="15968579"/>
    <w:rsid w:val="15C39B17"/>
    <w:rsid w:val="161306AC"/>
    <w:rsid w:val="1625E848"/>
    <w:rsid w:val="1646B731"/>
    <w:rsid w:val="1747CBA4"/>
    <w:rsid w:val="17597A28"/>
    <w:rsid w:val="177F5012"/>
    <w:rsid w:val="17F3A3C1"/>
    <w:rsid w:val="1895A63A"/>
    <w:rsid w:val="1904C0F5"/>
    <w:rsid w:val="1924D9DC"/>
    <w:rsid w:val="1927848A"/>
    <w:rsid w:val="198BEC6A"/>
    <w:rsid w:val="19B39D77"/>
    <w:rsid w:val="1A36ED15"/>
    <w:rsid w:val="1A47FCFE"/>
    <w:rsid w:val="1AB292BE"/>
    <w:rsid w:val="1BF38EAB"/>
    <w:rsid w:val="1C5C208F"/>
    <w:rsid w:val="1C73F749"/>
    <w:rsid w:val="1CE204B0"/>
    <w:rsid w:val="1D47E949"/>
    <w:rsid w:val="1D94354B"/>
    <w:rsid w:val="1E215027"/>
    <w:rsid w:val="1E78F424"/>
    <w:rsid w:val="1F5A68E0"/>
    <w:rsid w:val="1FC07DBF"/>
    <w:rsid w:val="1FC983E4"/>
    <w:rsid w:val="20364AAC"/>
    <w:rsid w:val="204A875B"/>
    <w:rsid w:val="20AFA126"/>
    <w:rsid w:val="20EC6575"/>
    <w:rsid w:val="21BFB94C"/>
    <w:rsid w:val="2231CCF5"/>
    <w:rsid w:val="2247033A"/>
    <w:rsid w:val="22634BF8"/>
    <w:rsid w:val="227119F6"/>
    <w:rsid w:val="22805C8F"/>
    <w:rsid w:val="2299A9B8"/>
    <w:rsid w:val="22E4FE0F"/>
    <w:rsid w:val="22E5ED38"/>
    <w:rsid w:val="233AC6CE"/>
    <w:rsid w:val="2340DE3C"/>
    <w:rsid w:val="237D05CE"/>
    <w:rsid w:val="23809C90"/>
    <w:rsid w:val="23A16922"/>
    <w:rsid w:val="24555DB4"/>
    <w:rsid w:val="247F156B"/>
    <w:rsid w:val="24F95A39"/>
    <w:rsid w:val="252D0026"/>
    <w:rsid w:val="25FF06C6"/>
    <w:rsid w:val="26758E63"/>
    <w:rsid w:val="26DDAD5E"/>
    <w:rsid w:val="27026146"/>
    <w:rsid w:val="2719E81E"/>
    <w:rsid w:val="271EC604"/>
    <w:rsid w:val="2742A48D"/>
    <w:rsid w:val="27688571"/>
    <w:rsid w:val="28279CBC"/>
    <w:rsid w:val="287BDA77"/>
    <w:rsid w:val="28B1308B"/>
    <w:rsid w:val="2981A324"/>
    <w:rsid w:val="29EB8264"/>
    <w:rsid w:val="2A187FE6"/>
    <w:rsid w:val="2A1CE09C"/>
    <w:rsid w:val="2A2C50AB"/>
    <w:rsid w:val="2A330160"/>
    <w:rsid w:val="2A62FA2D"/>
    <w:rsid w:val="2ADE0674"/>
    <w:rsid w:val="2AED1B97"/>
    <w:rsid w:val="2AEEAD30"/>
    <w:rsid w:val="2AF5755F"/>
    <w:rsid w:val="2B22CD93"/>
    <w:rsid w:val="2B6BCB81"/>
    <w:rsid w:val="2BB2BCB0"/>
    <w:rsid w:val="2BE66D35"/>
    <w:rsid w:val="2C3495CA"/>
    <w:rsid w:val="2CFBF99B"/>
    <w:rsid w:val="2D154153"/>
    <w:rsid w:val="2D2FF2AF"/>
    <w:rsid w:val="2E00A390"/>
    <w:rsid w:val="2E764985"/>
    <w:rsid w:val="2F59F4FE"/>
    <w:rsid w:val="2F6588B3"/>
    <w:rsid w:val="2F886FEC"/>
    <w:rsid w:val="2F9D2E1B"/>
    <w:rsid w:val="2FC37CB7"/>
    <w:rsid w:val="302EB85A"/>
    <w:rsid w:val="30812182"/>
    <w:rsid w:val="30F6B3F2"/>
    <w:rsid w:val="310F8EAF"/>
    <w:rsid w:val="314EAE19"/>
    <w:rsid w:val="3245576B"/>
    <w:rsid w:val="328E63DA"/>
    <w:rsid w:val="32A29B71"/>
    <w:rsid w:val="33150F24"/>
    <w:rsid w:val="336CDF19"/>
    <w:rsid w:val="338335E4"/>
    <w:rsid w:val="3391F9A2"/>
    <w:rsid w:val="33CA2769"/>
    <w:rsid w:val="33DDB6B5"/>
    <w:rsid w:val="33EC927F"/>
    <w:rsid w:val="34825904"/>
    <w:rsid w:val="34895F6D"/>
    <w:rsid w:val="34933D26"/>
    <w:rsid w:val="34B1214E"/>
    <w:rsid w:val="34F28C0C"/>
    <w:rsid w:val="34FAF5E0"/>
    <w:rsid w:val="351D245B"/>
    <w:rsid w:val="358CF365"/>
    <w:rsid w:val="35E2FFF4"/>
    <w:rsid w:val="361FB264"/>
    <w:rsid w:val="36793C0E"/>
    <w:rsid w:val="36AAB6EC"/>
    <w:rsid w:val="36E3B54E"/>
    <w:rsid w:val="36EF1366"/>
    <w:rsid w:val="37037814"/>
    <w:rsid w:val="375447CA"/>
    <w:rsid w:val="3782BA44"/>
    <w:rsid w:val="379CAF17"/>
    <w:rsid w:val="37FC9513"/>
    <w:rsid w:val="38020833"/>
    <w:rsid w:val="3822A546"/>
    <w:rsid w:val="3827F783"/>
    <w:rsid w:val="38409D98"/>
    <w:rsid w:val="385791E0"/>
    <w:rsid w:val="38CBDB70"/>
    <w:rsid w:val="3916B457"/>
    <w:rsid w:val="391BAE88"/>
    <w:rsid w:val="3A2B6C8F"/>
    <w:rsid w:val="3A40535A"/>
    <w:rsid w:val="3B43A901"/>
    <w:rsid w:val="3C034879"/>
    <w:rsid w:val="3C3BC212"/>
    <w:rsid w:val="3C806DEA"/>
    <w:rsid w:val="3CAE2FDA"/>
    <w:rsid w:val="3CF2C087"/>
    <w:rsid w:val="3CF63BF9"/>
    <w:rsid w:val="3D17D7F9"/>
    <w:rsid w:val="3D21CC3B"/>
    <w:rsid w:val="3DAC3780"/>
    <w:rsid w:val="3DD3494B"/>
    <w:rsid w:val="3E5F8B78"/>
    <w:rsid w:val="3E948C4F"/>
    <w:rsid w:val="3EA8890E"/>
    <w:rsid w:val="3EEC60BD"/>
    <w:rsid w:val="3F3D2FB3"/>
    <w:rsid w:val="3F577D4B"/>
    <w:rsid w:val="406EBCA3"/>
    <w:rsid w:val="40844799"/>
    <w:rsid w:val="40A842CD"/>
    <w:rsid w:val="40B33EF8"/>
    <w:rsid w:val="40C03E3C"/>
    <w:rsid w:val="41195567"/>
    <w:rsid w:val="418BA9AF"/>
    <w:rsid w:val="418F2FBC"/>
    <w:rsid w:val="419FB138"/>
    <w:rsid w:val="41E8DC44"/>
    <w:rsid w:val="41ED0F84"/>
    <w:rsid w:val="423995FE"/>
    <w:rsid w:val="425893C2"/>
    <w:rsid w:val="4298F83E"/>
    <w:rsid w:val="42B5C8B3"/>
    <w:rsid w:val="42D1321F"/>
    <w:rsid w:val="436D6FA7"/>
    <w:rsid w:val="43B8B739"/>
    <w:rsid w:val="443FB318"/>
    <w:rsid w:val="44B0AD6C"/>
    <w:rsid w:val="44C3FE4D"/>
    <w:rsid w:val="4592E5B5"/>
    <w:rsid w:val="45AC64D6"/>
    <w:rsid w:val="45BDC4C4"/>
    <w:rsid w:val="46C5142E"/>
    <w:rsid w:val="475CD0EA"/>
    <w:rsid w:val="479037FB"/>
    <w:rsid w:val="47E31452"/>
    <w:rsid w:val="482FF033"/>
    <w:rsid w:val="4846D28E"/>
    <w:rsid w:val="486B8E46"/>
    <w:rsid w:val="487E84ED"/>
    <w:rsid w:val="49114BC5"/>
    <w:rsid w:val="4943ECFD"/>
    <w:rsid w:val="49724C40"/>
    <w:rsid w:val="497A2659"/>
    <w:rsid w:val="498D41ED"/>
    <w:rsid w:val="4A1A0563"/>
    <w:rsid w:val="4A9BEAC7"/>
    <w:rsid w:val="4AA4B4C9"/>
    <w:rsid w:val="4AA6AACC"/>
    <w:rsid w:val="4AB4AD82"/>
    <w:rsid w:val="4B817D6B"/>
    <w:rsid w:val="4BE966F5"/>
    <w:rsid w:val="4C979669"/>
    <w:rsid w:val="4CD1CF99"/>
    <w:rsid w:val="4CE9C202"/>
    <w:rsid w:val="4CF1F094"/>
    <w:rsid w:val="4CFE199B"/>
    <w:rsid w:val="4D47F7AC"/>
    <w:rsid w:val="4D7B6C1D"/>
    <w:rsid w:val="4D8EDC9B"/>
    <w:rsid w:val="4DAECE26"/>
    <w:rsid w:val="4E024A18"/>
    <w:rsid w:val="4E5F1796"/>
    <w:rsid w:val="4EA714AD"/>
    <w:rsid w:val="4EB04DBD"/>
    <w:rsid w:val="4EFA6329"/>
    <w:rsid w:val="4F2ABAAA"/>
    <w:rsid w:val="4F80F4F1"/>
    <w:rsid w:val="4FBF33C1"/>
    <w:rsid w:val="50174179"/>
    <w:rsid w:val="50A05767"/>
    <w:rsid w:val="50A296F6"/>
    <w:rsid w:val="50A6A715"/>
    <w:rsid w:val="50BCB53A"/>
    <w:rsid w:val="50D03FAE"/>
    <w:rsid w:val="50FB2C91"/>
    <w:rsid w:val="513614E9"/>
    <w:rsid w:val="51823BFC"/>
    <w:rsid w:val="5197650B"/>
    <w:rsid w:val="524C276C"/>
    <w:rsid w:val="52514E4E"/>
    <w:rsid w:val="52E7714F"/>
    <w:rsid w:val="534D1EEB"/>
    <w:rsid w:val="53568C35"/>
    <w:rsid w:val="5392F0E0"/>
    <w:rsid w:val="546A57D5"/>
    <w:rsid w:val="546F67C5"/>
    <w:rsid w:val="54B1566C"/>
    <w:rsid w:val="54CA492D"/>
    <w:rsid w:val="555386D8"/>
    <w:rsid w:val="5587C02D"/>
    <w:rsid w:val="5597D11F"/>
    <w:rsid w:val="55CF7287"/>
    <w:rsid w:val="55E8F25A"/>
    <w:rsid w:val="55F674DA"/>
    <w:rsid w:val="56231BA6"/>
    <w:rsid w:val="56AB2A0D"/>
    <w:rsid w:val="57BCA86F"/>
    <w:rsid w:val="57DBFC4A"/>
    <w:rsid w:val="58082B2F"/>
    <w:rsid w:val="583D0A98"/>
    <w:rsid w:val="58D33443"/>
    <w:rsid w:val="58FF6F53"/>
    <w:rsid w:val="591E40E6"/>
    <w:rsid w:val="5926E473"/>
    <w:rsid w:val="5942E0AC"/>
    <w:rsid w:val="59940FDE"/>
    <w:rsid w:val="59B4536D"/>
    <w:rsid w:val="59EF585D"/>
    <w:rsid w:val="59EF98C3"/>
    <w:rsid w:val="5A53DF17"/>
    <w:rsid w:val="5A545147"/>
    <w:rsid w:val="5A680906"/>
    <w:rsid w:val="5A7B279B"/>
    <w:rsid w:val="5A8C789D"/>
    <w:rsid w:val="5ACC83F8"/>
    <w:rsid w:val="5B1B3A20"/>
    <w:rsid w:val="5B6255A3"/>
    <w:rsid w:val="5B674EAF"/>
    <w:rsid w:val="5BB174A7"/>
    <w:rsid w:val="5BCC9E70"/>
    <w:rsid w:val="5C0A82E6"/>
    <w:rsid w:val="5C2C6008"/>
    <w:rsid w:val="5C88BF5B"/>
    <w:rsid w:val="5D525779"/>
    <w:rsid w:val="5D7C81A7"/>
    <w:rsid w:val="5DA6CC30"/>
    <w:rsid w:val="5DAC3D1B"/>
    <w:rsid w:val="5DF73EB2"/>
    <w:rsid w:val="5E3FABEA"/>
    <w:rsid w:val="5E941546"/>
    <w:rsid w:val="5ED61467"/>
    <w:rsid w:val="5FB8D1CA"/>
    <w:rsid w:val="5FD67568"/>
    <w:rsid w:val="5FF25F51"/>
    <w:rsid w:val="5FF269E9"/>
    <w:rsid w:val="602AA3D6"/>
    <w:rsid w:val="6040D662"/>
    <w:rsid w:val="60AB38C4"/>
    <w:rsid w:val="60E8A667"/>
    <w:rsid w:val="60EA82FA"/>
    <w:rsid w:val="613CD5C9"/>
    <w:rsid w:val="6150CBAE"/>
    <w:rsid w:val="615CEB5D"/>
    <w:rsid w:val="61D6B276"/>
    <w:rsid w:val="61E8F4FF"/>
    <w:rsid w:val="62181835"/>
    <w:rsid w:val="6224641F"/>
    <w:rsid w:val="622D7754"/>
    <w:rsid w:val="62C3624B"/>
    <w:rsid w:val="62FF1517"/>
    <w:rsid w:val="63C9F9B8"/>
    <w:rsid w:val="63ED7913"/>
    <w:rsid w:val="63F91256"/>
    <w:rsid w:val="6400B4C5"/>
    <w:rsid w:val="64AFB4BA"/>
    <w:rsid w:val="650BA4DA"/>
    <w:rsid w:val="652BFFD9"/>
    <w:rsid w:val="654A44D7"/>
    <w:rsid w:val="654C0882"/>
    <w:rsid w:val="65AA3428"/>
    <w:rsid w:val="65AC21CE"/>
    <w:rsid w:val="65C73F29"/>
    <w:rsid w:val="65EA7D05"/>
    <w:rsid w:val="661BA32F"/>
    <w:rsid w:val="661BADC7"/>
    <w:rsid w:val="664CBEB5"/>
    <w:rsid w:val="66D310FC"/>
    <w:rsid w:val="671DDA8C"/>
    <w:rsid w:val="6740D788"/>
    <w:rsid w:val="680D1876"/>
    <w:rsid w:val="6813716A"/>
    <w:rsid w:val="68192F81"/>
    <w:rsid w:val="68560B74"/>
    <w:rsid w:val="68ED3CE9"/>
    <w:rsid w:val="696F4E9D"/>
    <w:rsid w:val="69A0D413"/>
    <w:rsid w:val="69D04D8B"/>
    <w:rsid w:val="6A07F8AF"/>
    <w:rsid w:val="6A32C6A2"/>
    <w:rsid w:val="6A8E87D6"/>
    <w:rsid w:val="6A9C3B90"/>
    <w:rsid w:val="6AAEC418"/>
    <w:rsid w:val="6AED7996"/>
    <w:rsid w:val="6B2535E5"/>
    <w:rsid w:val="6B2A2BB5"/>
    <w:rsid w:val="6B4338CF"/>
    <w:rsid w:val="6B7DD642"/>
    <w:rsid w:val="6B82A530"/>
    <w:rsid w:val="6BC195C4"/>
    <w:rsid w:val="6BC50751"/>
    <w:rsid w:val="6C9B06C5"/>
    <w:rsid w:val="6CC3C66F"/>
    <w:rsid w:val="6CC6D5F6"/>
    <w:rsid w:val="6CDD03D0"/>
    <w:rsid w:val="6CFF0ECB"/>
    <w:rsid w:val="6D05D905"/>
    <w:rsid w:val="6D1C1596"/>
    <w:rsid w:val="6D9D5EF4"/>
    <w:rsid w:val="6E444347"/>
    <w:rsid w:val="6E49CCD2"/>
    <w:rsid w:val="6E84D99D"/>
    <w:rsid w:val="6EBC935E"/>
    <w:rsid w:val="6EC1068A"/>
    <w:rsid w:val="6EE9C80E"/>
    <w:rsid w:val="6EFD5C31"/>
    <w:rsid w:val="6F0E3FF6"/>
    <w:rsid w:val="6F15D68F"/>
    <w:rsid w:val="6F5A8BF8"/>
    <w:rsid w:val="6F8B154F"/>
    <w:rsid w:val="6F8CBA9F"/>
    <w:rsid w:val="7028B114"/>
    <w:rsid w:val="7091D981"/>
    <w:rsid w:val="70DD0A76"/>
    <w:rsid w:val="70F072A4"/>
    <w:rsid w:val="71095205"/>
    <w:rsid w:val="71547012"/>
    <w:rsid w:val="71F780F2"/>
    <w:rsid w:val="720E0BEB"/>
    <w:rsid w:val="72283844"/>
    <w:rsid w:val="7281F698"/>
    <w:rsid w:val="72DA9BE7"/>
    <w:rsid w:val="72EA4C26"/>
    <w:rsid w:val="73016687"/>
    <w:rsid w:val="738639F6"/>
    <w:rsid w:val="73E77F48"/>
    <w:rsid w:val="73EDCA35"/>
    <w:rsid w:val="7421DFAE"/>
    <w:rsid w:val="7431C659"/>
    <w:rsid w:val="7444EF75"/>
    <w:rsid w:val="74621DDA"/>
    <w:rsid w:val="74D06A0A"/>
    <w:rsid w:val="75ADBF8C"/>
    <w:rsid w:val="7621B5B7"/>
    <w:rsid w:val="76B91FC6"/>
    <w:rsid w:val="76C309EA"/>
    <w:rsid w:val="76DBAFFF"/>
    <w:rsid w:val="7719FF8F"/>
    <w:rsid w:val="772E8D33"/>
    <w:rsid w:val="77606CE8"/>
    <w:rsid w:val="7773A997"/>
    <w:rsid w:val="77920359"/>
    <w:rsid w:val="77DB1810"/>
    <w:rsid w:val="77E49023"/>
    <w:rsid w:val="781A1EC3"/>
    <w:rsid w:val="7822237B"/>
    <w:rsid w:val="7892D3CC"/>
    <w:rsid w:val="78F430D5"/>
    <w:rsid w:val="7930AFC5"/>
    <w:rsid w:val="796217E5"/>
    <w:rsid w:val="797689DD"/>
    <w:rsid w:val="797DCFF8"/>
    <w:rsid w:val="79D4808D"/>
    <w:rsid w:val="79F89CB0"/>
    <w:rsid w:val="7A269A01"/>
    <w:rsid w:val="7A44252F"/>
    <w:rsid w:val="7A653B6C"/>
    <w:rsid w:val="7A86D469"/>
    <w:rsid w:val="7A916933"/>
    <w:rsid w:val="7AC72B78"/>
    <w:rsid w:val="7AD45F4E"/>
    <w:rsid w:val="7B3518E8"/>
    <w:rsid w:val="7BE86CE0"/>
    <w:rsid w:val="7C806915"/>
    <w:rsid w:val="7D03951D"/>
    <w:rsid w:val="7D1945EF"/>
    <w:rsid w:val="7D22EB72"/>
    <w:rsid w:val="7D31D4B9"/>
    <w:rsid w:val="7DA7089E"/>
    <w:rsid w:val="7DF7E1EF"/>
    <w:rsid w:val="7E108804"/>
    <w:rsid w:val="7E554F34"/>
    <w:rsid w:val="7E60A668"/>
    <w:rsid w:val="7E688032"/>
    <w:rsid w:val="7E766C9D"/>
    <w:rsid w:val="7EB20F0B"/>
    <w:rsid w:val="7EF51511"/>
    <w:rsid w:val="7F930F45"/>
    <w:rsid w:val="7FB9E446"/>
    <w:rsid w:val="7FE21442"/>
    <w:rsid w:val="7FFD778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A422"/>
  <w15:chartTrackingRefBased/>
  <w15:docId w15:val="{183B4753-2D5E-4C6E-A858-EE842276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D8A"/>
    <w:pPr>
      <w:keepNext/>
      <w:keepLines/>
      <w:numPr>
        <w:numId w:val="6"/>
      </w:numPr>
      <w:spacing w:before="240" w:after="0"/>
      <w:ind w:left="432"/>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2D8A"/>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2D8A"/>
    <w:pPr>
      <w:keepNext/>
      <w:keepLines/>
      <w:numPr>
        <w:ilvl w:val="2"/>
        <w:numId w:val="6"/>
      </w:numPr>
      <w:spacing w:before="120" w:after="1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42D8A"/>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42D8A"/>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42D8A"/>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42D8A"/>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42D8A"/>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2D8A"/>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C6C2A"/>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rsid w:val="004C6C2A"/>
    <w:rPr>
      <w:rFonts w:ascii="Arial" w:hAnsi="Arial"/>
      <w:sz w:val="20"/>
      <w:szCs w:val="21"/>
    </w:rPr>
  </w:style>
  <w:style w:type="paragraph" w:styleId="ListParagraph">
    <w:name w:val="List Paragraph"/>
    <w:basedOn w:val="Normal"/>
    <w:uiPriority w:val="34"/>
    <w:qFormat/>
    <w:rsid w:val="004C6C2A"/>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45C7A"/>
    <w:pPr>
      <w:spacing w:after="0" w:line="240" w:lineRule="auto"/>
    </w:pPr>
  </w:style>
  <w:style w:type="paragraph" w:styleId="CommentSubject">
    <w:name w:val="annotation subject"/>
    <w:basedOn w:val="CommentText"/>
    <w:next w:val="CommentText"/>
    <w:link w:val="CommentSubjectChar"/>
    <w:uiPriority w:val="99"/>
    <w:semiHidden/>
    <w:unhideWhenUsed/>
    <w:rsid w:val="00293A4C"/>
    <w:rPr>
      <w:b/>
      <w:bCs/>
    </w:rPr>
  </w:style>
  <w:style w:type="character" w:customStyle="1" w:styleId="CommentSubjectChar">
    <w:name w:val="Comment Subject Char"/>
    <w:basedOn w:val="CommentTextChar"/>
    <w:link w:val="CommentSubject"/>
    <w:uiPriority w:val="99"/>
    <w:semiHidden/>
    <w:rsid w:val="00293A4C"/>
    <w:rPr>
      <w:b/>
      <w:bCs/>
      <w:sz w:val="20"/>
      <w:szCs w:val="20"/>
    </w:rPr>
  </w:style>
  <w:style w:type="paragraph" w:styleId="Header">
    <w:name w:val="header"/>
    <w:basedOn w:val="Normal"/>
    <w:link w:val="HeaderChar"/>
    <w:uiPriority w:val="99"/>
    <w:unhideWhenUsed/>
    <w:rsid w:val="00842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D8A"/>
  </w:style>
  <w:style w:type="paragraph" w:styleId="Footer">
    <w:name w:val="footer"/>
    <w:basedOn w:val="Normal"/>
    <w:link w:val="FooterChar"/>
    <w:uiPriority w:val="99"/>
    <w:unhideWhenUsed/>
    <w:rsid w:val="00842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D8A"/>
  </w:style>
  <w:style w:type="character" w:customStyle="1" w:styleId="Heading1Char">
    <w:name w:val="Heading 1 Char"/>
    <w:basedOn w:val="DefaultParagraphFont"/>
    <w:link w:val="Heading1"/>
    <w:uiPriority w:val="9"/>
    <w:rsid w:val="00842D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2D8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42D8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42D8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42D8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842D8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42D8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42D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2D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842D8A"/>
    <w:rPr>
      <w:color w:val="0563C1" w:themeColor="hyperlink"/>
      <w:u w:val="single"/>
    </w:rPr>
  </w:style>
  <w:style w:type="paragraph" w:styleId="NormalWeb">
    <w:name w:val="Normal (Web)"/>
    <w:basedOn w:val="Normal"/>
    <w:uiPriority w:val="99"/>
    <w:semiHidden/>
    <w:unhideWhenUsed/>
    <w:rsid w:val="00842D8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TOCHeading">
    <w:name w:val="TOC Heading"/>
    <w:basedOn w:val="Heading1"/>
    <w:next w:val="Normal"/>
    <w:uiPriority w:val="39"/>
    <w:unhideWhenUsed/>
    <w:qFormat/>
    <w:rsid w:val="00842D8A"/>
    <w:pPr>
      <w:numPr>
        <w:numId w:val="0"/>
      </w:numPr>
      <w:outlineLvl w:val="9"/>
    </w:pPr>
    <w:rPr>
      <w:kern w:val="0"/>
      <w:lang w:eastAsia="de-DE"/>
      <w14:ligatures w14:val="none"/>
    </w:rPr>
  </w:style>
  <w:style w:type="paragraph" w:styleId="TOC2">
    <w:name w:val="toc 2"/>
    <w:basedOn w:val="Normal"/>
    <w:next w:val="Normal"/>
    <w:autoRedefine/>
    <w:uiPriority w:val="39"/>
    <w:unhideWhenUsed/>
    <w:rsid w:val="00703B75"/>
    <w:pPr>
      <w:tabs>
        <w:tab w:val="left" w:pos="880"/>
        <w:tab w:val="right" w:leader="dot" w:pos="9062"/>
      </w:tabs>
      <w:spacing w:after="100"/>
      <w:ind w:left="220"/>
    </w:pPr>
  </w:style>
  <w:style w:type="paragraph" w:styleId="TOC3">
    <w:name w:val="toc 3"/>
    <w:basedOn w:val="Normal"/>
    <w:next w:val="Normal"/>
    <w:autoRedefine/>
    <w:uiPriority w:val="39"/>
    <w:unhideWhenUsed/>
    <w:rsid w:val="001D7B35"/>
    <w:pPr>
      <w:tabs>
        <w:tab w:val="left" w:pos="1320"/>
        <w:tab w:val="right" w:leader="dot" w:pos="9062"/>
      </w:tabs>
      <w:spacing w:after="100"/>
      <w:ind w:left="440"/>
    </w:pPr>
  </w:style>
  <w:style w:type="paragraph" w:styleId="TOC4">
    <w:name w:val="toc 4"/>
    <w:basedOn w:val="Normal"/>
    <w:next w:val="Normal"/>
    <w:autoRedefine/>
    <w:uiPriority w:val="39"/>
    <w:unhideWhenUsed/>
    <w:rsid w:val="000A1518"/>
    <w:pPr>
      <w:tabs>
        <w:tab w:val="left" w:pos="1540"/>
        <w:tab w:val="right" w:leader="dot" w:pos="9062"/>
      </w:tabs>
      <w:spacing w:after="100"/>
      <w:ind w:left="660"/>
    </w:pPr>
  </w:style>
  <w:style w:type="paragraph" w:styleId="FootnoteText">
    <w:name w:val="footnote text"/>
    <w:basedOn w:val="Normal"/>
    <w:link w:val="FootnoteTextChar"/>
    <w:uiPriority w:val="99"/>
    <w:unhideWhenUsed/>
    <w:rsid w:val="00224162"/>
    <w:pPr>
      <w:spacing w:after="0" w:line="240" w:lineRule="auto"/>
    </w:pPr>
    <w:rPr>
      <w:sz w:val="20"/>
      <w:szCs w:val="20"/>
    </w:rPr>
  </w:style>
  <w:style w:type="character" w:customStyle="1" w:styleId="FootnoteTextChar">
    <w:name w:val="Footnote Text Char"/>
    <w:basedOn w:val="DefaultParagraphFont"/>
    <w:link w:val="FootnoteText"/>
    <w:uiPriority w:val="99"/>
    <w:rsid w:val="00224162"/>
    <w:rPr>
      <w:sz w:val="20"/>
      <w:szCs w:val="20"/>
    </w:rPr>
  </w:style>
  <w:style w:type="character" w:styleId="FootnoteReference">
    <w:name w:val="footnote reference"/>
    <w:basedOn w:val="DefaultParagraphFont"/>
    <w:uiPriority w:val="99"/>
    <w:semiHidden/>
    <w:unhideWhenUsed/>
    <w:rsid w:val="00224162"/>
    <w:rPr>
      <w:vertAlign w:val="superscript"/>
    </w:rPr>
  </w:style>
  <w:style w:type="paragraph" w:customStyle="1" w:styleId="headlineheader">
    <w:name w:val="headline header"/>
    <w:basedOn w:val="Normal"/>
    <w:uiPriority w:val="1"/>
    <w:qFormat/>
    <w:rsid w:val="003358AD"/>
    <w:pPr>
      <w:spacing w:after="280" w:line="600" w:lineRule="exact"/>
      <w:jc w:val="both"/>
    </w:pPr>
    <w:rPr>
      <w:rFonts w:asciiTheme="majorHAnsi" w:eastAsia="Times New Roman" w:hAnsiTheme="majorHAnsi" w:cstheme="majorHAnsi"/>
      <w:b/>
      <w:color w:val="44546A" w:themeColor="text2"/>
      <w:kern w:val="0"/>
      <w:sz w:val="57"/>
      <w:szCs w:val="57"/>
      <w:lang w:val="en-GB" w:eastAsia="de-DE"/>
      <w14:ligatures w14:val="none"/>
    </w:rPr>
  </w:style>
  <w:style w:type="paragraph" w:customStyle="1" w:styleId="Title2Green">
    <w:name w:val="Title 2 Green"/>
    <w:basedOn w:val="Normal"/>
    <w:autoRedefine/>
    <w:qFormat/>
    <w:rsid w:val="003358AD"/>
    <w:pPr>
      <w:spacing w:before="120" w:after="200" w:line="340" w:lineRule="exact"/>
      <w:jc w:val="center"/>
    </w:pPr>
    <w:rPr>
      <w:rFonts w:ascii="Arial" w:eastAsia="Times New Roman" w:hAnsi="Arial" w:cs="Arial"/>
      <w:b/>
      <w:kern w:val="0"/>
      <w:sz w:val="28"/>
      <w:szCs w:val="30"/>
      <w:lang w:val="en-GB" w:eastAsia="de-DE"/>
      <w14:ligatures w14:val="none"/>
    </w:rPr>
  </w:style>
  <w:style w:type="character" w:customStyle="1" w:styleId="ui-provider">
    <w:name w:val="ui-provider"/>
    <w:basedOn w:val="DefaultParagraphFont"/>
    <w:rsid w:val="003358AD"/>
  </w:style>
  <w:style w:type="paragraph" w:styleId="TOC1">
    <w:name w:val="toc 1"/>
    <w:basedOn w:val="Normal"/>
    <w:next w:val="Normal"/>
    <w:autoRedefine/>
    <w:uiPriority w:val="39"/>
    <w:unhideWhenUsed/>
    <w:rsid w:val="00307843"/>
    <w:pPr>
      <w:tabs>
        <w:tab w:val="left" w:pos="440"/>
        <w:tab w:val="right" w:leader="dot" w:pos="9062"/>
      </w:tabs>
      <w:spacing w:after="100"/>
    </w:pPr>
  </w:style>
  <w:style w:type="paragraph" w:styleId="Caption">
    <w:name w:val="caption"/>
    <w:basedOn w:val="Normal"/>
    <w:next w:val="Normal"/>
    <w:uiPriority w:val="35"/>
    <w:unhideWhenUsed/>
    <w:qFormat/>
    <w:rsid w:val="00703B75"/>
    <w:pPr>
      <w:spacing w:after="200" w:line="240" w:lineRule="auto"/>
    </w:pPr>
    <w:rPr>
      <w:rFonts w:ascii="Calibri" w:hAnsi="Calibri" w:cs="Calibri"/>
      <w:i/>
      <w:iCs/>
      <w:color w:val="44546A" w:themeColor="text2"/>
      <w:kern w:val="0"/>
      <w:sz w:val="18"/>
      <w:szCs w:val="18"/>
      <w:lang w:eastAsia="de-DE"/>
      <w14:ligatures w14:val="none"/>
    </w:rPr>
  </w:style>
  <w:style w:type="character" w:customStyle="1" w:styleId="UnresolvedMention1">
    <w:name w:val="Unresolved Mention1"/>
    <w:basedOn w:val="DefaultParagraphFont"/>
    <w:uiPriority w:val="99"/>
    <w:semiHidden/>
    <w:unhideWhenUsed/>
    <w:rsid w:val="00F838D3"/>
    <w:rPr>
      <w:color w:val="605E5C"/>
      <w:shd w:val="clear" w:color="auto" w:fill="E1DFDD"/>
    </w:rPr>
  </w:style>
  <w:style w:type="paragraph" w:styleId="BalloonText">
    <w:name w:val="Balloon Text"/>
    <w:basedOn w:val="Normal"/>
    <w:link w:val="BalloonTextChar"/>
    <w:uiPriority w:val="99"/>
    <w:semiHidden/>
    <w:unhideWhenUsed/>
    <w:rsid w:val="00F83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8D3"/>
    <w:rPr>
      <w:rFonts w:ascii="Segoe UI" w:hAnsi="Segoe UI" w:cs="Segoe UI"/>
      <w:sz w:val="18"/>
      <w:szCs w:val="18"/>
    </w:rPr>
  </w:style>
  <w:style w:type="table" w:styleId="TableGrid">
    <w:name w:val="Table Grid"/>
    <w:basedOn w:val="TableNormal"/>
    <w:uiPriority w:val="59"/>
    <w:rsid w:val="00FB4123"/>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80512">
      <w:bodyDiv w:val="1"/>
      <w:marLeft w:val="0"/>
      <w:marRight w:val="0"/>
      <w:marTop w:val="0"/>
      <w:marBottom w:val="0"/>
      <w:divBdr>
        <w:top w:val="none" w:sz="0" w:space="0" w:color="auto"/>
        <w:left w:val="none" w:sz="0" w:space="0" w:color="auto"/>
        <w:bottom w:val="none" w:sz="0" w:space="0" w:color="auto"/>
        <w:right w:val="none" w:sz="0" w:space="0" w:color="auto"/>
      </w:divBdr>
    </w:div>
    <w:div w:id="1065568138">
      <w:bodyDiv w:val="1"/>
      <w:marLeft w:val="0"/>
      <w:marRight w:val="0"/>
      <w:marTop w:val="0"/>
      <w:marBottom w:val="0"/>
      <w:divBdr>
        <w:top w:val="none" w:sz="0" w:space="0" w:color="auto"/>
        <w:left w:val="none" w:sz="0" w:space="0" w:color="auto"/>
        <w:bottom w:val="none" w:sz="0" w:space="0" w:color="auto"/>
        <w:right w:val="none" w:sz="0" w:space="0" w:color="auto"/>
      </w:divBdr>
    </w:div>
    <w:div w:id="1092094542">
      <w:bodyDiv w:val="1"/>
      <w:marLeft w:val="0"/>
      <w:marRight w:val="0"/>
      <w:marTop w:val="0"/>
      <w:marBottom w:val="0"/>
      <w:divBdr>
        <w:top w:val="none" w:sz="0" w:space="0" w:color="auto"/>
        <w:left w:val="none" w:sz="0" w:space="0" w:color="auto"/>
        <w:bottom w:val="none" w:sz="0" w:space="0" w:color="auto"/>
        <w:right w:val="none" w:sz="0" w:space="0" w:color="auto"/>
      </w:divBdr>
    </w:div>
    <w:div w:id="1425876725">
      <w:bodyDiv w:val="1"/>
      <w:marLeft w:val="0"/>
      <w:marRight w:val="0"/>
      <w:marTop w:val="0"/>
      <w:marBottom w:val="0"/>
      <w:divBdr>
        <w:top w:val="none" w:sz="0" w:space="0" w:color="auto"/>
        <w:left w:val="none" w:sz="0" w:space="0" w:color="auto"/>
        <w:bottom w:val="none" w:sz="0" w:space="0" w:color="auto"/>
        <w:right w:val="none" w:sz="0" w:space="0" w:color="auto"/>
      </w:divBdr>
    </w:div>
    <w:div w:id="1467429881">
      <w:bodyDiv w:val="1"/>
      <w:marLeft w:val="0"/>
      <w:marRight w:val="0"/>
      <w:marTop w:val="0"/>
      <w:marBottom w:val="0"/>
      <w:divBdr>
        <w:top w:val="none" w:sz="0" w:space="0" w:color="auto"/>
        <w:left w:val="none" w:sz="0" w:space="0" w:color="auto"/>
        <w:bottom w:val="none" w:sz="0" w:space="0" w:color="auto"/>
        <w:right w:val="none" w:sz="0" w:space="0" w:color="auto"/>
      </w:divBdr>
    </w:div>
    <w:div w:id="1708486276">
      <w:bodyDiv w:val="1"/>
      <w:marLeft w:val="0"/>
      <w:marRight w:val="0"/>
      <w:marTop w:val="0"/>
      <w:marBottom w:val="0"/>
      <w:divBdr>
        <w:top w:val="none" w:sz="0" w:space="0" w:color="auto"/>
        <w:left w:val="none" w:sz="0" w:space="0" w:color="auto"/>
        <w:bottom w:val="none" w:sz="0" w:space="0" w:color="auto"/>
        <w:right w:val="none" w:sz="0" w:space="0" w:color="auto"/>
      </w:divBdr>
    </w:div>
    <w:div w:id="1815827809">
      <w:bodyDiv w:val="1"/>
      <w:marLeft w:val="0"/>
      <w:marRight w:val="0"/>
      <w:marTop w:val="0"/>
      <w:marBottom w:val="0"/>
      <w:divBdr>
        <w:top w:val="none" w:sz="0" w:space="0" w:color="auto"/>
        <w:left w:val="none" w:sz="0" w:space="0" w:color="auto"/>
        <w:bottom w:val="none" w:sz="0" w:space="0" w:color="auto"/>
        <w:right w:val="none" w:sz="0" w:space="0" w:color="auto"/>
      </w:divBdr>
    </w:div>
    <w:div w:id="187238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4C1E13CB7F4C8D9360006568DB8490"/>
        <w:category>
          <w:name w:val="General"/>
          <w:gallery w:val="placeholder"/>
        </w:category>
        <w:types>
          <w:type w:val="bbPlcHdr"/>
        </w:types>
        <w:behaviors>
          <w:behavior w:val="content"/>
        </w:behaviors>
        <w:guid w:val="{BE04822C-F3C1-4156-9A72-A835DDFFE1EF}"/>
      </w:docPartPr>
      <w:docPartBody>
        <w:p w:rsidR="006B5152" w:rsidRDefault="006B5152" w:rsidP="006B5152">
          <w:pPr>
            <w:pStyle w:val="054C1E13CB7F4C8D9360006568DB8490"/>
          </w:pPr>
          <w:r w:rsidRPr="00B353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52"/>
    <w:rsid w:val="006B5152"/>
    <w:rsid w:val="007305DF"/>
    <w:rsid w:val="009B54DC"/>
    <w:rsid w:val="00DF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152"/>
    <w:rPr>
      <w:color w:val="808080"/>
    </w:rPr>
  </w:style>
  <w:style w:type="paragraph" w:customStyle="1" w:styleId="054C1E13CB7F4C8D9360006568DB8490">
    <w:name w:val="054C1E13CB7F4C8D9360006568DB8490"/>
    <w:rsid w:val="006B5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NTSO-E Meeting" ma:contentTypeID="0x01010008D7FD8FC6DE514D854E05179026079901000C1C8D7ECA5DA84DADFDB69A31340058" ma:contentTypeVersion="60" ma:contentTypeDescription="" ma:contentTypeScope="" ma:versionID="8476245d296b31d9e71caa5974261b76">
  <xsd:schema xmlns:xsd="http://www.w3.org/2001/XMLSchema" xmlns:xs="http://www.w3.org/2001/XMLSchema" xmlns:p="http://schemas.microsoft.com/office/2006/metadata/properties" xmlns:ns2="e3fb2008-9808-4f29-aa32-2f66631018ed" xmlns:ns3="e3335f26-5599-450c-ba5a-6e1632a8eec8" targetNamespace="http://schemas.microsoft.com/office/2006/metadata/properties" ma:root="true" ma:fieldsID="8f0e8f1e0e09dd349a6f7c119226e7c0" ns2:_="" ns3:_="">
    <xsd:import namespace="e3fb2008-9808-4f29-aa32-2f66631018ed"/>
    <xsd:import namespace="e3335f26-5599-450c-ba5a-6e1632a8eec8"/>
    <xsd:element name="properties">
      <xsd:complexType>
        <xsd:sequence>
          <xsd:element name="documentManagement">
            <xsd:complexType>
              <xsd:all>
                <xsd:element ref="ns2:TaxCatchAll" minOccurs="0"/>
                <xsd:element ref="ns2:Open_x0020_to_x0020_ACER" minOccurs="0"/>
                <xsd:element ref="ns2:Open_x0020_to_x0020_EC" minOccurs="0"/>
                <xsd:element ref="ns2:Document_x0020_Type" minOccurs="0"/>
                <xsd:element ref="ns2:Work_x0020_Area" minOccurs="0"/>
                <xsd:element ref="ns2:Business_x0020_Record" minOccurs="0"/>
                <xsd:element ref="ns2:Meeting" minOccurs="0"/>
                <xsd:element ref="ns2:Approval_x0020_Level" minOccurs="0"/>
                <xsd:element ref="ns2:o9b5552cd29f405b8612d2920cb859c4" minOccurs="0"/>
                <xsd:element ref="ns2:TaxCatchAllLabel" minOccurs="0"/>
                <xsd:element ref="ns2:a11881793d4943049370f281afa2b378" minOccurs="0"/>
                <xsd:element ref="ns2:i85e4520245b48aa896a2e6f400e83f6" minOccurs="0"/>
                <xsd:element ref="ns2:TaxKeywordTaxHTFiel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LengthInSeconds" minOccurs="0"/>
                <xsd:element ref="ns3:MYENTSOE_SiteType" minOccurs="0"/>
                <xsd:element ref="ns3:p87f609ec90749849b4eaa4af68adbfe" minOccurs="0"/>
                <xsd:element ref="ns3:ibd78dc81ef641589318afd51c980bcf" minOccurs="0"/>
                <xsd:element ref="ns3:k56d23c01d3743a6945c5fa36e139d91" minOccurs="0"/>
                <xsd:element ref="ns3:g6ec5f7a0fb84ad6abe14054302bf787" minOccurs="0"/>
                <xsd:element ref="ns3:mf8efaa782db47b3b34979f40b7aacc2" minOccurs="0"/>
                <xsd:element ref="ns3:h332d8a76b2a4b0e8262d0ce0f735ab7" minOccurs="0"/>
                <xsd:element ref="ns3:n90d2b5927824382b2ef93294822919a" minOccurs="0"/>
                <xsd:element ref="ns3:b2fab0f82de24177a2fa66b01b0da3e2" minOccurs="0"/>
                <xsd:element ref="ns3:pa686dd9f5054c50a0e793e03c1f87e2" minOccurs="0"/>
                <xsd:element ref="ns3:df610d335c314c699b17ffedb231281f" minOccurs="0"/>
                <xsd:element ref="ns3:SOC_x0020_Review" minOccurs="0"/>
                <xsd:element ref="ns3:l80749d9b3124061ba3b0001bd7103c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b2008-9808-4f29-aa32-2f66631018e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dbaaada-9658-4aff-a411-1fae99ae6053}" ma:internalName="TaxCatchAll" ma:readOnly="false" ma:showField="CatchAllData" ma:web="e3fb2008-9808-4f29-aa32-2f66631018ed">
      <xsd:complexType>
        <xsd:complexContent>
          <xsd:extension base="dms:MultiChoiceLookup">
            <xsd:sequence>
              <xsd:element name="Value" type="dms:Lookup" maxOccurs="unbounded" minOccurs="0" nillable="true"/>
            </xsd:sequence>
          </xsd:extension>
        </xsd:complexContent>
      </xsd:complexType>
    </xsd:element>
    <xsd:element name="Open_x0020_to_x0020_ACER" ma:index="9" nillable="true" ma:displayName="Open to ACER" ma:default="0" ma:description="This field should indicate if, from a business point of view, there is acceptance to share the data or document with ACER. In case the data or document is not open to ACER and there is a request from ACER, the legal basis for this request needs to be assessed by ENTSO-E Legal Section." ma:internalName="Open_x0020_to_x0020_ACER" ma:readOnly="false">
      <xsd:simpleType>
        <xsd:restriction base="dms:Boolean"/>
      </xsd:simpleType>
    </xsd:element>
    <xsd:element name="Open_x0020_to_x0020_EC" ma:index="10" nillable="true" ma:displayName="Open to EC" ma:default="0" ma:description="This field should indicate if, from a business point of view, there is acceptance to share the data or document with the EC. In case the data or document is not open to the EC and there is a request from the EC, the legal basis for this request needs to be assessed by ENTSO-E Legal Section." ma:internalName="Open_x0020_to_x0020_EC" ma:readOnly="false">
      <xsd:simpleType>
        <xsd:restriction base="dms:Boolean"/>
      </xsd:simpleType>
    </xsd:element>
    <xsd:element name="Document_x0020_Type" ma:index="11" nillable="true" ma:displayName="Document Type" ma:indexed="true" ma:list="{2dfe6d64-a782-4349-ac2b-ef16b21cccb4}" ma:internalName="Document_x0020_Type" ma:readOnly="false" ma:showField="Title" ma:web="e3fb2008-9808-4f29-aa32-2f66631018ed">
      <xsd:simpleType>
        <xsd:restriction base="dms:Lookup"/>
      </xsd:simpleType>
    </xsd:element>
    <xsd:element name="Work_x0020_Area" ma:index="13" nillable="true" ma:displayName="Work Area" ma:list="{0ee21f62-22ba-493f-8ed6-f94b22083af2}" ma:internalName="Work_x0020_Area" ma:readOnly="false" ma:showField="Title" ma:web="e3fb2008-9808-4f29-aa32-2f66631018ed">
      <xsd:simpleType>
        <xsd:restriction base="dms:Lookup"/>
      </xsd:simpleType>
    </xsd:element>
    <xsd:element name="Business_x0020_Record" ma:index="14" nillable="true" ma:displayName="Business Record" ma:list="{bcf67a8f-8582-4a56-a358-160b5a3dbf73}" ma:internalName="Business_x0020_Record" ma:readOnly="false" ma:showField="Title" ma:web="e3fb2008-9808-4f29-aa32-2f66631018ed">
      <xsd:simpleType>
        <xsd:restriction base="dms:Lookup"/>
      </xsd:simpleType>
    </xsd:element>
    <xsd:element name="Meeting" ma:index="15" nillable="true" ma:displayName="Meeting" ma:internalName="Meeting" ma:readOnly="false">
      <xsd:simpleType>
        <xsd:restriction base="dms:Text">
          <xsd:maxLength value="255"/>
        </xsd:restriction>
      </xsd:simpleType>
    </xsd:element>
    <xsd:element name="Approval_x0020_Level" ma:index="16" nillable="true" ma:displayName="Approval Level" ma:list="{0fb5773d-25e3-4c8c-bbdd-e47d824e7964}" ma:internalName="Approval_x0020_Level" ma:readOnly="false" ma:showField="Title" ma:web="e3fb2008-9808-4f29-aa32-2f66631018ed">
      <xsd:simpleType>
        <xsd:restriction base="dms:Lookup"/>
      </xsd:simpleType>
    </xsd:element>
    <xsd:element name="o9b5552cd29f405b8612d2920cb859c4" ma:index="17" nillable="true" ma:displayName="Data Classification_0" ma:hidden="true" ma:internalName="o9b5552cd29f405b8612d2920cb859c4" ma:readOnly="false">
      <xsd:simpleType>
        <xsd:restriction base="dms:Note"/>
      </xsd:simpleType>
    </xsd:element>
    <xsd:element name="TaxCatchAllLabel" ma:index="18" nillable="true" ma:displayName="Taxonomy Catch All Column1" ma:hidden="true" ma:list="{7dbaaada-9658-4aff-a411-1fae99ae6053}" ma:internalName="TaxCatchAllLabel" ma:readOnly="true" ma:showField="CatchAllDataLabel" ma:web="e3fb2008-9808-4f29-aa32-2f66631018ed">
      <xsd:complexType>
        <xsd:complexContent>
          <xsd:extension base="dms:MultiChoiceLookup">
            <xsd:sequence>
              <xsd:element name="Value" type="dms:Lookup" maxOccurs="unbounded" minOccurs="0" nillable="true"/>
            </xsd:sequence>
          </xsd:extension>
        </xsd:complexContent>
      </xsd:complexType>
    </xsd:element>
    <xsd:element name="a11881793d4943049370f281afa2b378" ma:index="19" nillable="true" ma:displayName="Data Origin_0" ma:hidden="true" ma:internalName="a11881793d4943049370f281afa2b378" ma:readOnly="false">
      <xsd:simpleType>
        <xsd:restriction base="dms:Note"/>
      </xsd:simpleType>
    </xsd:element>
    <xsd:element name="i85e4520245b48aa896a2e6f400e83f6" ma:index="20" nillable="true" ma:displayName="Level of Disclosure_0" ma:hidden="true" ma:internalName="i85e4520245b48aa896a2e6f400e83f6" ma:readOnly="false">
      <xsd:simpleType>
        <xsd:restriction base="dms:Note"/>
      </xsd:simpleType>
    </xsd:element>
    <xsd:element name="TaxKeywordTaxHTField" ma:index="21" nillable="true" ma:taxonomy="true" ma:internalName="TaxKeywordTaxHTField" ma:taxonomyFieldName="TaxKeyword" ma:displayName="Document Tags" ma:readOnly="false" ma:fieldId="{23f27201-bee3-471e-b2e7-b64fd8b7ca38}" ma:taxonomyMulti="true" ma:sspId="0cf2b176-d4dc-4d18-8c95-51f9f2dafcd3"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335f26-5599-450c-ba5a-6e1632a8eec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cf2b176-d4dc-4d18-8c95-51f9f2dafcd3"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YENTSOE_SiteType" ma:index="32" nillable="true" ma:displayName="Site Type" ma:default="MYENTSOE" ma:internalName="MYENTSOE_SiteType">
      <xsd:simpleType>
        <xsd:restriction base="dms:Text"/>
      </xsd:simpleType>
    </xsd:element>
    <xsd:element name="p87f609ec90749849b4eaa4af68adbfe" ma:index="34" nillable="true" ma:taxonomy="true" ma:internalName="p87f609ec90749849b4eaa4af68adbfe" ma:taxonomyFieldName="MYENTSOE_PublicType" ma:displayName="Public Type" ma:readOnly="false" ma:default="-1;#Extranet|922fc1ba-0c8d-4fbf-b30d-83722d0f30f2" ma:fieldId="{987f609e-c907-4984-9b4e-aa4af68adbfe}" ma:sspId="0cf2b176-d4dc-4d18-8c95-51f9f2dafcd3" ma:termSetId="a0d7c562-4a8e-458a-9f8a-6a29e3d3b260" ma:anchorId="00000000-0000-0000-0000-000000000000" ma:open="false" ma:isKeyword="false">
      <xsd:complexType>
        <xsd:sequence>
          <xsd:element ref="pc:Terms" minOccurs="0" maxOccurs="1"/>
        </xsd:sequence>
      </xsd:complexType>
    </xsd:element>
    <xsd:element name="ibd78dc81ef641589318afd51c980bcf" ma:index="36" nillable="true" ma:taxonomy="true" ma:internalName="ibd78dc81ef641589318afd51c980bcf" ma:taxonomyFieldName="MYENTSOE_Section" ma:displayName="Section" ma:readOnly="false" ma:default="-1;#SOC|9c3d8e82-100e-4fd9-bd38-ee954c2338b5" ma:fieldId="{2bd78dc8-1ef6-4158-9318-afd51c980bcf}" ma:sspId="0cf2b176-d4dc-4d18-8c95-51f9f2dafcd3" ma:termSetId="ca6f290f-ffad-40e7-8c84-e8889b665443" ma:anchorId="00000000-0000-0000-0000-000000000000" ma:open="false" ma:isKeyword="false">
      <xsd:complexType>
        <xsd:sequence>
          <xsd:element ref="pc:Terms" minOccurs="0" maxOccurs="1"/>
        </xsd:sequence>
      </xsd:complexType>
    </xsd:element>
    <xsd:element name="k56d23c01d3743a6945c5fa36e139d91" ma:index="38" nillable="true" ma:taxonomy="true" ma:internalName="k56d23c01d3743a6945c5fa36e139d91" ma:taxonomyFieldName="MYENTSOE_Classification1" ma:displayName="Classification 1" ma:readOnly="false" ma:fieldId="{456d23c0-1d37-43a6-945c-5fa36e139d91}"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g6ec5f7a0fb84ad6abe14054302bf787" ma:index="40" nillable="true" ma:taxonomy="true" ma:internalName="g6ec5f7a0fb84ad6abe14054302bf787" ma:taxonomyFieldName="MYENTSOE_Classification2" ma:displayName="Classification 2" ma:readOnly="false" ma:fieldId="{06ec5f7a-0fb8-4ad6-abe1-4054302bf787}"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mf8efaa782db47b3b34979f40b7aacc2" ma:index="42" nillable="true" ma:taxonomy="true" ma:internalName="mf8efaa782db47b3b34979f40b7aacc2" ma:taxonomyFieldName="MYENTSOE_Classification3" ma:displayName="Classification 3" ma:readOnly="false" ma:fieldId="{6f8efaa7-82db-47b3-b349-79f40b7aacc2}"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h332d8a76b2a4b0e8262d0ce0f735ab7" ma:index="44" nillable="true" ma:taxonomy="true" ma:internalName="h332d8a76b2a4b0e8262d0ce0f735ab7" ma:taxonomyFieldName="MYENTSOE_Classification4" ma:displayName="Classification 4" ma:readOnly="false" ma:fieldId="{1332d8a7-6b2a-4b0e-8262-d0ce0f735ab7}"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n90d2b5927824382b2ef93294822919a" ma:index="46" nillable="true" ma:taxonomy="true" ma:internalName="n90d2b5927824382b2ef93294822919a" ma:taxonomyFieldName="MYENTSOE_SharingType" ma:displayName="Sharing Type" ma:readOnly="false" ma:default="-1;#Shared|04da8cfa-2b68-4725-9db5-e7b66ab623e6" ma:fieldId="{790d2b59-2782-4382-b2ef-93294822919a}" ma:sspId="0cf2b176-d4dc-4d18-8c95-51f9f2dafcd3" ma:termSetId="09b229b3-e0b6-423a-b819-7f93001a6e2a" ma:anchorId="00000000-0000-0000-0000-000000000000" ma:open="false" ma:isKeyword="false">
      <xsd:complexType>
        <xsd:sequence>
          <xsd:element ref="pc:Terms" minOccurs="0" maxOccurs="1"/>
        </xsd:sequence>
      </xsd:complexType>
    </xsd:element>
    <xsd:element name="b2fab0f82de24177a2fa66b01b0da3e2" ma:index="48" nillable="true" ma:taxonomy="true" ma:internalName="b2fab0f82de24177a2fa66b01b0da3e2" ma:taxonomyFieldName="Confidentiality" ma:displayName="Confidentiality" ma:readOnly="false" ma:fieldId="{b2fab0f8-2de2-4177-a2fa-66b01b0da3e2}" ma:sspId="0cf2b176-d4dc-4d18-8c95-51f9f2dafcd3" ma:termSetId="1aeb3a4d-5a56-4fc5-b0c8-230b3cd7bda4" ma:anchorId="00000000-0000-0000-0000-000000000000" ma:open="false" ma:isKeyword="false">
      <xsd:complexType>
        <xsd:sequence>
          <xsd:element ref="pc:Terms" minOccurs="0" maxOccurs="1"/>
        </xsd:sequence>
      </xsd:complexType>
    </xsd:element>
    <xsd:element name="pa686dd9f5054c50a0e793e03c1f87e2" ma:index="50" nillable="true" ma:taxonomy="true" ma:internalName="pa686dd9f5054c50a0e793e03c1f87e2" ma:taxonomyFieldName="MYENTSOE_DataClassification" ma:displayName="Data Classification" ma:fieldId="{9a686dd9-f505-4c50-a0e7-93e03c1f87e2}" ma:sspId="0cf2b176-d4dc-4d18-8c95-51f9f2dafcd3" ma:termSetId="ed1fa8aa-003c-40ab-bfad-ae0429370d98" ma:anchorId="00000000-0000-0000-0000-000000000000" ma:open="false" ma:isKeyword="false">
      <xsd:complexType>
        <xsd:sequence>
          <xsd:element ref="pc:Terms" minOccurs="0" maxOccurs="1"/>
        </xsd:sequence>
      </xsd:complexType>
    </xsd:element>
    <xsd:element name="df610d335c314c699b17ffedb231281f" ma:index="52" nillable="true" ma:taxonomy="true" ma:internalName="df610d335c314c699b17ffedb231281f" ma:taxonomyFieldName="MYENTSOE_DocumentClassification" ma:displayName="Document Classification" ma:fieldId="{df610d33-5c31-4c69-9b17-ffedb231281f}" ma:sspId="0cf2b176-d4dc-4d18-8c95-51f9f2dafcd3" ma:termSetId="8b91b5eb-b01b-44d4-a921-6f52ae5aec30" ma:anchorId="00000000-0000-0000-0000-000000000000" ma:open="false" ma:isKeyword="false">
      <xsd:complexType>
        <xsd:sequence>
          <xsd:element ref="pc:Terms" minOccurs="0" maxOccurs="1"/>
        </xsd:sequence>
      </xsd:complexType>
    </xsd:element>
    <xsd:element name="SOC_x0020_Review" ma:index="53" nillable="true" ma:displayName="SOC Review" ma:internalName="SOC_x0020_Review">
      <xsd:simpleType>
        <xsd:restriction base="dms:Note">
          <xsd:maxLength value="255"/>
        </xsd:restriction>
      </xsd:simpleType>
    </xsd:element>
    <xsd:element name="l80749d9b3124061ba3b0001bd7103c0" ma:index="55" nillable="true" ma:taxonomy="true" ma:internalName="l80749d9b3124061ba3b0001bd7103c0" ma:taxonomyFieldName="Document_x0020_Category" ma:displayName="Document Category" ma:fieldId="{580749d9-b312-4061-ba3b-0001bd7103c0}" ma:sspId="0cf2b176-d4dc-4d18-8c95-51f9f2dafcd3" ma:termSetId="b6272f75-190c-4d15-bd6d-713db50139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fb2008-9808-4f29-aa32-2f66631018ed">
      <Value>60</Value>
      <Value>59</Value>
      <Value>58</Value>
    </TaxCatchAll>
    <MYENTSOE_SiteType xmlns="e3335f26-5599-450c-ba5a-6e1632a8eec8">MYENTSOE</MYENTSOE_SiteType>
    <Document_x0020_Type xmlns="e3fb2008-9808-4f29-aa32-2f66631018ed">122</Document_x0020_Type>
    <Business_x0020_Record xmlns="e3fb2008-9808-4f29-aa32-2f66631018ed">5</Business_x0020_Record>
    <Open_x0020_to_x0020_ACER xmlns="e3fb2008-9808-4f29-aa32-2f66631018ed">false</Open_x0020_to_x0020_ACER>
    <k56d23c01d3743a6945c5fa36e139d91 xmlns="e3335f26-5599-450c-ba5a-6e1632a8eec8">
      <Terms xmlns="http://schemas.microsoft.com/office/infopath/2007/PartnerControls"/>
    </k56d23c01d3743a6945c5fa36e139d91>
    <g6ec5f7a0fb84ad6abe14054302bf787 xmlns="e3335f26-5599-450c-ba5a-6e1632a8eec8">
      <Terms xmlns="http://schemas.microsoft.com/office/infopath/2007/PartnerControls"/>
    </g6ec5f7a0fb84ad6abe14054302bf787>
    <lcf76f155ced4ddcb4097134ff3c332f xmlns="e3335f26-5599-450c-ba5a-6e1632a8eec8">
      <Terms xmlns="http://schemas.microsoft.com/office/infopath/2007/PartnerControls"/>
    </lcf76f155ced4ddcb4097134ff3c332f>
    <h332d8a76b2a4b0e8262d0ce0f735ab7 xmlns="e3335f26-5599-450c-ba5a-6e1632a8eec8">
      <Terms xmlns="http://schemas.microsoft.com/office/infopath/2007/PartnerControls"/>
    </h332d8a76b2a4b0e8262d0ce0f735ab7>
    <mf8efaa782db47b3b34979f40b7aacc2 xmlns="e3335f26-5599-450c-ba5a-6e1632a8eec8">
      <Terms xmlns="http://schemas.microsoft.com/office/infopath/2007/PartnerControls"/>
    </mf8efaa782db47b3b34979f40b7aacc2>
    <o9b5552cd29f405b8612d2920cb859c4 xmlns="e3fb2008-9808-4f29-aa32-2f66631018ed" xsi:nil="true"/>
    <df610d335c314c699b17ffedb231281f xmlns="e3335f26-5599-450c-ba5a-6e1632a8eec8">
      <Terms xmlns="http://schemas.microsoft.com/office/infopath/2007/PartnerControls"/>
    </df610d335c314c699b17ffedb231281f>
    <i85e4520245b48aa896a2e6f400e83f6 xmlns="e3fb2008-9808-4f29-aa32-2f66631018ed" xsi:nil="true"/>
    <a11881793d4943049370f281afa2b378 xmlns="e3fb2008-9808-4f29-aa32-2f66631018ed" xsi:nil="true"/>
    <SOC_x0020_Review xmlns="e3335f26-5599-450c-ba5a-6e1632a8eec8" xsi:nil="true"/>
    <p87f609ec90749849b4eaa4af68adbfe xmlns="e3335f26-5599-450c-ba5a-6e1632a8eec8">
      <Terms xmlns="http://schemas.microsoft.com/office/infopath/2007/PartnerControls">
        <TermInfo xmlns="http://schemas.microsoft.com/office/infopath/2007/PartnerControls">
          <TermName xmlns="http://schemas.microsoft.com/office/infopath/2007/PartnerControls">Extranet</TermName>
          <TermId xmlns="http://schemas.microsoft.com/office/infopath/2007/PartnerControls">922fc1ba-0c8d-4fbf-b30d-83722d0f30f2</TermId>
        </TermInfo>
      </Terms>
    </p87f609ec90749849b4eaa4af68adbfe>
    <Approval_x0020_Level xmlns="e3fb2008-9808-4f29-aa32-2f66631018ed" xsi:nil="true"/>
    <b2fab0f82de24177a2fa66b01b0da3e2 xmlns="e3335f26-5599-450c-ba5a-6e1632a8eec8">
      <Terms xmlns="http://schemas.microsoft.com/office/infopath/2007/PartnerControls"/>
    </b2fab0f82de24177a2fa66b01b0da3e2>
    <pa686dd9f5054c50a0e793e03c1f87e2 xmlns="e3335f26-5599-450c-ba5a-6e1632a8eec8">
      <Terms xmlns="http://schemas.microsoft.com/office/infopath/2007/PartnerControls"/>
    </pa686dd9f5054c50a0e793e03c1f87e2>
    <Work_x0020_Area xmlns="e3fb2008-9808-4f29-aa32-2f66631018ed">71</Work_x0020_Area>
    <ibd78dc81ef641589318afd51c980bcf xmlns="e3335f26-5599-450c-ba5a-6e1632a8eec8">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9c3d8e82-100e-4fd9-bd38-ee954c2338b5</TermId>
        </TermInfo>
      </Terms>
    </ibd78dc81ef641589318afd51c980bcf>
    <l80749d9b3124061ba3b0001bd7103c0 xmlns="e3335f26-5599-450c-ba5a-6e1632a8eec8">
      <Terms xmlns="http://schemas.microsoft.com/office/infopath/2007/PartnerControls"/>
    </l80749d9b3124061ba3b0001bd7103c0>
    <Open_x0020_to_x0020_EC xmlns="e3fb2008-9808-4f29-aa32-2f66631018ed">false</Open_x0020_to_x0020_EC>
    <Meeting xmlns="e3fb2008-9808-4f29-aa32-2f66631018ed">251126</Meeting>
    <n90d2b5927824382b2ef93294822919a xmlns="e3335f26-5599-450c-ba5a-6e1632a8eec8">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04da8cfa-2b68-4725-9db5-e7b66ab623e6</TermId>
        </TermInfo>
      </Terms>
    </n90d2b5927824382b2ef93294822919a>
    <TaxKeywordTaxHTField xmlns="e3fb2008-9808-4f29-aa32-2f66631018ed">
      <Terms xmlns="http://schemas.microsoft.com/office/infopath/2007/PartnerControls"/>
    </TaxKeywordTaxHTField>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BA52A072-99A3-4FB8-89A6-1511E42F97A5}">
  <ds:schemaRefs>
    <ds:schemaRef ds:uri="http://schemas.openxmlformats.org/officeDocument/2006/bibliography"/>
  </ds:schemaRefs>
</ds:datastoreItem>
</file>

<file path=customXml/itemProps2.xml><?xml version="1.0" encoding="utf-8"?>
<ds:datastoreItem xmlns:ds="http://schemas.openxmlformats.org/officeDocument/2006/customXml" ds:itemID="{CB5FEF33-6F6E-4636-96E6-100A7494C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b2008-9808-4f29-aa32-2f66631018ed"/>
    <ds:schemaRef ds:uri="e3335f26-5599-450c-ba5a-6e1632a8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9F68D-8CC6-4118-8952-1827A1157866}">
  <ds:schemaRefs>
    <ds:schemaRef ds:uri="http://schemas.microsoft.com/office/2006/metadata/properties"/>
    <ds:schemaRef ds:uri="http://schemas.microsoft.com/office/infopath/2007/PartnerControls"/>
    <ds:schemaRef ds:uri="e3fb2008-9808-4f29-aa32-2f66631018ed"/>
    <ds:schemaRef ds:uri="e3335f26-5599-450c-ba5a-6e1632a8eec8"/>
  </ds:schemaRefs>
</ds:datastoreItem>
</file>

<file path=customXml/itemProps4.xml><?xml version="1.0" encoding="utf-8"?>
<ds:datastoreItem xmlns:ds="http://schemas.openxmlformats.org/officeDocument/2006/customXml" ds:itemID="{11EEEC03-D46C-41B5-BD17-243AC7992579}">
  <ds:schemaRefs>
    <ds:schemaRef ds:uri="http://schemas.microsoft.com/sharepoint/v3/contenttype/forms"/>
  </ds:schemaRefs>
</ds:datastoreItem>
</file>

<file path=docMetadata/LabelInfo.xml><?xml version="1.0" encoding="utf-8"?>
<clbl:labelList xmlns:clbl="http://schemas.microsoft.com/office/2020/mipLabelMetadata">
  <clbl:label id="{0b6350ac-a742-41fa-9153-5edc810a2895}" enabled="1" method="Privileged" siteId="{eccd734e-7022-4709-aba5-a5dd77929e2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5977</Characters>
  <Application>Microsoft Office Word</Application>
  <DocSecurity>0</DocSecurity>
  <Lines>49</Lines>
  <Paragraphs>14</Paragraphs>
  <ScaleCrop>false</ScaleCrop>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Steber, Dr. David</dc:creator>
  <cp:keywords/>
  <dc:description/>
  <cp:lastModifiedBy>Vesela Stefanova</cp:lastModifiedBy>
  <cp:revision>454</cp:revision>
  <dcterms:created xsi:type="dcterms:W3CDTF">2023-09-27T23:05:00Z</dcterms:created>
  <dcterms:modified xsi:type="dcterms:W3CDTF">2025-12-01T14:05:00Z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0x01010008D7FD8FC6DE514D854E05179026079901000C1C8D7ECA5DA84DADFDB69A31340058</vt:lpwstr>
  </property>
  <property fmtid="{D5CDD505-2E9C-101B-9397-08002B2CF9AE}" pid="3" name="MYENTSOE_Classification2">
    <vt:lpwstr/>
  </property>
  <property fmtid="{D5CDD505-2E9C-101B-9397-08002B2CF9AE}" pid="4" name="Confidentiality">
    <vt:lpwstr/>
  </property>
  <property fmtid="{D5CDD505-2E9C-101B-9397-08002B2CF9AE}" pid="5" name="MYENTSOE_Classification3">
    <vt:lpwstr/>
  </property>
  <property fmtid="{D5CDD505-2E9C-101B-9397-08002B2CF9AE}" pid="6" name="MYENTSOE_PublicType">
    <vt:lpwstr>58;#Extranet|922fc1ba-0c8d-4fbf-b30d-83722d0f30f2</vt:lpwstr>
  </property>
  <property fmtid="{D5CDD505-2E9C-101B-9397-08002B2CF9AE}" pid="7" name="MYENTSOE_SharingType">
    <vt:lpwstr>60;#Shared|04da8cfa-2b68-4725-9db5-e7b66ab623e6</vt:lpwstr>
  </property>
  <property fmtid="{D5CDD505-2E9C-101B-9397-08002B2CF9AE}" pid="8" name="MYENTSOE_DocumentClassification">
    <vt:lpwstr/>
  </property>
  <property fmtid="{D5CDD505-2E9C-101B-9397-08002B2CF9AE}" pid="9" name="MYENTSOE_Classification1">
    <vt:lpwstr/>
  </property>
  <property fmtid="{D5CDD505-2E9C-101B-9397-08002B2CF9AE}" pid="10" name="MYENTSOE_Section">
    <vt:lpwstr>59;#SOC|9c3d8e82-100e-4fd9-bd38-ee954c2338b5</vt:lpwstr>
  </property>
  <property fmtid="{D5CDD505-2E9C-101B-9397-08002B2CF9AE}" pid="11" name="MYENTSOE_Classification4">
    <vt:lpwstr/>
  </property>
  <property fmtid="{D5CDD505-2E9C-101B-9397-08002B2CF9AE}" pid="12" name="Document Category">
    <vt:lpwstr/>
  </property>
  <property fmtid="{D5CDD505-2E9C-101B-9397-08002B2CF9AE}" pid="13" name="Document_x0020_Category">
    <vt:lpwstr/>
  </property>
  <property fmtid="{D5CDD505-2E9C-101B-9397-08002B2CF9AE}" pid="14" name="MYENTSOE_DataClassification">
    <vt:lpwstr/>
  </property>
  <property fmtid="{D5CDD505-2E9C-101B-9397-08002B2CF9AE}" pid="15" name="MediaServiceImageTags">
    <vt:lpwstr/>
  </property>
  <property fmtid="{D5CDD505-2E9C-101B-9397-08002B2CF9AE}" pid="16" name="docLang">
    <vt:lpwstr>en</vt:lpwstr>
  </property>
  <property fmtid="{D5CDD505-2E9C-101B-9397-08002B2CF9AE}" pid="17" name="TaxKeyword">
    <vt:lpwstr/>
  </property>
</Properties>
</file>