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064F" w14:textId="77777777" w:rsidR="004F245D" w:rsidRPr="000542DC" w:rsidRDefault="004F245D" w:rsidP="00037049">
      <w:pPr>
        <w:pStyle w:val="Heading4"/>
        <w:ind w:left="0" w:firstLine="0"/>
        <w:rPr>
          <w:lang w:val="en-GB"/>
        </w:rPr>
      </w:pPr>
      <w:bookmarkStart w:id="0" w:name="_Toc378091729"/>
    </w:p>
    <w:tbl>
      <w:tblPr>
        <w:tblStyle w:val="TableGrid1"/>
        <w:tblpPr w:leftFromText="142" w:rightFromText="142" w:topFromText="5528" w:vertAnchor="page" w:horzAnchor="margin" w:tblpY="5161"/>
        <w:tblW w:w="0" w:type="auto"/>
        <w:tblBorders>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08"/>
      </w:tblGrid>
      <w:tr w:rsidR="004F245D" w:rsidRPr="00317646" w14:paraId="40A76A25" w14:textId="77777777" w:rsidTr="00FB6015">
        <w:trPr>
          <w:trHeight w:val="3232"/>
        </w:trPr>
        <w:tc>
          <w:tcPr>
            <w:tcW w:w="9508" w:type="dxa"/>
            <w:tcBorders>
              <w:bottom w:val="single" w:sz="4" w:space="0" w:color="auto"/>
            </w:tcBorders>
            <w:tcMar>
              <w:top w:w="198" w:type="dxa"/>
            </w:tcMar>
          </w:tcPr>
          <w:p w14:paraId="3C7DC97C" w14:textId="77777777" w:rsidR="004F245D" w:rsidRPr="00214816" w:rsidRDefault="00742B2C" w:rsidP="00460364">
            <w:pPr>
              <w:spacing w:after="280" w:line="600" w:lineRule="exact"/>
              <w:jc w:val="center"/>
              <w:rPr>
                <w:rFonts w:cs="Arial"/>
                <w:b/>
                <w:color w:val="002060"/>
                <w:sz w:val="36"/>
                <w:szCs w:val="44"/>
                <w:lang w:val="en-GB"/>
              </w:rPr>
            </w:pPr>
            <w:bookmarkStart w:id="1" w:name="_Hlk516064691"/>
            <w:r w:rsidRPr="00A22A51">
              <w:rPr>
                <w:rFonts w:ascii="Times New Roman" w:hAnsi="Times New Roman" w:cs="AvenirNext LT Com Regular"/>
                <w:sz w:val="38"/>
                <w:szCs w:val="38"/>
                <w:lang w:val="en-GB" w:eastAsia="fr-FR"/>
              </w:rPr>
              <w:t xml:space="preserve">The proposal of all Transmission System Operators performing the reserve replacement </w:t>
            </w:r>
            <w:r w:rsidR="000A0FA2" w:rsidRPr="00A22A51">
              <w:rPr>
                <w:rFonts w:ascii="Times New Roman" w:hAnsi="Times New Roman" w:cs="AvenirNext LT Com Regular"/>
                <w:sz w:val="38"/>
                <w:szCs w:val="38"/>
                <w:lang w:val="en-GB" w:eastAsia="fr-FR"/>
              </w:rPr>
              <w:t xml:space="preserve">process </w:t>
            </w:r>
            <w:r w:rsidRPr="00A22A51">
              <w:rPr>
                <w:rFonts w:ascii="Times New Roman" w:hAnsi="Times New Roman" w:cs="AvenirNext LT Com Regular"/>
                <w:sz w:val="38"/>
                <w:szCs w:val="38"/>
                <w:lang w:val="en-GB" w:eastAsia="fr-FR"/>
              </w:rPr>
              <w:t>for the implementation framework for the exchange of balancing energy from Replacement Reserves in accordance with Article 19 of Commission Regulation (EU) 2017/2195 of 23</w:t>
            </w:r>
            <w:r w:rsidR="00460364" w:rsidRPr="00A22A51">
              <w:rPr>
                <w:rFonts w:ascii="Times New Roman" w:hAnsi="Times New Roman" w:cs="AvenirNext LT Com Regular"/>
                <w:sz w:val="38"/>
                <w:szCs w:val="38"/>
                <w:lang w:val="en-GB" w:eastAsia="fr-FR"/>
              </w:rPr>
              <w:t xml:space="preserve"> </w:t>
            </w:r>
            <w:r w:rsidRPr="00A22A51">
              <w:rPr>
                <w:rFonts w:ascii="Times New Roman" w:hAnsi="Times New Roman" w:cs="AvenirNext LT Com Regular"/>
                <w:sz w:val="38"/>
                <w:szCs w:val="38"/>
                <w:lang w:val="en-GB" w:eastAsia="fr-FR"/>
              </w:rPr>
              <w:t>November 2017 establishing a guideline on electricity balancing</w:t>
            </w:r>
          </w:p>
        </w:tc>
      </w:tr>
      <w:tr w:rsidR="004F245D" w:rsidRPr="00317646" w14:paraId="67541CBF" w14:textId="77777777" w:rsidTr="00FB6015">
        <w:trPr>
          <w:trHeight w:val="214"/>
        </w:trPr>
        <w:tc>
          <w:tcPr>
            <w:tcW w:w="9508" w:type="dxa"/>
            <w:tcBorders>
              <w:top w:val="single" w:sz="4" w:space="0" w:color="auto"/>
              <w:bottom w:val="single" w:sz="8" w:space="0" w:color="auto"/>
            </w:tcBorders>
            <w:tcMar>
              <w:bottom w:w="142" w:type="dxa"/>
            </w:tcMar>
          </w:tcPr>
          <w:p w14:paraId="719FEDF2" w14:textId="77777777" w:rsidR="00FB6015" w:rsidRDefault="00FB6015" w:rsidP="001B663F">
            <w:pPr>
              <w:spacing w:line="320" w:lineRule="exact"/>
              <w:rPr>
                <w:rFonts w:cs="Arial"/>
                <w:sz w:val="36"/>
                <w:szCs w:val="29"/>
                <w:highlight w:val="yellow"/>
                <w:lang w:val="en-GB"/>
              </w:rPr>
            </w:pPr>
          </w:p>
          <w:p w14:paraId="1F785B52" w14:textId="77777777" w:rsidR="004F245D" w:rsidRPr="00317646" w:rsidRDefault="00A22A51" w:rsidP="00A22A51">
            <w:pPr>
              <w:jc w:val="center"/>
              <w:rPr>
                <w:rFonts w:cs="Arial"/>
                <w:sz w:val="36"/>
                <w:szCs w:val="29"/>
                <w:lang w:val="en-GB"/>
              </w:rPr>
            </w:pPr>
            <w:r>
              <w:rPr>
                <w:rFonts w:ascii="Times New Roman" w:hAnsi="Times New Roman" w:cs="AvenirNext LT Com Regular"/>
                <w:sz w:val="32"/>
                <w:szCs w:val="38"/>
                <w:lang w:val="en-GB" w:eastAsia="fr-FR"/>
              </w:rPr>
              <w:t>18 June 2018</w:t>
            </w:r>
          </w:p>
        </w:tc>
      </w:tr>
      <w:bookmarkEnd w:id="1"/>
    </w:tbl>
    <w:p w14:paraId="20DFC1ED" w14:textId="77777777" w:rsidR="004F245D" w:rsidRPr="00317646" w:rsidRDefault="004F245D" w:rsidP="004F245D">
      <w:pPr>
        <w:rPr>
          <w:rFonts w:ascii="Times New Roman" w:hAnsi="Times New Roman"/>
          <w:szCs w:val="22"/>
          <w:lang w:val="en-GB" w:eastAsia="en-US"/>
        </w:rPr>
      </w:pPr>
    </w:p>
    <w:p w14:paraId="431F6236" w14:textId="77777777" w:rsidR="004F245D" w:rsidRPr="00317646" w:rsidRDefault="004F245D" w:rsidP="004F245D">
      <w:pPr>
        <w:rPr>
          <w:rFonts w:ascii="Times New Roman" w:hAnsi="Times New Roman"/>
          <w:szCs w:val="22"/>
          <w:lang w:val="en-GB" w:eastAsia="en-US"/>
        </w:rPr>
      </w:pPr>
    </w:p>
    <w:p w14:paraId="2607858A" w14:textId="77777777" w:rsidR="004F245D" w:rsidRPr="00317646" w:rsidRDefault="004F245D" w:rsidP="004F245D">
      <w:pPr>
        <w:rPr>
          <w:rFonts w:ascii="Times New Roman" w:hAnsi="Times New Roman"/>
          <w:szCs w:val="22"/>
          <w:lang w:val="en-GB" w:eastAsia="en-US"/>
        </w:rPr>
      </w:pPr>
      <w:r w:rsidRPr="00317646">
        <w:rPr>
          <w:rFonts w:ascii="Times New Roman" w:hAnsi="Times New Roman"/>
          <w:szCs w:val="22"/>
          <w:lang w:val="en-GB" w:eastAsia="en-US"/>
        </w:rPr>
        <w:br w:type="page"/>
      </w:r>
    </w:p>
    <w:p w14:paraId="099AC365" w14:textId="77777777" w:rsidR="00704FAA" w:rsidRDefault="004F245D" w:rsidP="00704FAA">
      <w:pPr>
        <w:pStyle w:val="TOCHeading"/>
        <w:rPr>
          <w:rFonts w:ascii="Times New Roman" w:hAnsi="Times New Roman"/>
          <w:szCs w:val="22"/>
          <w:lang w:val="en-GB" w:eastAsia="en-US"/>
        </w:rPr>
      </w:pPr>
      <w:r w:rsidRPr="00317646">
        <w:rPr>
          <w:rFonts w:ascii="Times New Roman" w:hAnsi="Times New Roman"/>
          <w:szCs w:val="22"/>
          <w:lang w:val="en-GB" w:eastAsia="en-US"/>
        </w:rPr>
        <w:lastRenderedPageBreak/>
        <w:tab/>
      </w:r>
    </w:p>
    <w:sdt>
      <w:sdtPr>
        <w:rPr>
          <w:rFonts w:ascii="Arial" w:eastAsia="Times New Roman" w:hAnsi="Arial" w:cs="Times New Roman"/>
          <w:b w:val="0"/>
          <w:bCs w:val="0"/>
          <w:color w:val="auto"/>
          <w:sz w:val="22"/>
          <w:szCs w:val="24"/>
          <w:lang w:val="en-GB"/>
        </w:rPr>
        <w:id w:val="-2118130768"/>
        <w:docPartObj>
          <w:docPartGallery w:val="Table of Contents"/>
          <w:docPartUnique/>
        </w:docPartObj>
      </w:sdtPr>
      <w:sdtEndPr>
        <w:rPr>
          <w:noProof/>
        </w:rPr>
      </w:sdtEndPr>
      <w:sdtContent>
        <w:p w14:paraId="1146BF61" w14:textId="77777777" w:rsidR="00704FAA" w:rsidRDefault="00704FAA" w:rsidP="00704FAA">
          <w:pPr>
            <w:pStyle w:val="TOCHeading"/>
            <w:rPr>
              <w:lang w:val="en-GB"/>
            </w:rPr>
          </w:pPr>
          <w:r w:rsidRPr="0080608B">
            <w:rPr>
              <w:lang w:val="en-GB"/>
            </w:rPr>
            <w:t>Content</w:t>
          </w:r>
        </w:p>
        <w:p w14:paraId="62289CDD" w14:textId="77777777" w:rsidR="00704FAA" w:rsidRPr="00E611B7" w:rsidRDefault="00704FAA" w:rsidP="00704FAA">
          <w:pPr>
            <w:rPr>
              <w:lang w:val="en-GB"/>
            </w:rPr>
          </w:pPr>
        </w:p>
        <w:p w14:paraId="5975FCDB" w14:textId="53E1B017" w:rsidR="00E611B7" w:rsidRPr="00E611B7" w:rsidRDefault="00704FAA">
          <w:pPr>
            <w:pStyle w:val="TOC1"/>
            <w:tabs>
              <w:tab w:val="right" w:leader="dot" w:pos="9514"/>
            </w:tabs>
            <w:rPr>
              <w:rFonts w:asciiTheme="minorHAnsi" w:eastAsiaTheme="minorEastAsia" w:hAnsiTheme="minorHAnsi" w:cstheme="minorBidi"/>
              <w:noProof/>
              <w:szCs w:val="22"/>
              <w:lang w:val="en-GB" w:eastAsia="en-GB"/>
            </w:rPr>
          </w:pPr>
          <w:r w:rsidRPr="00E611B7">
            <w:rPr>
              <w:rStyle w:val="Hyperlink"/>
              <w:rFonts w:asciiTheme="minorHAnsi" w:hAnsiTheme="minorHAnsi"/>
              <w:i/>
              <w:iCs/>
              <w:noProof/>
              <w:color w:val="auto"/>
              <w:sz w:val="20"/>
              <w:szCs w:val="20"/>
              <w:u w:val="none"/>
              <w:lang w:val="fr-FR" w:eastAsia="fr-FR"/>
            </w:rPr>
            <w:fldChar w:fldCharType="begin"/>
          </w:r>
          <w:r w:rsidRPr="00E611B7">
            <w:rPr>
              <w:rStyle w:val="Hyperlink"/>
              <w:rFonts w:asciiTheme="minorHAnsi" w:hAnsiTheme="minorHAnsi"/>
              <w:i/>
              <w:iCs/>
              <w:noProof/>
              <w:color w:val="auto"/>
              <w:sz w:val="20"/>
              <w:szCs w:val="20"/>
              <w:u w:val="none"/>
              <w:lang w:val="fr-FR" w:eastAsia="fr-FR"/>
            </w:rPr>
            <w:instrText xml:space="preserve"> TOC \o "1-3" \h \z \u </w:instrText>
          </w:r>
          <w:r w:rsidRPr="00E611B7">
            <w:rPr>
              <w:rStyle w:val="Hyperlink"/>
              <w:rFonts w:asciiTheme="minorHAnsi" w:hAnsiTheme="minorHAnsi"/>
              <w:i/>
              <w:iCs/>
              <w:noProof/>
              <w:color w:val="auto"/>
              <w:sz w:val="20"/>
              <w:szCs w:val="20"/>
              <w:u w:val="none"/>
              <w:lang w:val="fr-FR" w:eastAsia="fr-FR"/>
            </w:rPr>
            <w:fldChar w:fldCharType="separate"/>
          </w:r>
          <w:hyperlink w:anchor="_Toc51082146" w:history="1">
            <w:r w:rsidR="00E611B7" w:rsidRPr="00E611B7">
              <w:rPr>
                <w:rStyle w:val="Hyperlink"/>
                <w:rFonts w:ascii="Times New Roman" w:hAnsi="Times New Roman" w:cs="Arial"/>
                <w:noProof/>
                <w:lang w:val="en-GB" w:eastAsia="en-US"/>
              </w:rPr>
              <w:t>Whereas</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_Toc51082146 \h </w:instrText>
            </w:r>
            <w:r w:rsidR="00E611B7" w:rsidRPr="00E611B7">
              <w:rPr>
                <w:noProof/>
                <w:webHidden/>
              </w:rPr>
            </w:r>
            <w:r w:rsidR="00E611B7" w:rsidRPr="00E611B7">
              <w:rPr>
                <w:noProof/>
                <w:webHidden/>
              </w:rPr>
              <w:fldChar w:fldCharType="separate"/>
            </w:r>
            <w:r w:rsidR="00E611B7" w:rsidRPr="00E611B7">
              <w:rPr>
                <w:noProof/>
                <w:webHidden/>
              </w:rPr>
              <w:t>3</w:t>
            </w:r>
            <w:r w:rsidR="00E611B7" w:rsidRPr="00E611B7">
              <w:rPr>
                <w:noProof/>
                <w:webHidden/>
              </w:rPr>
              <w:fldChar w:fldCharType="end"/>
            </w:r>
          </w:hyperlink>
        </w:p>
        <w:p w14:paraId="1E724D0E" w14:textId="60A7BF9E" w:rsidR="00E611B7" w:rsidRPr="00E611B7" w:rsidRDefault="0073035F">
          <w:pPr>
            <w:pStyle w:val="TOC1"/>
            <w:tabs>
              <w:tab w:val="right" w:leader="dot" w:pos="9514"/>
            </w:tabs>
            <w:rPr>
              <w:rFonts w:asciiTheme="minorHAnsi" w:eastAsiaTheme="minorEastAsia" w:hAnsiTheme="minorHAnsi" w:cstheme="minorBidi"/>
              <w:noProof/>
              <w:szCs w:val="22"/>
              <w:lang w:val="en-GB" w:eastAsia="en-GB"/>
            </w:rPr>
          </w:pPr>
          <w:hyperlink w:anchor="_Toc51082147" w:history="1">
            <w:r w:rsidR="00E611B7" w:rsidRPr="00E611B7">
              <w:rPr>
                <w:rStyle w:val="Hyperlink"/>
                <w:rFonts w:ascii="Times New Roman" w:hAnsi="Times New Roman" w:cs="Arial"/>
                <w:noProof/>
                <w:lang w:val="en-GB" w:eastAsia="en-US"/>
              </w:rPr>
              <w:t>Abbreviations</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_Toc51082147 \h </w:instrText>
            </w:r>
            <w:r w:rsidR="00E611B7" w:rsidRPr="00E611B7">
              <w:rPr>
                <w:noProof/>
                <w:webHidden/>
              </w:rPr>
            </w:r>
            <w:r w:rsidR="00E611B7" w:rsidRPr="00E611B7">
              <w:rPr>
                <w:noProof/>
                <w:webHidden/>
              </w:rPr>
              <w:fldChar w:fldCharType="separate"/>
            </w:r>
            <w:r w:rsidR="00E611B7" w:rsidRPr="00E611B7">
              <w:rPr>
                <w:noProof/>
                <w:webHidden/>
              </w:rPr>
              <w:t>6</w:t>
            </w:r>
            <w:r w:rsidR="00E611B7" w:rsidRPr="00E611B7">
              <w:rPr>
                <w:noProof/>
                <w:webHidden/>
              </w:rPr>
              <w:fldChar w:fldCharType="end"/>
            </w:r>
          </w:hyperlink>
        </w:p>
        <w:p w14:paraId="2202D05A" w14:textId="66F85B49"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48" w:history="1">
            <w:r w:rsidR="00E611B7" w:rsidRPr="00E611B7">
              <w:rPr>
                <w:rStyle w:val="Hyperlink"/>
                <w:rFonts w:ascii="Times New Roman" w:hAnsi="Times New Roman" w:cs="Arial"/>
                <w:noProof/>
                <w:lang w:val="en-GB" w:eastAsia="en-US"/>
              </w:rPr>
              <w:t>Article 1 Subject matter and scope</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_Toc51082148 \h </w:instrText>
            </w:r>
            <w:r w:rsidR="00E611B7" w:rsidRPr="00E611B7">
              <w:rPr>
                <w:noProof/>
                <w:webHidden/>
              </w:rPr>
            </w:r>
            <w:r w:rsidR="00E611B7" w:rsidRPr="00E611B7">
              <w:rPr>
                <w:noProof/>
                <w:webHidden/>
              </w:rPr>
              <w:fldChar w:fldCharType="separate"/>
            </w:r>
            <w:r w:rsidR="00E611B7" w:rsidRPr="00E611B7">
              <w:rPr>
                <w:noProof/>
                <w:webHidden/>
              </w:rPr>
              <w:t>6</w:t>
            </w:r>
            <w:r w:rsidR="00E611B7" w:rsidRPr="00E611B7">
              <w:rPr>
                <w:noProof/>
                <w:webHidden/>
              </w:rPr>
              <w:fldChar w:fldCharType="end"/>
            </w:r>
          </w:hyperlink>
        </w:p>
        <w:p w14:paraId="60FFE45C" w14:textId="13217E83"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49" w:history="1">
            <w:r w:rsidR="00E611B7" w:rsidRPr="00E611B7">
              <w:rPr>
                <w:rStyle w:val="Hyperlink"/>
                <w:rFonts w:ascii="Times New Roman" w:hAnsi="Times New Roman" w:cs="Arial"/>
                <w:noProof/>
                <w:lang w:val="en-GB" w:eastAsia="en-US"/>
              </w:rPr>
              <w:t>Article 2 Definitions and interpretations</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_Toc51082149 \h </w:instrText>
            </w:r>
            <w:r w:rsidR="00E611B7" w:rsidRPr="00E611B7">
              <w:rPr>
                <w:noProof/>
                <w:webHidden/>
              </w:rPr>
            </w:r>
            <w:r w:rsidR="00E611B7" w:rsidRPr="00E611B7">
              <w:rPr>
                <w:noProof/>
                <w:webHidden/>
              </w:rPr>
              <w:fldChar w:fldCharType="separate"/>
            </w:r>
            <w:r w:rsidR="00E611B7" w:rsidRPr="00E611B7">
              <w:rPr>
                <w:noProof/>
                <w:webHidden/>
              </w:rPr>
              <w:t>6</w:t>
            </w:r>
            <w:r w:rsidR="00E611B7" w:rsidRPr="00E611B7">
              <w:rPr>
                <w:noProof/>
                <w:webHidden/>
              </w:rPr>
              <w:fldChar w:fldCharType="end"/>
            </w:r>
          </w:hyperlink>
        </w:p>
        <w:p w14:paraId="53E88B31" w14:textId="3F899D49"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50" w:history="1">
            <w:r w:rsidR="00E611B7" w:rsidRPr="00E611B7">
              <w:rPr>
                <w:rStyle w:val="Hyperlink"/>
                <w:rFonts w:ascii="Times New Roman" w:hAnsi="Times New Roman" w:cs="Arial"/>
                <w:noProof/>
                <w:lang w:val="en-GB" w:eastAsia="en-US"/>
              </w:rPr>
              <w:t>Article 3 High-level design of the RR-Platform</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_Toc51082150 \h </w:instrText>
            </w:r>
            <w:r w:rsidR="00E611B7" w:rsidRPr="00E611B7">
              <w:rPr>
                <w:noProof/>
                <w:webHidden/>
              </w:rPr>
            </w:r>
            <w:r w:rsidR="00E611B7" w:rsidRPr="00E611B7">
              <w:rPr>
                <w:noProof/>
                <w:webHidden/>
              </w:rPr>
              <w:fldChar w:fldCharType="separate"/>
            </w:r>
            <w:r w:rsidR="00E611B7" w:rsidRPr="00E611B7">
              <w:rPr>
                <w:noProof/>
                <w:webHidden/>
              </w:rPr>
              <w:t>8</w:t>
            </w:r>
            <w:r w:rsidR="00E611B7" w:rsidRPr="00E611B7">
              <w:rPr>
                <w:noProof/>
                <w:webHidden/>
              </w:rPr>
              <w:fldChar w:fldCharType="end"/>
            </w:r>
          </w:hyperlink>
        </w:p>
        <w:p w14:paraId="1B30B49D" w14:textId="0C611E60"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51" w:history="1">
            <w:r w:rsidR="00E611B7" w:rsidRPr="00E611B7">
              <w:rPr>
                <w:rStyle w:val="Hyperlink"/>
                <w:rFonts w:ascii="Times New Roman" w:hAnsi="Times New Roman" w:cs="Arial"/>
                <w:noProof/>
                <w:lang w:val="en-GB" w:eastAsia="en-US"/>
              </w:rPr>
              <w:t>Article 4 The roadmap and timeline for the implementation of the RR-Platform</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_Toc51082151 \h </w:instrText>
            </w:r>
            <w:r w:rsidR="00E611B7" w:rsidRPr="00E611B7">
              <w:rPr>
                <w:noProof/>
                <w:webHidden/>
              </w:rPr>
            </w:r>
            <w:r w:rsidR="00E611B7" w:rsidRPr="00E611B7">
              <w:rPr>
                <w:noProof/>
                <w:webHidden/>
              </w:rPr>
              <w:fldChar w:fldCharType="separate"/>
            </w:r>
            <w:r w:rsidR="00E611B7" w:rsidRPr="00E611B7">
              <w:rPr>
                <w:noProof/>
                <w:webHidden/>
              </w:rPr>
              <w:t>9</w:t>
            </w:r>
            <w:r w:rsidR="00E611B7" w:rsidRPr="00E611B7">
              <w:rPr>
                <w:noProof/>
                <w:webHidden/>
              </w:rPr>
              <w:fldChar w:fldCharType="end"/>
            </w:r>
          </w:hyperlink>
        </w:p>
        <w:p w14:paraId="368DAE66" w14:textId="43E09A21"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52" w:history="1">
            <w:r w:rsidR="00E611B7" w:rsidRPr="00E611B7">
              <w:rPr>
                <w:rStyle w:val="Hyperlink"/>
                <w:rFonts w:ascii="Times New Roman" w:hAnsi="Times New Roman" w:cs="Arial"/>
                <w:noProof/>
                <w:lang w:val="en-GB" w:eastAsia="en-US"/>
              </w:rPr>
              <w:t>Article 5 Functions of the RR-Platform</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_Toc51082152 \h </w:instrText>
            </w:r>
            <w:r w:rsidR="00E611B7" w:rsidRPr="00E611B7">
              <w:rPr>
                <w:noProof/>
                <w:webHidden/>
              </w:rPr>
            </w:r>
            <w:r w:rsidR="00E611B7" w:rsidRPr="00E611B7">
              <w:rPr>
                <w:noProof/>
                <w:webHidden/>
              </w:rPr>
              <w:fldChar w:fldCharType="separate"/>
            </w:r>
            <w:r w:rsidR="00E611B7" w:rsidRPr="00E611B7">
              <w:rPr>
                <w:noProof/>
                <w:webHidden/>
              </w:rPr>
              <w:t>10</w:t>
            </w:r>
            <w:r w:rsidR="00E611B7" w:rsidRPr="00E611B7">
              <w:rPr>
                <w:noProof/>
                <w:webHidden/>
              </w:rPr>
              <w:fldChar w:fldCharType="end"/>
            </w:r>
          </w:hyperlink>
        </w:p>
        <w:p w14:paraId="74683DD7" w14:textId="310A487E"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53" w:history="1">
            <w:r w:rsidR="00E611B7" w:rsidRPr="00E611B7">
              <w:rPr>
                <w:rStyle w:val="Hyperlink"/>
                <w:rFonts w:ascii="Times New Roman" w:hAnsi="Times New Roman" w:cs="Arial"/>
                <w:noProof/>
                <w:lang w:val="en-GB" w:eastAsia="en-US"/>
              </w:rPr>
              <w:t>Article 6 Definition of the RR Standard Product</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_Toc51082153 \h </w:instrText>
            </w:r>
            <w:r w:rsidR="00E611B7" w:rsidRPr="00E611B7">
              <w:rPr>
                <w:noProof/>
                <w:webHidden/>
              </w:rPr>
            </w:r>
            <w:r w:rsidR="00E611B7" w:rsidRPr="00E611B7">
              <w:rPr>
                <w:noProof/>
                <w:webHidden/>
              </w:rPr>
              <w:fldChar w:fldCharType="separate"/>
            </w:r>
            <w:r w:rsidR="00E611B7" w:rsidRPr="00E611B7">
              <w:rPr>
                <w:noProof/>
                <w:webHidden/>
              </w:rPr>
              <w:t>11</w:t>
            </w:r>
            <w:r w:rsidR="00E611B7" w:rsidRPr="00E611B7">
              <w:rPr>
                <w:noProof/>
                <w:webHidden/>
              </w:rPr>
              <w:fldChar w:fldCharType="end"/>
            </w:r>
          </w:hyperlink>
        </w:p>
        <w:p w14:paraId="5E19698C" w14:textId="300578C9"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54" w:history="1">
            <w:r w:rsidR="00E611B7" w:rsidRPr="00E611B7">
              <w:rPr>
                <w:rStyle w:val="Hyperlink"/>
                <w:rFonts w:ascii="Times New Roman" w:hAnsi="Times New Roman" w:cs="Arial"/>
                <w:noProof/>
                <w:lang w:val="en-GB" w:eastAsia="en-US"/>
              </w:rPr>
              <w:t>Article 7 Gate closure time for RR standard product energy bids</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_Toc51082154 \h </w:instrText>
            </w:r>
            <w:r w:rsidR="00E611B7" w:rsidRPr="00E611B7">
              <w:rPr>
                <w:noProof/>
                <w:webHidden/>
              </w:rPr>
            </w:r>
            <w:r w:rsidR="00E611B7" w:rsidRPr="00E611B7">
              <w:rPr>
                <w:noProof/>
                <w:webHidden/>
              </w:rPr>
              <w:fldChar w:fldCharType="separate"/>
            </w:r>
            <w:r w:rsidR="00E611B7" w:rsidRPr="00E611B7">
              <w:rPr>
                <w:noProof/>
                <w:webHidden/>
              </w:rPr>
              <w:t>12</w:t>
            </w:r>
            <w:r w:rsidR="00E611B7" w:rsidRPr="00E611B7">
              <w:rPr>
                <w:noProof/>
                <w:webHidden/>
              </w:rPr>
              <w:fldChar w:fldCharType="end"/>
            </w:r>
          </w:hyperlink>
        </w:p>
        <w:p w14:paraId="0FF31739" w14:textId="688B198E"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55" w:history="1">
            <w:r w:rsidR="00E611B7" w:rsidRPr="00E611B7">
              <w:rPr>
                <w:rStyle w:val="Hyperlink"/>
                <w:rFonts w:ascii="Times New Roman" w:hAnsi="Times New Roman" w:cs="Arial"/>
                <w:noProof/>
                <w:lang w:val="en-GB" w:eastAsia="en-US"/>
              </w:rPr>
              <w:t>Article 8 TSO energy bid submission gate closure time for RR</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_Toc51082155 \h </w:instrText>
            </w:r>
            <w:r w:rsidR="00E611B7" w:rsidRPr="00E611B7">
              <w:rPr>
                <w:noProof/>
                <w:webHidden/>
              </w:rPr>
            </w:r>
            <w:r w:rsidR="00E611B7" w:rsidRPr="00E611B7">
              <w:rPr>
                <w:noProof/>
                <w:webHidden/>
              </w:rPr>
              <w:fldChar w:fldCharType="separate"/>
            </w:r>
            <w:r w:rsidR="00E611B7" w:rsidRPr="00E611B7">
              <w:rPr>
                <w:noProof/>
                <w:webHidden/>
              </w:rPr>
              <w:t>12</w:t>
            </w:r>
            <w:r w:rsidR="00E611B7" w:rsidRPr="00E611B7">
              <w:rPr>
                <w:noProof/>
                <w:webHidden/>
              </w:rPr>
              <w:fldChar w:fldCharType="end"/>
            </w:r>
          </w:hyperlink>
        </w:p>
        <w:p w14:paraId="7BCEA6BE" w14:textId="48E08D36"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56" w:history="1">
            <w:r w:rsidR="00E611B7" w:rsidRPr="00E611B7">
              <w:rPr>
                <w:rStyle w:val="Hyperlink"/>
                <w:rFonts w:ascii="Times New Roman" w:hAnsi="Times New Roman" w:cs="Arial"/>
                <w:noProof/>
                <w:lang w:val="en-GB" w:eastAsia="en-US"/>
              </w:rPr>
              <w:t>Article 9 Common merit order lists to be organised by the activation optimisation function</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_Toc51082156 \h </w:instrText>
            </w:r>
            <w:r w:rsidR="00E611B7" w:rsidRPr="00E611B7">
              <w:rPr>
                <w:noProof/>
                <w:webHidden/>
              </w:rPr>
            </w:r>
            <w:r w:rsidR="00E611B7" w:rsidRPr="00E611B7">
              <w:rPr>
                <w:noProof/>
                <w:webHidden/>
              </w:rPr>
              <w:fldChar w:fldCharType="separate"/>
            </w:r>
            <w:r w:rsidR="00E611B7" w:rsidRPr="00E611B7">
              <w:rPr>
                <w:noProof/>
                <w:webHidden/>
              </w:rPr>
              <w:t>12</w:t>
            </w:r>
            <w:r w:rsidR="00E611B7" w:rsidRPr="00E611B7">
              <w:rPr>
                <w:noProof/>
                <w:webHidden/>
              </w:rPr>
              <w:fldChar w:fldCharType="end"/>
            </w:r>
          </w:hyperlink>
        </w:p>
        <w:p w14:paraId="41DFBA57" w14:textId="693979A2"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57" w:history="1">
            <w:r w:rsidR="00E611B7" w:rsidRPr="00E611B7">
              <w:rPr>
                <w:rStyle w:val="Hyperlink"/>
                <w:rFonts w:ascii="Times New Roman" w:hAnsi="Times New Roman" w:cs="Arial"/>
                <w:noProof/>
                <w:lang w:val="en-GB" w:eastAsia="en-US"/>
              </w:rPr>
              <w:t>Article 10 Rules for governance and operation of entity operating the platform and proposed appointed entity</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_Toc51082157 \h </w:instrText>
            </w:r>
            <w:r w:rsidR="00E611B7" w:rsidRPr="00E611B7">
              <w:rPr>
                <w:noProof/>
                <w:webHidden/>
              </w:rPr>
            </w:r>
            <w:r w:rsidR="00E611B7" w:rsidRPr="00E611B7">
              <w:rPr>
                <w:noProof/>
                <w:webHidden/>
              </w:rPr>
              <w:fldChar w:fldCharType="separate"/>
            </w:r>
            <w:r w:rsidR="00E611B7" w:rsidRPr="00E611B7">
              <w:rPr>
                <w:noProof/>
                <w:webHidden/>
              </w:rPr>
              <w:t>13</w:t>
            </w:r>
            <w:r w:rsidR="00E611B7" w:rsidRPr="00E611B7">
              <w:rPr>
                <w:noProof/>
                <w:webHidden/>
              </w:rPr>
              <w:fldChar w:fldCharType="end"/>
            </w:r>
          </w:hyperlink>
        </w:p>
        <w:p w14:paraId="3EFC6410" w14:textId="53F94D61"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58" w:history="1">
            <w:r w:rsidR="00E611B7" w:rsidRPr="00E611B7">
              <w:rPr>
                <w:rStyle w:val="Hyperlink"/>
                <w:rFonts w:ascii="Times New Roman" w:hAnsi="Times New Roman" w:cs="Arial"/>
                <w:noProof/>
                <w:lang w:val="en-GB" w:eastAsia="en-US"/>
              </w:rPr>
              <w:t>Article 11 Framework for harmonization of terms and conditions</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_Toc51082158 \h </w:instrText>
            </w:r>
            <w:r w:rsidR="00E611B7" w:rsidRPr="00E611B7">
              <w:rPr>
                <w:noProof/>
                <w:webHidden/>
              </w:rPr>
            </w:r>
            <w:r w:rsidR="00E611B7" w:rsidRPr="00E611B7">
              <w:rPr>
                <w:noProof/>
                <w:webHidden/>
              </w:rPr>
              <w:fldChar w:fldCharType="separate"/>
            </w:r>
            <w:r w:rsidR="00E611B7" w:rsidRPr="00E611B7">
              <w:rPr>
                <w:noProof/>
                <w:webHidden/>
              </w:rPr>
              <w:t>13</w:t>
            </w:r>
            <w:r w:rsidR="00E611B7" w:rsidRPr="00E611B7">
              <w:rPr>
                <w:noProof/>
                <w:webHidden/>
              </w:rPr>
              <w:fldChar w:fldCharType="end"/>
            </w:r>
          </w:hyperlink>
        </w:p>
        <w:p w14:paraId="73978616" w14:textId="2505117A"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59" w:history="1">
            <w:r w:rsidR="00E611B7" w:rsidRPr="00E611B7">
              <w:rPr>
                <w:rStyle w:val="Hyperlink"/>
                <w:rFonts w:ascii="Times New Roman" w:hAnsi="Times New Roman" w:cs="Arial"/>
                <w:noProof/>
                <w:lang w:val="en-GB" w:eastAsia="en-US"/>
              </w:rPr>
              <w:t>Article 12 Cost Sharing Principles</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_Toc51082159 \h </w:instrText>
            </w:r>
            <w:r w:rsidR="00E611B7" w:rsidRPr="00E611B7">
              <w:rPr>
                <w:noProof/>
                <w:webHidden/>
              </w:rPr>
            </w:r>
            <w:r w:rsidR="00E611B7" w:rsidRPr="00E611B7">
              <w:rPr>
                <w:noProof/>
                <w:webHidden/>
              </w:rPr>
              <w:fldChar w:fldCharType="separate"/>
            </w:r>
            <w:r w:rsidR="00E611B7" w:rsidRPr="00E611B7">
              <w:rPr>
                <w:noProof/>
                <w:webHidden/>
              </w:rPr>
              <w:t>14</w:t>
            </w:r>
            <w:r w:rsidR="00E611B7" w:rsidRPr="00E611B7">
              <w:rPr>
                <w:noProof/>
                <w:webHidden/>
              </w:rPr>
              <w:fldChar w:fldCharType="end"/>
            </w:r>
          </w:hyperlink>
        </w:p>
        <w:p w14:paraId="16FFF6C0" w14:textId="60F0A19C"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60" w:history="1">
            <w:r w:rsidR="00E611B7" w:rsidRPr="00E611B7">
              <w:rPr>
                <w:rStyle w:val="Hyperlink"/>
                <w:rFonts w:ascii="Times New Roman" w:hAnsi="Times New Roman" w:cs="Arial"/>
                <w:noProof/>
                <w:lang w:val="en-GB" w:eastAsia="en-US"/>
              </w:rPr>
              <w:t>Article 13 Description of the optimisation algorithm</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_Toc51082160 \h </w:instrText>
            </w:r>
            <w:r w:rsidR="00E611B7" w:rsidRPr="00E611B7">
              <w:rPr>
                <w:noProof/>
                <w:webHidden/>
              </w:rPr>
            </w:r>
            <w:r w:rsidR="00E611B7" w:rsidRPr="00E611B7">
              <w:rPr>
                <w:noProof/>
                <w:webHidden/>
              </w:rPr>
              <w:fldChar w:fldCharType="separate"/>
            </w:r>
            <w:r w:rsidR="00E611B7" w:rsidRPr="00E611B7">
              <w:rPr>
                <w:noProof/>
                <w:webHidden/>
              </w:rPr>
              <w:t>15</w:t>
            </w:r>
            <w:r w:rsidR="00E611B7" w:rsidRPr="00E611B7">
              <w:rPr>
                <w:noProof/>
                <w:webHidden/>
              </w:rPr>
              <w:fldChar w:fldCharType="end"/>
            </w:r>
          </w:hyperlink>
        </w:p>
        <w:p w14:paraId="74A9E7DB" w14:textId="3F79A959" w:rsidR="00E611B7" w:rsidRPr="00E611B7" w:rsidRDefault="0073035F">
          <w:pPr>
            <w:pStyle w:val="TOC2"/>
            <w:tabs>
              <w:tab w:val="right" w:leader="dot" w:pos="9514"/>
            </w:tabs>
            <w:rPr>
              <w:rFonts w:asciiTheme="minorHAnsi" w:eastAsiaTheme="minorEastAsia" w:hAnsiTheme="minorHAnsi" w:cstheme="minorBidi"/>
              <w:noProof/>
              <w:szCs w:val="22"/>
              <w:lang w:val="en-GB" w:eastAsia="en-GB"/>
            </w:rPr>
          </w:pPr>
          <w:hyperlink w:anchor="_Toc51082161" w:history="1">
            <w:r w:rsidR="00E611B7" w:rsidRPr="00E611B7">
              <w:rPr>
                <w:rStyle w:val="Hyperlink"/>
                <w:rFonts w:ascii="Times New Roman" w:hAnsi="Times New Roman" w:cs="Arial"/>
                <w:noProof/>
                <w:lang w:val="en-GB" w:eastAsia="en-US"/>
              </w:rPr>
              <w:t>Article 14 Language</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_Toc51082161 \h </w:instrText>
            </w:r>
            <w:r w:rsidR="00E611B7" w:rsidRPr="00E611B7">
              <w:rPr>
                <w:noProof/>
                <w:webHidden/>
              </w:rPr>
            </w:r>
            <w:r w:rsidR="00E611B7" w:rsidRPr="00E611B7">
              <w:rPr>
                <w:noProof/>
                <w:webHidden/>
              </w:rPr>
              <w:fldChar w:fldCharType="separate"/>
            </w:r>
            <w:r w:rsidR="00E611B7" w:rsidRPr="00E611B7">
              <w:rPr>
                <w:noProof/>
                <w:webHidden/>
              </w:rPr>
              <w:t>17</w:t>
            </w:r>
            <w:r w:rsidR="00E611B7" w:rsidRPr="00E611B7">
              <w:rPr>
                <w:noProof/>
                <w:webHidden/>
              </w:rPr>
              <w:fldChar w:fldCharType="end"/>
            </w:r>
          </w:hyperlink>
        </w:p>
        <w:p w14:paraId="3530C108" w14:textId="2E9C4602" w:rsidR="00E611B7" w:rsidRPr="00E611B7" w:rsidRDefault="0073035F">
          <w:pPr>
            <w:pStyle w:val="TOC1"/>
            <w:tabs>
              <w:tab w:val="right" w:leader="dot" w:pos="9514"/>
            </w:tabs>
            <w:rPr>
              <w:rFonts w:asciiTheme="minorHAnsi" w:eastAsiaTheme="minorEastAsia" w:hAnsiTheme="minorHAnsi" w:cstheme="minorBidi"/>
              <w:noProof/>
              <w:szCs w:val="22"/>
              <w:lang w:val="en-GB" w:eastAsia="en-GB"/>
            </w:rPr>
          </w:pPr>
          <w:hyperlink w:anchor="_Toc51082162" w:history="1">
            <w:r w:rsidR="00E611B7" w:rsidRPr="00E611B7">
              <w:rPr>
                <w:rStyle w:val="Hyperlink"/>
                <w:rFonts w:ascii="Times New Roman" w:hAnsi="Times New Roman" w:cs="Arial"/>
                <w:noProof/>
                <w:lang w:val="en-GB" w:eastAsia="en-US"/>
              </w:rPr>
              <w:t>Annex – Designation letter pursuant to Article 19(3) of the EBGL</w:t>
            </w:r>
            <w:r w:rsidR="00E611B7" w:rsidRPr="00E611B7">
              <w:rPr>
                <w:noProof/>
                <w:webHidden/>
              </w:rPr>
              <w:tab/>
            </w:r>
            <w:r w:rsidR="00E611B7" w:rsidRPr="00E611B7">
              <w:rPr>
                <w:noProof/>
                <w:webHidden/>
              </w:rPr>
              <w:fldChar w:fldCharType="begin"/>
            </w:r>
            <w:r w:rsidR="00E611B7" w:rsidRPr="00E611B7">
              <w:rPr>
                <w:noProof/>
                <w:webHidden/>
              </w:rPr>
              <w:instrText xml:space="preserve"> PAGEREF _Toc51082162 \h </w:instrText>
            </w:r>
            <w:r w:rsidR="00E611B7" w:rsidRPr="00E611B7">
              <w:rPr>
                <w:noProof/>
                <w:webHidden/>
              </w:rPr>
            </w:r>
            <w:r w:rsidR="00E611B7" w:rsidRPr="00E611B7">
              <w:rPr>
                <w:noProof/>
                <w:webHidden/>
              </w:rPr>
              <w:fldChar w:fldCharType="separate"/>
            </w:r>
            <w:r w:rsidR="00E611B7" w:rsidRPr="00E611B7">
              <w:rPr>
                <w:noProof/>
                <w:webHidden/>
              </w:rPr>
              <w:t>18</w:t>
            </w:r>
            <w:r w:rsidR="00E611B7" w:rsidRPr="00E611B7">
              <w:rPr>
                <w:noProof/>
                <w:webHidden/>
              </w:rPr>
              <w:fldChar w:fldCharType="end"/>
            </w:r>
          </w:hyperlink>
        </w:p>
        <w:p w14:paraId="373E5594" w14:textId="2A6A2F24" w:rsidR="00704FAA" w:rsidRDefault="00704FAA" w:rsidP="00704FAA">
          <w:pPr>
            <w:rPr>
              <w:noProof/>
            </w:rPr>
          </w:pPr>
          <w:r w:rsidRPr="00E611B7">
            <w:rPr>
              <w:rStyle w:val="Hyperlink"/>
              <w:rFonts w:asciiTheme="minorHAnsi" w:hAnsiTheme="minorHAnsi"/>
              <w:i/>
              <w:iCs/>
              <w:color w:val="auto"/>
              <w:sz w:val="20"/>
              <w:szCs w:val="20"/>
              <w:u w:val="none"/>
              <w:lang w:val="fr-FR" w:eastAsia="fr-FR"/>
            </w:rPr>
            <w:fldChar w:fldCharType="end"/>
          </w:r>
        </w:p>
      </w:sdtContent>
    </w:sdt>
    <w:p w14:paraId="6D65CD8E" w14:textId="77777777" w:rsidR="00704FAA" w:rsidRDefault="00704FAA" w:rsidP="00CF2EEB">
      <w:pPr>
        <w:ind w:hanging="426"/>
        <w:rPr>
          <w:rFonts w:ascii="Times New Roman" w:hAnsi="Times New Roman"/>
          <w:szCs w:val="22"/>
          <w:lang w:val="en-GB" w:eastAsia="en-US"/>
        </w:rPr>
      </w:pPr>
    </w:p>
    <w:p w14:paraId="758BA2AA" w14:textId="77777777" w:rsidR="00704FAA" w:rsidRDefault="00704FAA">
      <w:pPr>
        <w:rPr>
          <w:rFonts w:ascii="Times New Roman" w:hAnsi="Times New Roman"/>
          <w:szCs w:val="22"/>
          <w:lang w:val="en-GB" w:eastAsia="en-US"/>
        </w:rPr>
      </w:pPr>
      <w:r>
        <w:rPr>
          <w:rFonts w:ascii="Times New Roman" w:hAnsi="Times New Roman"/>
          <w:szCs w:val="22"/>
          <w:lang w:val="en-GB" w:eastAsia="en-US"/>
        </w:rPr>
        <w:br w:type="page"/>
      </w:r>
    </w:p>
    <w:p w14:paraId="08EC4B1F" w14:textId="77777777" w:rsidR="00CF2EEB" w:rsidRPr="004E79E2" w:rsidRDefault="001B663F" w:rsidP="00704FAA">
      <w:pPr>
        <w:spacing w:after="120"/>
        <w:jc w:val="both"/>
        <w:rPr>
          <w:rFonts w:asciiTheme="minorHAnsi" w:hAnsiTheme="minorHAnsi" w:cstheme="minorHAnsi"/>
          <w:b/>
          <w:bCs/>
          <w:noProof/>
          <w:lang w:val="en-GB"/>
        </w:rPr>
      </w:pPr>
      <w:r w:rsidRPr="004E79E2">
        <w:rPr>
          <w:rFonts w:asciiTheme="minorHAnsi" w:hAnsiTheme="minorHAnsi" w:cstheme="minorHAnsi"/>
          <w:b/>
          <w:bCs/>
          <w:noProof/>
          <w:lang w:val="en-GB"/>
        </w:rPr>
        <w:lastRenderedPageBreak/>
        <w:t>All Transmission System Operators performing the reserve replacement process, taking into account the following:</w:t>
      </w:r>
    </w:p>
    <w:p w14:paraId="6C0AA55F" w14:textId="77777777" w:rsidR="00CF2EEB" w:rsidRPr="00317646" w:rsidRDefault="00CF2EEB" w:rsidP="00CF2EEB">
      <w:pPr>
        <w:spacing w:before="400" w:after="120" w:line="340" w:lineRule="exact"/>
        <w:jc w:val="center"/>
        <w:outlineLvl w:val="0"/>
        <w:rPr>
          <w:rFonts w:ascii="Times New Roman" w:hAnsi="Times New Roman" w:cs="Arial"/>
          <w:b/>
          <w:color w:val="23236E"/>
          <w:sz w:val="24"/>
          <w:szCs w:val="28"/>
          <w:lang w:val="en-GB" w:eastAsia="en-US"/>
        </w:rPr>
      </w:pPr>
      <w:bookmarkStart w:id="2" w:name="_Toc51082146"/>
      <w:r w:rsidRPr="00317646">
        <w:rPr>
          <w:rFonts w:ascii="Times New Roman" w:hAnsi="Times New Roman" w:cs="Arial"/>
          <w:b/>
          <w:color w:val="23236E"/>
          <w:sz w:val="24"/>
          <w:szCs w:val="28"/>
          <w:lang w:val="en-GB" w:eastAsia="en-US"/>
        </w:rPr>
        <w:t>Whereas</w:t>
      </w:r>
      <w:bookmarkEnd w:id="2"/>
    </w:p>
    <w:p w14:paraId="6F7727CB" w14:textId="77777777" w:rsidR="00124A37" w:rsidRPr="00317646" w:rsidRDefault="00124A37" w:rsidP="00124A37">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This document is a common proposal developed by all Transmission System Operators performing the reserve replacement process (hereafter referred to as “</w:t>
      </w:r>
      <w:r w:rsidRPr="00317646">
        <w:rPr>
          <w:rFonts w:ascii="Times New Roman" w:hAnsi="Times New Roman"/>
          <w:b/>
          <w:szCs w:val="22"/>
          <w:lang w:val="en-GB" w:eastAsia="en-US"/>
        </w:rPr>
        <w:t>RR TSOs</w:t>
      </w:r>
      <w:r w:rsidRPr="00317646">
        <w:rPr>
          <w:rFonts w:ascii="Times New Roman" w:hAnsi="Times New Roman"/>
          <w:szCs w:val="22"/>
          <w:lang w:val="en-GB" w:eastAsia="en-US"/>
        </w:rPr>
        <w:t>”) pursuant to Part IV of Commission Regulation (EU) 2017/1485 of 2 August 2017 establishing a guideline on electricity transmission system operation (hereafter referred to as the “</w:t>
      </w:r>
      <w:r w:rsidRPr="00317646">
        <w:rPr>
          <w:rFonts w:ascii="Times New Roman" w:hAnsi="Times New Roman"/>
          <w:b/>
          <w:szCs w:val="22"/>
          <w:lang w:val="en-GB" w:eastAsia="en-US"/>
        </w:rPr>
        <w:t>SOGL</w:t>
      </w:r>
      <w:r w:rsidRPr="00317646">
        <w:rPr>
          <w:rFonts w:ascii="Times New Roman" w:hAnsi="Times New Roman"/>
          <w:szCs w:val="22"/>
          <w:lang w:val="en-GB" w:eastAsia="en-US"/>
        </w:rPr>
        <w:t>”) regarding the Implementation Framework for a European platform for the exchange of balancing energy from replacement reserves (hereafter referred to as “</w:t>
      </w:r>
      <w:r w:rsidRPr="00317646">
        <w:rPr>
          <w:rFonts w:ascii="Times New Roman" w:hAnsi="Times New Roman"/>
          <w:b/>
          <w:szCs w:val="22"/>
          <w:lang w:val="en-GB" w:eastAsia="en-US"/>
        </w:rPr>
        <w:t>RR-Platform</w:t>
      </w:r>
      <w:r w:rsidRPr="00317646">
        <w:rPr>
          <w:rFonts w:ascii="Times New Roman" w:hAnsi="Times New Roman"/>
          <w:szCs w:val="22"/>
          <w:lang w:val="en-GB" w:eastAsia="en-US"/>
        </w:rPr>
        <w:t xml:space="preserve">”). </w:t>
      </w:r>
    </w:p>
    <w:p w14:paraId="493E815E" w14:textId="77777777" w:rsidR="00124A37" w:rsidRPr="00317646" w:rsidRDefault="00124A37" w:rsidP="00124A37">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This proposal of the Replacement Reserve Implementation Framework (hereafter referred to as the “</w:t>
      </w:r>
      <w:r w:rsidRPr="00317646">
        <w:rPr>
          <w:rFonts w:ascii="Times New Roman" w:hAnsi="Times New Roman"/>
          <w:b/>
          <w:szCs w:val="22"/>
          <w:lang w:val="en-GB" w:eastAsia="en-US"/>
        </w:rPr>
        <w:t>RRIF</w:t>
      </w:r>
      <w:r w:rsidRPr="00317646">
        <w:rPr>
          <w:rFonts w:ascii="Times New Roman" w:hAnsi="Times New Roman"/>
          <w:szCs w:val="22"/>
          <w:lang w:val="en-GB" w:eastAsia="en-US"/>
        </w:rPr>
        <w:t>”) takes into account the general principles and goals set in Commission Regulation (EU) 2017/2195 of 23 November 2017 establishing a guideline on electricity balancing (hereafter referred to as the “</w:t>
      </w:r>
      <w:r w:rsidRPr="00317646">
        <w:rPr>
          <w:rFonts w:ascii="Times New Roman" w:hAnsi="Times New Roman"/>
          <w:b/>
          <w:szCs w:val="22"/>
          <w:lang w:val="en-GB" w:eastAsia="en-US"/>
        </w:rPr>
        <w:t>EBGL</w:t>
      </w:r>
      <w:r w:rsidRPr="00317646">
        <w:rPr>
          <w:rFonts w:ascii="Times New Roman" w:hAnsi="Times New Roman"/>
          <w:szCs w:val="22"/>
          <w:lang w:val="en-GB" w:eastAsia="en-US"/>
        </w:rPr>
        <w:t>”), SOGL as well as Regulation (EC) No 714/2009 of the European Parliament and of the Council of 13 July 2009 on conditions for access to the network for cross-zonal exchanges in electricity (referred to as “</w:t>
      </w:r>
      <w:r w:rsidRPr="00317646">
        <w:rPr>
          <w:rFonts w:ascii="Times New Roman" w:hAnsi="Times New Roman"/>
          <w:b/>
          <w:szCs w:val="22"/>
          <w:lang w:val="en-GB" w:eastAsia="en-US"/>
        </w:rPr>
        <w:t>Electricity Regulation”)</w:t>
      </w:r>
      <w:r w:rsidRPr="00317646">
        <w:rPr>
          <w:rFonts w:ascii="Times New Roman" w:hAnsi="Times New Roman"/>
          <w:szCs w:val="22"/>
          <w:lang w:val="en-GB" w:eastAsia="en-US"/>
        </w:rPr>
        <w:t xml:space="preserve">. </w:t>
      </w:r>
    </w:p>
    <w:p w14:paraId="7DF5DF44" w14:textId="6D759A18" w:rsidR="00195536" w:rsidRPr="00317646" w:rsidRDefault="00195536" w:rsidP="00124A37">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The RRIF lays down the design, functional requirements, governance and cost sharing for the </w:t>
      </w:r>
      <w:r w:rsidR="00DE76CC" w:rsidRPr="00317646">
        <w:rPr>
          <w:rFonts w:ascii="Times New Roman" w:hAnsi="Times New Roman"/>
          <w:szCs w:val="22"/>
          <w:lang w:val="en-GB" w:eastAsia="en-US"/>
        </w:rPr>
        <w:t>RR-Platform</w:t>
      </w:r>
      <w:r w:rsidRPr="00317646">
        <w:rPr>
          <w:rFonts w:ascii="Times New Roman" w:hAnsi="Times New Roman"/>
          <w:szCs w:val="22"/>
          <w:lang w:val="en-GB" w:eastAsia="en-US"/>
        </w:rPr>
        <w:t xml:space="preserve">. In addition, the </w:t>
      </w:r>
      <w:r w:rsidR="00DE76CC" w:rsidRPr="00317646">
        <w:rPr>
          <w:rFonts w:ascii="Times New Roman" w:hAnsi="Times New Roman"/>
          <w:szCs w:val="22"/>
          <w:lang w:val="en-GB" w:eastAsia="en-US"/>
        </w:rPr>
        <w:t>RRIF</w:t>
      </w:r>
      <w:r w:rsidRPr="00317646">
        <w:rPr>
          <w:rFonts w:ascii="Times New Roman" w:hAnsi="Times New Roman"/>
          <w:szCs w:val="22"/>
          <w:lang w:val="en-GB" w:eastAsia="en-US"/>
        </w:rPr>
        <w:t xml:space="preserve"> contains the proposal for the entity to perform the functions of the proposal. The European RR</w:t>
      </w:r>
      <w:r w:rsidR="007D6D85" w:rsidRPr="00317646">
        <w:rPr>
          <w:rFonts w:ascii="Times New Roman" w:hAnsi="Times New Roman"/>
          <w:szCs w:val="22"/>
          <w:lang w:val="en-GB" w:eastAsia="en-US"/>
        </w:rPr>
        <w:t>-P</w:t>
      </w:r>
      <w:r w:rsidRPr="00317646">
        <w:rPr>
          <w:rFonts w:ascii="Times New Roman" w:hAnsi="Times New Roman"/>
          <w:szCs w:val="22"/>
          <w:lang w:val="en-GB" w:eastAsia="en-US"/>
        </w:rPr>
        <w:t>latform shall be able to perform the</w:t>
      </w:r>
      <w:r w:rsidR="000567CD" w:rsidRPr="00317646">
        <w:rPr>
          <w:rFonts w:ascii="Times New Roman" w:hAnsi="Times New Roman"/>
          <w:szCs w:val="22"/>
          <w:lang w:val="en-GB" w:eastAsia="en-US"/>
        </w:rPr>
        <w:t xml:space="preserve"> functions described in Article 5 on this RRIF and</w:t>
      </w:r>
      <w:r w:rsidRPr="00317646">
        <w:rPr>
          <w:rFonts w:ascii="Times New Roman" w:hAnsi="Times New Roman"/>
          <w:szCs w:val="22"/>
          <w:lang w:val="en-GB" w:eastAsia="en-US"/>
        </w:rPr>
        <w:t xml:space="preserve"> as described in the Article 19</w:t>
      </w:r>
      <w:r w:rsidR="000567CD" w:rsidRPr="00317646">
        <w:rPr>
          <w:rFonts w:ascii="Times New Roman" w:hAnsi="Times New Roman"/>
          <w:szCs w:val="22"/>
          <w:lang w:val="en-GB" w:eastAsia="en-US"/>
        </w:rPr>
        <w:t>(3)</w:t>
      </w:r>
      <w:r w:rsidRPr="00317646">
        <w:rPr>
          <w:rFonts w:ascii="Times New Roman" w:hAnsi="Times New Roman"/>
          <w:szCs w:val="22"/>
          <w:lang w:val="en-GB" w:eastAsia="en-US"/>
        </w:rPr>
        <w:t xml:space="preserve"> of the </w:t>
      </w:r>
      <w:r w:rsidR="00547B2A" w:rsidRPr="00317646">
        <w:rPr>
          <w:rFonts w:ascii="Times New Roman" w:hAnsi="Times New Roman"/>
          <w:szCs w:val="22"/>
          <w:lang w:val="en-GB" w:eastAsia="en-US"/>
        </w:rPr>
        <w:t>EBGL</w:t>
      </w:r>
      <w:r w:rsidR="000567CD" w:rsidRPr="00317646">
        <w:rPr>
          <w:rFonts w:ascii="Times New Roman" w:hAnsi="Times New Roman"/>
          <w:szCs w:val="22"/>
          <w:lang w:val="en-GB" w:eastAsia="en-US"/>
        </w:rPr>
        <w:t>.</w:t>
      </w:r>
    </w:p>
    <w:p w14:paraId="5C833806" w14:textId="77777777" w:rsidR="00945C9A" w:rsidRPr="00317646" w:rsidRDefault="00945C9A" w:rsidP="00945C9A">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Among the EBGL’s goals, which are described in Article 3(1) of the EBGL, is mentioned the integration of the EU balancing markets. To facilitate this goal, it is necessary to develop Implementation Frameworks for European platforms for balancing energy exchange from replacement reserves, frequency restoration reserves with manual and automatic activation and imbalance netting. With regards to the replacement reserves, Article 19(1), Article 19(2) and Article 19(3) of the EBGL constitute the legal basis for this proposal.</w:t>
      </w:r>
    </w:p>
    <w:p w14:paraId="310935FE" w14:textId="77777777" w:rsidR="001A5ACF" w:rsidRPr="00317646" w:rsidRDefault="001A5ACF" w:rsidP="001A5ACF">
      <w:pPr>
        <w:numPr>
          <w:ilvl w:val="0"/>
          <w:numId w:val="5"/>
        </w:numPr>
        <w:spacing w:before="240" w:after="120" w:line="259" w:lineRule="auto"/>
        <w:ind w:left="993" w:hanging="633"/>
        <w:contextualSpacing/>
        <w:jc w:val="both"/>
        <w:rPr>
          <w:rFonts w:ascii="Times New Roman" w:hAnsi="Times New Roman"/>
          <w:szCs w:val="22"/>
          <w:lang w:val="en-GB" w:eastAsia="en-US"/>
        </w:rPr>
      </w:pPr>
      <w:r w:rsidRPr="00317646">
        <w:rPr>
          <w:rFonts w:ascii="Times New Roman" w:hAnsi="Times New Roman"/>
          <w:szCs w:val="22"/>
          <w:lang w:val="en-GB" w:eastAsia="en-US"/>
        </w:rPr>
        <w:t xml:space="preserve">To support the implementation of the </w:t>
      </w:r>
      <w:r w:rsidR="00547B2A" w:rsidRPr="00317646">
        <w:rPr>
          <w:rFonts w:ascii="Times New Roman" w:hAnsi="Times New Roman"/>
          <w:szCs w:val="22"/>
          <w:lang w:val="en-GB" w:eastAsia="en-US"/>
        </w:rPr>
        <w:t>EBGL</w:t>
      </w:r>
      <w:r w:rsidRPr="00317646">
        <w:rPr>
          <w:rFonts w:ascii="Times New Roman" w:hAnsi="Times New Roman"/>
          <w:szCs w:val="22"/>
          <w:lang w:val="en-GB" w:eastAsia="en-US"/>
        </w:rPr>
        <w:t xml:space="preserve">, several pilot initiatives have been set up. </w:t>
      </w:r>
      <w:r w:rsidR="00CD47C1" w:rsidRPr="00317646">
        <w:rPr>
          <w:rFonts w:ascii="Times New Roman" w:hAnsi="Times New Roman"/>
          <w:szCs w:val="22"/>
          <w:lang w:val="en-GB" w:eastAsia="en-US"/>
        </w:rPr>
        <w:t xml:space="preserve">A </w:t>
      </w:r>
      <w:r w:rsidRPr="00317646">
        <w:rPr>
          <w:rFonts w:ascii="Times New Roman" w:hAnsi="Times New Roman"/>
          <w:szCs w:val="22"/>
          <w:lang w:val="en-GB" w:eastAsia="en-US"/>
        </w:rPr>
        <w:t>pilot project</w:t>
      </w:r>
      <w:r w:rsidR="00CD47C1" w:rsidRPr="00317646">
        <w:rPr>
          <w:rFonts w:ascii="Times New Roman" w:hAnsi="Times New Roman"/>
          <w:szCs w:val="22"/>
          <w:lang w:val="en-GB" w:eastAsia="en-US"/>
        </w:rPr>
        <w:t xml:space="preserve"> was</w:t>
      </w:r>
      <w:r w:rsidRPr="00317646">
        <w:rPr>
          <w:rFonts w:ascii="Times New Roman" w:hAnsi="Times New Roman"/>
          <w:szCs w:val="22"/>
          <w:lang w:val="en-GB" w:eastAsia="en-US"/>
        </w:rPr>
        <w:t xml:space="preserve"> validated by ENTSO-E for</w:t>
      </w:r>
      <w:r w:rsidR="00CD47C1" w:rsidRPr="00317646">
        <w:rPr>
          <w:rFonts w:ascii="Times New Roman" w:hAnsi="Times New Roman"/>
          <w:szCs w:val="22"/>
          <w:lang w:val="en-GB" w:eastAsia="en-US"/>
        </w:rPr>
        <w:t xml:space="preserve"> the</w:t>
      </w:r>
      <w:r w:rsidRPr="00317646">
        <w:rPr>
          <w:rFonts w:ascii="Times New Roman" w:hAnsi="Times New Roman"/>
          <w:szCs w:val="22"/>
          <w:lang w:val="en-GB" w:eastAsia="en-US"/>
        </w:rPr>
        <w:t xml:space="preserve"> </w:t>
      </w:r>
      <w:r w:rsidR="002C7D0D" w:rsidRPr="00317646">
        <w:rPr>
          <w:rFonts w:ascii="Times New Roman" w:hAnsi="Times New Roman"/>
          <w:szCs w:val="22"/>
          <w:lang w:val="en-GB" w:eastAsia="en-US"/>
        </w:rPr>
        <w:t>r</w:t>
      </w:r>
      <w:r w:rsidRPr="00317646">
        <w:rPr>
          <w:rFonts w:ascii="Times New Roman" w:hAnsi="Times New Roman"/>
          <w:szCs w:val="22"/>
          <w:lang w:val="en-GB" w:eastAsia="en-US"/>
        </w:rPr>
        <w:t xml:space="preserve">eplacement </w:t>
      </w:r>
      <w:r w:rsidR="002C7D0D" w:rsidRPr="00317646">
        <w:rPr>
          <w:rFonts w:ascii="Times New Roman" w:hAnsi="Times New Roman"/>
          <w:szCs w:val="22"/>
          <w:lang w:val="en-GB" w:eastAsia="en-US"/>
        </w:rPr>
        <w:t>r</w:t>
      </w:r>
      <w:r w:rsidRPr="00317646">
        <w:rPr>
          <w:rFonts w:ascii="Times New Roman" w:hAnsi="Times New Roman"/>
          <w:szCs w:val="22"/>
          <w:lang w:val="en-GB" w:eastAsia="en-US"/>
        </w:rPr>
        <w:t xml:space="preserve">eserve (RR) </w:t>
      </w:r>
      <w:r w:rsidR="00CD47C1" w:rsidRPr="00317646">
        <w:rPr>
          <w:rFonts w:ascii="Times New Roman" w:hAnsi="Times New Roman"/>
          <w:szCs w:val="22"/>
          <w:lang w:val="en-GB" w:eastAsia="en-US"/>
        </w:rPr>
        <w:t>process</w:t>
      </w:r>
      <w:r w:rsidRPr="00317646">
        <w:rPr>
          <w:rFonts w:ascii="Times New Roman" w:hAnsi="Times New Roman"/>
          <w:szCs w:val="22"/>
          <w:lang w:val="en-GB" w:eastAsia="en-US"/>
        </w:rPr>
        <w:t>.</w:t>
      </w:r>
    </w:p>
    <w:p w14:paraId="496915C2" w14:textId="77777777" w:rsidR="001A5ACF" w:rsidRPr="00317646" w:rsidRDefault="001A5ACF" w:rsidP="00B13C60">
      <w:pPr>
        <w:spacing w:before="240" w:after="120" w:line="259" w:lineRule="auto"/>
        <w:ind w:left="993"/>
        <w:contextualSpacing/>
        <w:jc w:val="both"/>
        <w:rPr>
          <w:rFonts w:ascii="Times New Roman" w:hAnsi="Times New Roman"/>
          <w:szCs w:val="22"/>
          <w:lang w:val="en-GB" w:eastAsia="en-US"/>
        </w:rPr>
      </w:pPr>
    </w:p>
    <w:p w14:paraId="5F748E10" w14:textId="77777777" w:rsidR="00CF2EEB" w:rsidRPr="00317646" w:rsidRDefault="00CF2EEB" w:rsidP="00CF2EEB">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Article 19(1) </w:t>
      </w:r>
      <w:r w:rsidR="002320BA" w:rsidRPr="00317646">
        <w:rPr>
          <w:rFonts w:ascii="Times New Roman" w:hAnsi="Times New Roman"/>
          <w:szCs w:val="22"/>
          <w:lang w:val="en-GB" w:eastAsia="en-US"/>
        </w:rPr>
        <w:t>of the EBGL</w:t>
      </w:r>
      <w:r w:rsidRPr="00317646">
        <w:rPr>
          <w:rFonts w:ascii="Times New Roman" w:hAnsi="Times New Roman"/>
          <w:szCs w:val="22"/>
          <w:lang w:val="en-GB" w:eastAsia="en-US"/>
        </w:rPr>
        <w:t xml:space="preserve"> defines the deadline for the submission of RRIF Proposal:</w:t>
      </w:r>
    </w:p>
    <w:p w14:paraId="157AECCF" w14:textId="77777777" w:rsidR="00B2670E" w:rsidRPr="00317646" w:rsidRDefault="00CF2EEB" w:rsidP="00B2670E">
      <w:pPr>
        <w:spacing w:after="120" w:line="259" w:lineRule="auto"/>
        <w:ind w:left="993"/>
        <w:jc w:val="both"/>
        <w:rPr>
          <w:rFonts w:ascii="Times New Roman" w:hAnsi="Times New Roman"/>
          <w:i/>
          <w:szCs w:val="22"/>
          <w:lang w:val="en-GB" w:eastAsia="en-US"/>
        </w:rPr>
      </w:pPr>
      <w:r w:rsidRPr="00317646">
        <w:rPr>
          <w:rFonts w:ascii="Times New Roman" w:hAnsi="Times New Roman"/>
          <w:i/>
          <w:szCs w:val="22"/>
          <w:lang w:val="en-GB" w:eastAsia="en-US"/>
        </w:rPr>
        <w:t>“1.</w:t>
      </w:r>
      <w:r w:rsidR="00F46051" w:rsidRPr="00317646">
        <w:rPr>
          <w:rFonts w:ascii="Times New Roman" w:hAnsi="Times New Roman"/>
          <w:i/>
          <w:szCs w:val="22"/>
          <w:lang w:val="en-GB" w:eastAsia="en-US"/>
        </w:rPr>
        <w:t xml:space="preserve"> </w:t>
      </w:r>
      <w:r w:rsidR="00D96347" w:rsidRPr="00317646">
        <w:rPr>
          <w:rFonts w:ascii="Times New Roman" w:hAnsi="Times New Roman"/>
          <w:i/>
          <w:szCs w:val="22"/>
          <w:lang w:val="en-GB" w:eastAsia="en-US"/>
        </w:rPr>
        <w:t>S</w:t>
      </w:r>
      <w:r w:rsidRPr="00317646">
        <w:rPr>
          <w:rFonts w:ascii="Times New Roman" w:hAnsi="Times New Roman"/>
          <w:i/>
          <w:szCs w:val="22"/>
          <w:lang w:val="en-GB" w:eastAsia="en-US"/>
        </w:rPr>
        <w:t>ix months after entry into force of this Regulation, all TSOs performing the reserve replacement process pursuant to Part IV of Regulation (EU) 2017/1485 shall develop a proposal for the implementation framework for a European platform for the exchange of balancing energy from replacement reserves.”</w:t>
      </w:r>
      <w:r w:rsidR="00B2670E" w:rsidRPr="00317646">
        <w:rPr>
          <w:rFonts w:ascii="Times New Roman" w:hAnsi="Times New Roman"/>
          <w:i/>
          <w:szCs w:val="22"/>
          <w:lang w:val="en-GB" w:eastAsia="en-US"/>
        </w:rPr>
        <w:t xml:space="preserve"> </w:t>
      </w:r>
      <w:r w:rsidR="00B2670E" w:rsidRPr="00317646">
        <w:rPr>
          <w:rFonts w:ascii="Times New Roman" w:hAnsi="Times New Roman"/>
          <w:szCs w:val="22"/>
          <w:lang w:val="en-GB" w:eastAsia="en-US"/>
        </w:rPr>
        <w:t>Consequently, the deadline to be met is June 18</w:t>
      </w:r>
      <w:r w:rsidR="00B2670E" w:rsidRPr="00317646">
        <w:rPr>
          <w:rFonts w:ascii="Times New Roman" w:hAnsi="Times New Roman"/>
          <w:szCs w:val="22"/>
          <w:vertAlign w:val="superscript"/>
          <w:lang w:val="en-GB" w:eastAsia="en-US"/>
        </w:rPr>
        <w:t>th</w:t>
      </w:r>
      <w:r w:rsidR="00B2670E" w:rsidRPr="00317646">
        <w:rPr>
          <w:rFonts w:ascii="Times New Roman" w:hAnsi="Times New Roman"/>
          <w:szCs w:val="22"/>
          <w:lang w:val="en-GB" w:eastAsia="en-US"/>
        </w:rPr>
        <w:t>, 2018.</w:t>
      </w:r>
      <w:r w:rsidR="00B2670E" w:rsidRPr="00317646">
        <w:rPr>
          <w:rFonts w:ascii="Times New Roman" w:hAnsi="Times New Roman"/>
          <w:i/>
          <w:szCs w:val="22"/>
          <w:lang w:val="en-GB" w:eastAsia="en-US"/>
        </w:rPr>
        <w:t xml:space="preserve"> </w:t>
      </w:r>
    </w:p>
    <w:p w14:paraId="27DB7161" w14:textId="77777777" w:rsidR="00CF2EEB" w:rsidRPr="00317646" w:rsidRDefault="00CF2EEB" w:rsidP="00CF2EEB">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Articles 19(2) and 19(3) </w:t>
      </w:r>
      <w:r w:rsidR="002320BA" w:rsidRPr="00317646">
        <w:rPr>
          <w:rFonts w:ascii="Times New Roman" w:hAnsi="Times New Roman"/>
          <w:szCs w:val="22"/>
          <w:lang w:val="en-GB" w:eastAsia="en-US"/>
        </w:rPr>
        <w:t>of the EBGL</w:t>
      </w:r>
      <w:r w:rsidRPr="00317646">
        <w:rPr>
          <w:rFonts w:ascii="Times New Roman" w:hAnsi="Times New Roman"/>
          <w:szCs w:val="22"/>
          <w:lang w:val="en-GB" w:eastAsia="en-US"/>
        </w:rPr>
        <w:t xml:space="preserve"> define several specific requirements to the content of the RRIF Proposal:</w:t>
      </w:r>
    </w:p>
    <w:p w14:paraId="28996836"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“2.</w:t>
      </w:r>
      <w:r w:rsidRPr="00317646">
        <w:rPr>
          <w:lang w:val="en-GB"/>
        </w:rPr>
        <w:t xml:space="preserve"> </w:t>
      </w:r>
      <w:r w:rsidRPr="00317646">
        <w:rPr>
          <w:rFonts w:ascii="Times New Roman" w:hAnsi="Times New Roman"/>
          <w:i/>
          <w:szCs w:val="22"/>
          <w:lang w:val="en-GB" w:eastAsia="en-US"/>
        </w:rPr>
        <w:t>The European platform for the exchange of balancing energy from replacement reserves, operated by TSOs or by means of an entity the TSOs would create themselves, shall be based on common governance principles and</w:t>
      </w:r>
      <w:bookmarkStart w:id="3" w:name="_GoBack"/>
      <w:bookmarkEnd w:id="3"/>
      <w:r w:rsidRPr="00317646">
        <w:rPr>
          <w:rFonts w:ascii="Times New Roman" w:hAnsi="Times New Roman"/>
          <w:i/>
          <w:szCs w:val="22"/>
          <w:lang w:val="en-GB" w:eastAsia="en-US"/>
        </w:rPr>
        <w:t xml:space="preserve"> business processes and shall consist of at least the activation optimisation function and the TSO-TSO settlement function. That European platform shall apply a multilateral TSO-TSO model with common merit order lists to exchange all balancing energy bids from all standard products for replacement reserves, except for unavailable bids pursuant to Article 29(14). </w:t>
      </w:r>
    </w:p>
    <w:p w14:paraId="203FAE85"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3.</w:t>
      </w:r>
      <w:r w:rsidR="00E15BA5" w:rsidRPr="00317646">
        <w:rPr>
          <w:rFonts w:ascii="Times New Roman" w:hAnsi="Times New Roman"/>
          <w:i/>
          <w:szCs w:val="22"/>
          <w:lang w:val="en-GB" w:eastAsia="en-US"/>
        </w:rPr>
        <w:t xml:space="preserve"> </w:t>
      </w:r>
      <w:r w:rsidRPr="00317646">
        <w:rPr>
          <w:rFonts w:ascii="Times New Roman" w:hAnsi="Times New Roman"/>
          <w:i/>
          <w:szCs w:val="22"/>
          <w:lang w:val="en-GB" w:eastAsia="en-US"/>
        </w:rPr>
        <w:t xml:space="preserve">The proposal in paragraph 1 shall include at least: </w:t>
      </w:r>
    </w:p>
    <w:p w14:paraId="4616E20F"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lastRenderedPageBreak/>
        <w:t xml:space="preserve">(a) the </w:t>
      </w:r>
      <w:proofErr w:type="gramStart"/>
      <w:r w:rsidRPr="00317646">
        <w:rPr>
          <w:rFonts w:ascii="Times New Roman" w:hAnsi="Times New Roman"/>
          <w:i/>
          <w:szCs w:val="22"/>
          <w:lang w:val="en-GB" w:eastAsia="en-US"/>
        </w:rPr>
        <w:t>high level</w:t>
      </w:r>
      <w:proofErr w:type="gramEnd"/>
      <w:r w:rsidRPr="00317646">
        <w:rPr>
          <w:rFonts w:ascii="Times New Roman" w:hAnsi="Times New Roman"/>
          <w:i/>
          <w:szCs w:val="22"/>
          <w:lang w:val="en-GB" w:eastAsia="en-US"/>
        </w:rPr>
        <w:t xml:space="preserve"> design of the European platform; </w:t>
      </w:r>
    </w:p>
    <w:p w14:paraId="76EB26B2"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 xml:space="preserve">(b) the roadmap and timelines for the implementation of the European platform; </w:t>
      </w:r>
    </w:p>
    <w:p w14:paraId="36388548"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 xml:space="preserve">(c) the definition of the functions required to operate the European platform; </w:t>
      </w:r>
    </w:p>
    <w:p w14:paraId="315DF67F"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 xml:space="preserve">(d) the proposed rules concerning the governance and operation of the European platform, based on the principle of non-discrimination and ensuring equitable treatment of all member TSOs and that no TSO benefits from unjustified economic advantages through the participation in the functions of the European platform; </w:t>
      </w:r>
    </w:p>
    <w:p w14:paraId="7CC629B8"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 xml:space="preserve">(e) the proposed designation of the entity or entities that will perform the functions defined in the proposal. Where the TSOs propose to designate more than one entity, the proposal shall demonstrate and ensure: </w:t>
      </w:r>
    </w:p>
    <w:p w14:paraId="593B71E7" w14:textId="77777777" w:rsidR="00CF2EEB" w:rsidRPr="00317646" w:rsidRDefault="00CF2EEB" w:rsidP="00CF2EEB">
      <w:pPr>
        <w:spacing w:after="120"/>
        <w:ind w:left="1416"/>
        <w:jc w:val="both"/>
        <w:rPr>
          <w:rFonts w:ascii="Times New Roman" w:hAnsi="Times New Roman"/>
          <w:i/>
          <w:szCs w:val="22"/>
          <w:lang w:val="en-GB" w:eastAsia="en-US"/>
        </w:rPr>
      </w:pPr>
      <w:r w:rsidRPr="00317646">
        <w:rPr>
          <w:rFonts w:ascii="Times New Roman" w:hAnsi="Times New Roman"/>
          <w:i/>
          <w:szCs w:val="22"/>
          <w:lang w:val="en-GB" w:eastAsia="en-US"/>
        </w:rPr>
        <w:t>(</w:t>
      </w:r>
      <w:proofErr w:type="spellStart"/>
      <w:r w:rsidRPr="00317646">
        <w:rPr>
          <w:rFonts w:ascii="Times New Roman" w:hAnsi="Times New Roman"/>
          <w:i/>
          <w:szCs w:val="22"/>
          <w:lang w:val="en-GB" w:eastAsia="en-US"/>
        </w:rPr>
        <w:t>i</w:t>
      </w:r>
      <w:proofErr w:type="spellEnd"/>
      <w:r w:rsidRPr="00317646">
        <w:rPr>
          <w:rFonts w:ascii="Times New Roman" w:hAnsi="Times New Roman"/>
          <w:i/>
          <w:szCs w:val="22"/>
          <w:lang w:val="en-GB" w:eastAsia="en-US"/>
        </w:rPr>
        <w:t xml:space="preserve">) a coherent allocation of the functions to the entities operating the European platform. The proposal shall take full account of the need to coordinate the different functions allocated to the entities operating the European platform; </w:t>
      </w:r>
    </w:p>
    <w:p w14:paraId="588D80B6" w14:textId="77777777" w:rsidR="00CF2EEB" w:rsidRPr="00317646" w:rsidRDefault="00CF2EEB" w:rsidP="00CF2EEB">
      <w:pPr>
        <w:spacing w:after="120"/>
        <w:ind w:left="1416"/>
        <w:jc w:val="both"/>
        <w:rPr>
          <w:rFonts w:ascii="Times New Roman" w:hAnsi="Times New Roman"/>
          <w:i/>
          <w:szCs w:val="22"/>
          <w:lang w:val="en-GB" w:eastAsia="en-US"/>
        </w:rPr>
      </w:pPr>
      <w:r w:rsidRPr="00317646">
        <w:rPr>
          <w:rFonts w:ascii="Times New Roman" w:hAnsi="Times New Roman"/>
          <w:i/>
          <w:szCs w:val="22"/>
          <w:lang w:val="en-GB" w:eastAsia="en-US"/>
        </w:rPr>
        <w:t xml:space="preserve">(ii) that the proposed setup of the European platform and allocation of functions ensures efficient and effective governance, operation and regulatory oversight of the European platform as well as, supports the objectives of this Regulation; </w:t>
      </w:r>
    </w:p>
    <w:p w14:paraId="478F9F22" w14:textId="77777777" w:rsidR="00CF2EEB" w:rsidRPr="00317646" w:rsidRDefault="00CF2EEB" w:rsidP="00CF2EEB">
      <w:pPr>
        <w:spacing w:after="120"/>
        <w:ind w:left="1416"/>
        <w:jc w:val="both"/>
        <w:rPr>
          <w:rFonts w:ascii="Times New Roman" w:hAnsi="Times New Roman"/>
          <w:i/>
          <w:szCs w:val="22"/>
          <w:lang w:val="en-GB" w:eastAsia="en-US"/>
        </w:rPr>
      </w:pPr>
      <w:r w:rsidRPr="00317646">
        <w:rPr>
          <w:rFonts w:ascii="Times New Roman" w:hAnsi="Times New Roman"/>
          <w:i/>
          <w:szCs w:val="22"/>
          <w:lang w:val="en-GB" w:eastAsia="en-US"/>
        </w:rPr>
        <w:t xml:space="preserve">(iii) an effective coordination and </w:t>
      </w:r>
      <w:proofErr w:type="gramStart"/>
      <w:r w:rsidRPr="00317646">
        <w:rPr>
          <w:rFonts w:ascii="Times New Roman" w:hAnsi="Times New Roman"/>
          <w:i/>
          <w:szCs w:val="22"/>
          <w:lang w:val="en-GB" w:eastAsia="en-US"/>
        </w:rPr>
        <w:t>decision making</w:t>
      </w:r>
      <w:proofErr w:type="gramEnd"/>
      <w:r w:rsidRPr="00317646">
        <w:rPr>
          <w:rFonts w:ascii="Times New Roman" w:hAnsi="Times New Roman"/>
          <w:i/>
          <w:szCs w:val="22"/>
          <w:lang w:val="en-GB" w:eastAsia="en-US"/>
        </w:rPr>
        <w:t xml:space="preserve"> process to resolve any conflicting positions between entities operating the European platform; </w:t>
      </w:r>
    </w:p>
    <w:p w14:paraId="6BD8AD19"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 xml:space="preserve">(f) the framework for harmonisation of the terms and conditions related to balancing set up pursuant to Article 18; </w:t>
      </w:r>
    </w:p>
    <w:p w14:paraId="72757870"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 xml:space="preserve">(g) the detailed principles for sharing the common costs, including the detailed categorisation of common costs, in accordance with Article 23; </w:t>
      </w:r>
    </w:p>
    <w:p w14:paraId="1F9A514F"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 xml:space="preserve">(h) the balancing energy gate closure time for all standard products for replacement reserves in accordance with Article 24; </w:t>
      </w:r>
    </w:p>
    <w:p w14:paraId="7E2DF779"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w:t>
      </w:r>
      <w:proofErr w:type="spellStart"/>
      <w:r w:rsidRPr="00317646">
        <w:rPr>
          <w:rFonts w:ascii="Times New Roman" w:hAnsi="Times New Roman"/>
          <w:i/>
          <w:szCs w:val="22"/>
          <w:lang w:val="en-GB" w:eastAsia="en-US"/>
        </w:rPr>
        <w:t>i</w:t>
      </w:r>
      <w:proofErr w:type="spellEnd"/>
      <w:r w:rsidRPr="00317646">
        <w:rPr>
          <w:rFonts w:ascii="Times New Roman" w:hAnsi="Times New Roman"/>
          <w:i/>
          <w:szCs w:val="22"/>
          <w:lang w:val="en-GB" w:eastAsia="en-US"/>
        </w:rPr>
        <w:t xml:space="preserve">) the definition of standard products for balancing energy from replacement reserves in accordance with Article 25; </w:t>
      </w:r>
    </w:p>
    <w:p w14:paraId="447BCA81"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 xml:space="preserve">(j) the TSO energy bid submission gate closure time in accordance with Article 29(13); </w:t>
      </w:r>
    </w:p>
    <w:p w14:paraId="5C147FEB"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 xml:space="preserve">(k) the common merit order lists to be organised by the common activation optimisation function pursuant to Article 31; </w:t>
      </w:r>
    </w:p>
    <w:p w14:paraId="197C3809" w14:textId="77777777" w:rsidR="00CF2EEB" w:rsidRPr="00317646" w:rsidRDefault="00CF2EEB" w:rsidP="00CF2EEB">
      <w:pPr>
        <w:spacing w:after="120"/>
        <w:ind w:left="993"/>
        <w:jc w:val="both"/>
        <w:rPr>
          <w:rFonts w:ascii="Times New Roman" w:hAnsi="Times New Roman"/>
          <w:i/>
          <w:szCs w:val="22"/>
          <w:lang w:val="en-GB" w:eastAsia="en-US"/>
        </w:rPr>
      </w:pPr>
      <w:r w:rsidRPr="00317646">
        <w:rPr>
          <w:rFonts w:ascii="Times New Roman" w:hAnsi="Times New Roman"/>
          <w:i/>
          <w:szCs w:val="22"/>
          <w:lang w:val="en-GB" w:eastAsia="en-US"/>
        </w:rPr>
        <w:t>(l) the description of the algorithm for the operation of the activation optimisation function for the balancing energy bids from all standard products for replacement reserves in accordance with Article 58.</w:t>
      </w:r>
      <w:r w:rsidR="00A15CDF" w:rsidRPr="00317646">
        <w:rPr>
          <w:rFonts w:ascii="Times New Roman" w:hAnsi="Times New Roman"/>
          <w:i/>
          <w:szCs w:val="22"/>
          <w:lang w:val="en-GB" w:eastAsia="en-US"/>
        </w:rPr>
        <w:t>”</w:t>
      </w:r>
      <w:r w:rsidRPr="00317646">
        <w:rPr>
          <w:rFonts w:ascii="Times New Roman" w:hAnsi="Times New Roman"/>
          <w:i/>
          <w:szCs w:val="22"/>
          <w:lang w:val="en-GB" w:eastAsia="en-US"/>
        </w:rPr>
        <w:t xml:space="preserve"> </w:t>
      </w:r>
    </w:p>
    <w:p w14:paraId="4D7E66B1" w14:textId="77777777" w:rsidR="00E8568D" w:rsidRPr="00317646" w:rsidRDefault="00CF2EEB" w:rsidP="00E8568D">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The deadlines for the beginning of the operation of the </w:t>
      </w:r>
      <w:r w:rsidR="00DE76CC" w:rsidRPr="00317646">
        <w:rPr>
          <w:rFonts w:ascii="Times New Roman" w:hAnsi="Times New Roman"/>
          <w:szCs w:val="22"/>
          <w:lang w:val="en-GB" w:eastAsia="en-US"/>
        </w:rPr>
        <w:t>RR-Platform</w:t>
      </w:r>
      <w:r w:rsidRPr="00317646">
        <w:rPr>
          <w:rFonts w:ascii="Times New Roman" w:hAnsi="Times New Roman"/>
          <w:szCs w:val="22"/>
          <w:lang w:val="en-GB" w:eastAsia="en-US"/>
        </w:rPr>
        <w:t xml:space="preserve"> are defined in Article 19(5)</w:t>
      </w:r>
      <w:r w:rsidR="00023D59" w:rsidRPr="00317646">
        <w:rPr>
          <w:rFonts w:ascii="Times New Roman" w:hAnsi="Times New Roman"/>
          <w:szCs w:val="22"/>
          <w:lang w:val="en-GB" w:eastAsia="en-US"/>
        </w:rPr>
        <w:t xml:space="preserve"> of the </w:t>
      </w:r>
      <w:r w:rsidR="00547B2A" w:rsidRPr="00317646">
        <w:rPr>
          <w:rFonts w:ascii="Times New Roman" w:hAnsi="Times New Roman"/>
          <w:szCs w:val="22"/>
          <w:lang w:val="en-GB" w:eastAsia="en-US"/>
        </w:rPr>
        <w:t>EBGL</w:t>
      </w:r>
      <w:r w:rsidRPr="00317646">
        <w:rPr>
          <w:rFonts w:ascii="Times New Roman" w:hAnsi="Times New Roman"/>
          <w:szCs w:val="22"/>
          <w:lang w:val="en-GB" w:eastAsia="en-US"/>
        </w:rPr>
        <w:t xml:space="preserve">. Due to the fact that the countries have different starting points with respect to the national terms and conditions related to balancing, the </w:t>
      </w:r>
      <w:r w:rsidR="00CA697D" w:rsidRPr="00317646">
        <w:rPr>
          <w:rFonts w:ascii="Times New Roman" w:hAnsi="Times New Roman"/>
          <w:szCs w:val="22"/>
          <w:lang w:val="en-GB" w:eastAsia="en-US"/>
        </w:rPr>
        <w:t>concerned TSOs</w:t>
      </w:r>
      <w:r w:rsidRPr="00317646">
        <w:rPr>
          <w:rFonts w:ascii="Times New Roman" w:hAnsi="Times New Roman"/>
          <w:szCs w:val="22"/>
          <w:lang w:val="en-GB" w:eastAsia="en-US"/>
        </w:rPr>
        <w:t xml:space="preserve"> </w:t>
      </w:r>
      <w:r w:rsidR="001B663F" w:rsidRPr="00317646">
        <w:rPr>
          <w:rFonts w:ascii="Times New Roman" w:hAnsi="Times New Roman"/>
          <w:szCs w:val="22"/>
          <w:lang w:val="en-GB" w:eastAsia="en-US"/>
        </w:rPr>
        <w:t>have initiated</w:t>
      </w:r>
      <w:r w:rsidRPr="00317646">
        <w:rPr>
          <w:rFonts w:ascii="Times New Roman" w:hAnsi="Times New Roman"/>
          <w:szCs w:val="22"/>
          <w:lang w:val="en-GB" w:eastAsia="en-US"/>
        </w:rPr>
        <w:t xml:space="preserve"> an implementation project approach. </w:t>
      </w:r>
      <w:r w:rsidR="00E15BA5" w:rsidRPr="00317646">
        <w:rPr>
          <w:rFonts w:ascii="Times New Roman" w:hAnsi="Times New Roman"/>
          <w:szCs w:val="22"/>
          <w:lang w:val="en-GB" w:eastAsia="en-US"/>
        </w:rPr>
        <w:t>This approach</w:t>
      </w:r>
      <w:r w:rsidRPr="00317646">
        <w:rPr>
          <w:rFonts w:ascii="Times New Roman" w:hAnsi="Times New Roman"/>
          <w:szCs w:val="22"/>
          <w:lang w:val="en-GB" w:eastAsia="en-US"/>
        </w:rPr>
        <w:t xml:space="preserve"> will facilitate the fulfilment of the deadlines by foreseeing, up to the extent possible, </w:t>
      </w:r>
      <w:r w:rsidR="00CA697D" w:rsidRPr="00317646">
        <w:rPr>
          <w:rFonts w:ascii="Times New Roman" w:hAnsi="Times New Roman"/>
          <w:szCs w:val="22"/>
          <w:lang w:val="en-GB" w:eastAsia="en-US"/>
        </w:rPr>
        <w:t xml:space="preserve">with </w:t>
      </w:r>
      <w:r w:rsidRPr="00317646">
        <w:rPr>
          <w:rFonts w:ascii="Times New Roman" w:hAnsi="Times New Roman"/>
          <w:szCs w:val="22"/>
          <w:lang w:val="en-GB" w:eastAsia="en-US"/>
        </w:rPr>
        <w:t xml:space="preserve">early operation of the </w:t>
      </w:r>
      <w:r w:rsidR="00DE76CC" w:rsidRPr="00317646">
        <w:rPr>
          <w:rFonts w:ascii="Times New Roman" w:hAnsi="Times New Roman"/>
          <w:szCs w:val="22"/>
          <w:lang w:val="en-GB" w:eastAsia="en-US"/>
        </w:rPr>
        <w:t>RR-Platform</w:t>
      </w:r>
      <w:r w:rsidRPr="00317646">
        <w:rPr>
          <w:rFonts w:ascii="Times New Roman" w:hAnsi="Times New Roman"/>
          <w:szCs w:val="22"/>
          <w:lang w:val="en-GB" w:eastAsia="en-US"/>
        </w:rPr>
        <w:t xml:space="preserve"> for countries fulfilling parts of the RRIF</w:t>
      </w:r>
      <w:r w:rsidR="00023D59" w:rsidRPr="00317646">
        <w:rPr>
          <w:rFonts w:ascii="Times New Roman" w:hAnsi="Times New Roman"/>
          <w:szCs w:val="22"/>
          <w:lang w:val="en-GB" w:eastAsia="en-US"/>
        </w:rPr>
        <w:t xml:space="preserve"> proposal</w:t>
      </w:r>
      <w:r w:rsidR="00E15BA5" w:rsidRPr="00317646">
        <w:rPr>
          <w:rFonts w:ascii="Times New Roman" w:hAnsi="Times New Roman"/>
          <w:szCs w:val="22"/>
          <w:lang w:val="en-GB" w:eastAsia="en-US"/>
        </w:rPr>
        <w:t>,</w:t>
      </w:r>
      <w:r w:rsidRPr="00317646">
        <w:rPr>
          <w:rFonts w:ascii="Times New Roman" w:hAnsi="Times New Roman"/>
          <w:szCs w:val="22"/>
          <w:lang w:val="en-GB" w:eastAsia="en-US"/>
        </w:rPr>
        <w:t xml:space="preserve"> before the deadlines defined by Article 19(5)</w:t>
      </w:r>
      <w:r w:rsidR="006C2780" w:rsidRPr="00317646">
        <w:rPr>
          <w:rFonts w:ascii="Times New Roman" w:hAnsi="Times New Roman"/>
          <w:szCs w:val="22"/>
          <w:lang w:val="en-GB" w:eastAsia="en-US"/>
        </w:rPr>
        <w:t xml:space="preserve"> of the </w:t>
      </w:r>
      <w:r w:rsidR="00547B2A" w:rsidRPr="00317646">
        <w:rPr>
          <w:rFonts w:ascii="Times New Roman" w:hAnsi="Times New Roman"/>
          <w:szCs w:val="22"/>
          <w:lang w:val="en-GB" w:eastAsia="en-US"/>
        </w:rPr>
        <w:t>EBGL</w:t>
      </w:r>
      <w:r w:rsidRPr="00317646">
        <w:rPr>
          <w:rFonts w:ascii="Times New Roman" w:hAnsi="Times New Roman"/>
          <w:szCs w:val="22"/>
          <w:lang w:val="en-GB" w:eastAsia="en-US"/>
        </w:rPr>
        <w:t>.</w:t>
      </w:r>
      <w:r w:rsidR="001C1AED">
        <w:rPr>
          <w:rFonts w:ascii="Times New Roman" w:hAnsi="Times New Roman"/>
          <w:szCs w:val="22"/>
          <w:lang w:val="en-GB" w:eastAsia="en-US"/>
        </w:rPr>
        <w:t xml:space="preserve"> </w:t>
      </w:r>
    </w:p>
    <w:p w14:paraId="053681B3" w14:textId="77777777" w:rsidR="00CF2EEB" w:rsidRPr="00317646" w:rsidRDefault="007467D9" w:rsidP="00E8568D">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Articles 4 to </w:t>
      </w:r>
      <w:r w:rsidR="000567CD" w:rsidRPr="00317646">
        <w:rPr>
          <w:rFonts w:ascii="Times New Roman" w:hAnsi="Times New Roman"/>
          <w:szCs w:val="22"/>
          <w:lang w:val="en-GB" w:eastAsia="en-US"/>
        </w:rPr>
        <w:t>14</w:t>
      </w:r>
      <w:r w:rsidRPr="00317646">
        <w:rPr>
          <w:rFonts w:ascii="Times New Roman" w:hAnsi="Times New Roman"/>
          <w:szCs w:val="22"/>
          <w:lang w:val="en-GB" w:eastAsia="en-US"/>
        </w:rPr>
        <w:t xml:space="preserve"> of this RRIF</w:t>
      </w:r>
      <w:r w:rsidR="00023D59" w:rsidRPr="00317646">
        <w:rPr>
          <w:rFonts w:ascii="Times New Roman" w:hAnsi="Times New Roman"/>
          <w:szCs w:val="22"/>
          <w:lang w:val="en-GB" w:eastAsia="en-US"/>
        </w:rPr>
        <w:t xml:space="preserve"> proposal</w:t>
      </w:r>
      <w:r w:rsidRPr="00317646">
        <w:rPr>
          <w:rFonts w:ascii="Times New Roman" w:hAnsi="Times New Roman"/>
          <w:szCs w:val="22"/>
          <w:lang w:val="en-GB" w:eastAsia="en-US"/>
        </w:rPr>
        <w:t xml:space="preserve"> fulfil the content described by the Article 19(3) of </w:t>
      </w:r>
      <w:r w:rsidR="00A15CDF" w:rsidRPr="00317646">
        <w:rPr>
          <w:rFonts w:ascii="Times New Roman" w:hAnsi="Times New Roman"/>
          <w:szCs w:val="22"/>
          <w:lang w:val="en-GB" w:eastAsia="en-US"/>
        </w:rPr>
        <w:t xml:space="preserve">the </w:t>
      </w:r>
      <w:r w:rsidR="00547B2A" w:rsidRPr="00317646">
        <w:rPr>
          <w:rFonts w:ascii="Times New Roman" w:hAnsi="Times New Roman"/>
          <w:szCs w:val="22"/>
          <w:lang w:val="en-GB" w:eastAsia="en-US"/>
        </w:rPr>
        <w:t>EBGL</w:t>
      </w:r>
      <w:r w:rsidRPr="00317646">
        <w:rPr>
          <w:rFonts w:ascii="Times New Roman" w:hAnsi="Times New Roman"/>
          <w:szCs w:val="22"/>
          <w:lang w:val="en-GB" w:eastAsia="en-US"/>
        </w:rPr>
        <w:t>.</w:t>
      </w:r>
    </w:p>
    <w:p w14:paraId="171A6B00" w14:textId="77777777" w:rsidR="007467D9" w:rsidRPr="00317646" w:rsidRDefault="007467D9" w:rsidP="007467D9">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The </w:t>
      </w:r>
      <w:r w:rsidR="00DE76CC" w:rsidRPr="00317646">
        <w:rPr>
          <w:rFonts w:ascii="Times New Roman" w:hAnsi="Times New Roman"/>
          <w:szCs w:val="22"/>
          <w:lang w:val="en-GB" w:eastAsia="en-US"/>
        </w:rPr>
        <w:t>RRIF</w:t>
      </w:r>
      <w:r w:rsidRPr="00317646">
        <w:rPr>
          <w:rFonts w:ascii="Times New Roman" w:hAnsi="Times New Roman"/>
          <w:szCs w:val="22"/>
          <w:lang w:val="en-GB" w:eastAsia="en-US"/>
        </w:rPr>
        <w:t xml:space="preserve"> contributes to the objective of non-discrimination and transparency in balancing markets pursuant to Article 3(1)(a), (2)(a) and (b) of the </w:t>
      </w:r>
      <w:r w:rsidR="00547B2A" w:rsidRPr="00317646">
        <w:rPr>
          <w:rFonts w:ascii="Times New Roman" w:hAnsi="Times New Roman"/>
          <w:szCs w:val="22"/>
          <w:lang w:val="en-GB" w:eastAsia="en-US"/>
        </w:rPr>
        <w:t>EBGL</w:t>
      </w:r>
      <w:r w:rsidRPr="00317646">
        <w:rPr>
          <w:rFonts w:ascii="Times New Roman" w:hAnsi="Times New Roman"/>
          <w:szCs w:val="22"/>
          <w:lang w:val="en-GB" w:eastAsia="en-US"/>
        </w:rPr>
        <w:t xml:space="preserve">, since the same methodology will apply to all RR TSOs and all BSPs in a non-discriminatory way. All RR TSOs will have access </w:t>
      </w:r>
      <w:r w:rsidRPr="00317646">
        <w:rPr>
          <w:rFonts w:ascii="Times New Roman" w:hAnsi="Times New Roman"/>
          <w:szCs w:val="22"/>
          <w:lang w:val="en-GB" w:eastAsia="en-US"/>
        </w:rPr>
        <w:lastRenderedPageBreak/>
        <w:t>to the same reliable information on settled volumes at the same time and in a transparent way. All BSPs will have access to the same reliable information on the settled volumes at the same time and in a transparent way.</w:t>
      </w:r>
    </w:p>
    <w:p w14:paraId="6B87909A" w14:textId="77777777" w:rsidR="007467D9" w:rsidRPr="00317646" w:rsidRDefault="007467D9" w:rsidP="007467D9">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The </w:t>
      </w:r>
      <w:r w:rsidR="00DE76CC" w:rsidRPr="00317646">
        <w:rPr>
          <w:rFonts w:ascii="Times New Roman" w:hAnsi="Times New Roman"/>
          <w:szCs w:val="22"/>
          <w:lang w:val="en-GB" w:eastAsia="en-US"/>
        </w:rPr>
        <w:t>RRIF</w:t>
      </w:r>
      <w:r w:rsidRPr="00317646">
        <w:rPr>
          <w:rFonts w:ascii="Times New Roman" w:hAnsi="Times New Roman"/>
          <w:szCs w:val="22"/>
          <w:lang w:val="en-GB" w:eastAsia="en-US"/>
        </w:rPr>
        <w:t xml:space="preserve"> contributes to the objective of enhancing efficiency of balancing as well as efficiency of European and national balancing markets pursuant to Article</w:t>
      </w:r>
      <w:r w:rsidR="00DE328E" w:rsidRPr="00317646">
        <w:rPr>
          <w:rFonts w:ascii="Times New Roman" w:hAnsi="Times New Roman"/>
          <w:szCs w:val="22"/>
          <w:lang w:val="en-GB" w:eastAsia="en-US"/>
        </w:rPr>
        <w:t>s</w:t>
      </w:r>
      <w:r w:rsidRPr="00317646">
        <w:rPr>
          <w:rFonts w:ascii="Times New Roman" w:hAnsi="Times New Roman"/>
          <w:szCs w:val="22"/>
          <w:lang w:val="en-GB" w:eastAsia="en-US"/>
        </w:rPr>
        <w:t xml:space="preserve"> 3(1)(b) and (2)(c) of the </w:t>
      </w:r>
      <w:r w:rsidR="00547B2A" w:rsidRPr="00317646">
        <w:rPr>
          <w:rFonts w:ascii="Times New Roman" w:hAnsi="Times New Roman"/>
          <w:szCs w:val="22"/>
          <w:lang w:val="en-GB" w:eastAsia="en-US"/>
        </w:rPr>
        <w:t>EBGL</w:t>
      </w:r>
      <w:r w:rsidRPr="00317646">
        <w:rPr>
          <w:rFonts w:ascii="Times New Roman" w:hAnsi="Times New Roman"/>
          <w:szCs w:val="22"/>
          <w:lang w:val="en-GB" w:eastAsia="en-US"/>
        </w:rPr>
        <w:t xml:space="preserve"> by </w:t>
      </w:r>
      <w:r w:rsidR="00910AEF" w:rsidRPr="00317646">
        <w:rPr>
          <w:rFonts w:ascii="Times New Roman" w:hAnsi="Times New Roman"/>
          <w:szCs w:val="22"/>
          <w:lang w:val="en-GB" w:eastAsia="en-US"/>
        </w:rPr>
        <w:t>minimis</w:t>
      </w:r>
      <w:r w:rsidR="005A3A81" w:rsidRPr="00317646">
        <w:rPr>
          <w:rFonts w:ascii="Times New Roman" w:hAnsi="Times New Roman"/>
          <w:szCs w:val="22"/>
          <w:lang w:val="en-GB" w:eastAsia="en-US"/>
        </w:rPr>
        <w:t xml:space="preserve">ing </w:t>
      </w:r>
      <w:r w:rsidR="00E14C2A" w:rsidRPr="00317646">
        <w:rPr>
          <w:rFonts w:ascii="Times New Roman" w:hAnsi="Times New Roman"/>
          <w:szCs w:val="22"/>
          <w:lang w:val="en-GB" w:eastAsia="en-US"/>
        </w:rPr>
        <w:t xml:space="preserve">the </w:t>
      </w:r>
      <w:r w:rsidR="00910AEF" w:rsidRPr="00317646">
        <w:rPr>
          <w:rFonts w:ascii="Times New Roman" w:hAnsi="Times New Roman"/>
          <w:szCs w:val="22"/>
          <w:lang w:val="en-GB" w:eastAsia="en-US"/>
        </w:rPr>
        <w:t xml:space="preserve">cost </w:t>
      </w:r>
      <w:r w:rsidRPr="00317646">
        <w:rPr>
          <w:rFonts w:ascii="Times New Roman" w:hAnsi="Times New Roman"/>
          <w:szCs w:val="22"/>
          <w:lang w:val="en-GB" w:eastAsia="en-US"/>
        </w:rPr>
        <w:t xml:space="preserve">of activated </w:t>
      </w:r>
      <w:r w:rsidR="00910AEF" w:rsidRPr="00317646">
        <w:rPr>
          <w:rFonts w:ascii="Times New Roman" w:hAnsi="Times New Roman"/>
          <w:szCs w:val="22"/>
          <w:lang w:val="en-GB" w:eastAsia="en-US"/>
        </w:rPr>
        <w:t>RR</w:t>
      </w:r>
      <w:r w:rsidRPr="00317646">
        <w:rPr>
          <w:rFonts w:ascii="Times New Roman" w:hAnsi="Times New Roman"/>
          <w:szCs w:val="22"/>
          <w:lang w:val="en-GB" w:eastAsia="en-US"/>
        </w:rPr>
        <w:t xml:space="preserve"> in Europe and the national balancing markets</w:t>
      </w:r>
      <w:r w:rsidR="00945C9A" w:rsidRPr="00317646">
        <w:rPr>
          <w:rFonts w:ascii="Times New Roman" w:hAnsi="Times New Roman"/>
          <w:szCs w:val="22"/>
          <w:lang w:val="en-GB" w:eastAsia="en-US"/>
        </w:rPr>
        <w:t xml:space="preserve"> and enhancing the Social W</w:t>
      </w:r>
      <w:r w:rsidR="00910AEF" w:rsidRPr="00317646">
        <w:rPr>
          <w:rFonts w:ascii="Times New Roman" w:hAnsi="Times New Roman"/>
          <w:szCs w:val="22"/>
          <w:lang w:val="en-GB" w:eastAsia="en-US"/>
        </w:rPr>
        <w:t>elfare</w:t>
      </w:r>
      <w:r w:rsidRPr="00317646">
        <w:rPr>
          <w:rFonts w:ascii="Times New Roman" w:hAnsi="Times New Roman"/>
          <w:szCs w:val="22"/>
          <w:lang w:val="en-GB" w:eastAsia="en-US"/>
        </w:rPr>
        <w:t>.</w:t>
      </w:r>
    </w:p>
    <w:p w14:paraId="4AC3473A" w14:textId="77777777" w:rsidR="007467D9" w:rsidRPr="00317646" w:rsidRDefault="007467D9" w:rsidP="007467D9">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The </w:t>
      </w:r>
      <w:r w:rsidR="00DE76CC" w:rsidRPr="00317646">
        <w:rPr>
          <w:rFonts w:ascii="Times New Roman" w:hAnsi="Times New Roman"/>
          <w:szCs w:val="22"/>
          <w:lang w:val="en-GB" w:eastAsia="en-US"/>
        </w:rPr>
        <w:t>RRIF</w:t>
      </w:r>
      <w:r w:rsidRPr="00317646">
        <w:rPr>
          <w:rFonts w:ascii="Times New Roman" w:hAnsi="Times New Roman"/>
          <w:szCs w:val="22"/>
          <w:lang w:val="en-GB" w:eastAsia="en-US"/>
        </w:rPr>
        <w:t xml:space="preserve"> contributes to the objective of integrating balancing markets pursuant to Article 3(1)(c) of the </w:t>
      </w:r>
      <w:r w:rsidR="00547B2A" w:rsidRPr="00317646">
        <w:rPr>
          <w:rFonts w:ascii="Times New Roman" w:hAnsi="Times New Roman"/>
          <w:szCs w:val="22"/>
          <w:lang w:val="en-GB" w:eastAsia="en-US"/>
        </w:rPr>
        <w:t>EBGL</w:t>
      </w:r>
      <w:r w:rsidRPr="00317646">
        <w:rPr>
          <w:rFonts w:ascii="Times New Roman" w:hAnsi="Times New Roman"/>
          <w:szCs w:val="22"/>
          <w:lang w:val="en-GB" w:eastAsia="en-US"/>
        </w:rPr>
        <w:t xml:space="preserve"> by implementation of the </w:t>
      </w:r>
      <w:r w:rsidR="00E649F4" w:rsidRPr="00317646">
        <w:rPr>
          <w:rFonts w:ascii="Times New Roman" w:hAnsi="Times New Roman"/>
          <w:szCs w:val="22"/>
          <w:lang w:val="en-GB" w:eastAsia="en-US"/>
        </w:rPr>
        <w:t>RR-Plat</w:t>
      </w:r>
      <w:r w:rsidR="00023D59" w:rsidRPr="00317646">
        <w:rPr>
          <w:rFonts w:ascii="Times New Roman" w:hAnsi="Times New Roman"/>
          <w:szCs w:val="22"/>
          <w:lang w:val="en-GB" w:eastAsia="en-US"/>
        </w:rPr>
        <w:t>form</w:t>
      </w:r>
      <w:r w:rsidR="003670C1" w:rsidRPr="00317646">
        <w:rPr>
          <w:rFonts w:ascii="Times New Roman" w:hAnsi="Times New Roman"/>
          <w:szCs w:val="22"/>
          <w:lang w:val="en-GB" w:eastAsia="en-US"/>
        </w:rPr>
        <w:t xml:space="preserve"> </w:t>
      </w:r>
      <w:r w:rsidRPr="00317646">
        <w:rPr>
          <w:rFonts w:ascii="Times New Roman" w:hAnsi="Times New Roman"/>
          <w:szCs w:val="22"/>
          <w:lang w:val="en-GB" w:eastAsia="en-US"/>
        </w:rPr>
        <w:t xml:space="preserve">to be used by all </w:t>
      </w:r>
      <w:r w:rsidR="00910AEF" w:rsidRPr="00317646">
        <w:rPr>
          <w:rFonts w:ascii="Times New Roman" w:hAnsi="Times New Roman"/>
          <w:szCs w:val="22"/>
          <w:lang w:val="en-GB" w:eastAsia="en-US"/>
        </w:rPr>
        <w:t xml:space="preserve">RR </w:t>
      </w:r>
      <w:r w:rsidRPr="00317646">
        <w:rPr>
          <w:rFonts w:ascii="Times New Roman" w:hAnsi="Times New Roman"/>
          <w:szCs w:val="22"/>
          <w:lang w:val="en-GB" w:eastAsia="en-US"/>
        </w:rPr>
        <w:t xml:space="preserve">TSOs </w:t>
      </w:r>
      <w:r w:rsidR="00910AEF" w:rsidRPr="00317646">
        <w:rPr>
          <w:rFonts w:ascii="Times New Roman" w:hAnsi="Times New Roman"/>
          <w:szCs w:val="22"/>
          <w:lang w:val="en-GB" w:eastAsia="en-US"/>
        </w:rPr>
        <w:t>in their</w:t>
      </w:r>
      <w:r w:rsidR="005A3A81" w:rsidRPr="00317646">
        <w:rPr>
          <w:rFonts w:ascii="Times New Roman" w:hAnsi="Times New Roman"/>
          <w:szCs w:val="22"/>
          <w:lang w:val="en-GB" w:eastAsia="en-US"/>
        </w:rPr>
        <w:t xml:space="preserve"> Load</w:t>
      </w:r>
      <w:r w:rsidR="0089152B" w:rsidRPr="00317646">
        <w:rPr>
          <w:rFonts w:ascii="Times New Roman" w:hAnsi="Times New Roman"/>
          <w:szCs w:val="22"/>
          <w:lang w:val="en-GB" w:eastAsia="en-US"/>
        </w:rPr>
        <w:t xml:space="preserve"> Frequency Control</w:t>
      </w:r>
      <w:r w:rsidR="00910AEF" w:rsidRPr="00317646">
        <w:rPr>
          <w:rFonts w:ascii="Times New Roman" w:hAnsi="Times New Roman"/>
          <w:szCs w:val="22"/>
          <w:lang w:val="en-GB" w:eastAsia="en-US"/>
        </w:rPr>
        <w:t xml:space="preserve"> </w:t>
      </w:r>
      <w:r w:rsidR="0089152B" w:rsidRPr="00317646">
        <w:rPr>
          <w:rFonts w:ascii="Times New Roman" w:hAnsi="Times New Roman"/>
          <w:szCs w:val="22"/>
          <w:lang w:val="en-GB" w:eastAsia="en-US"/>
        </w:rPr>
        <w:t>(</w:t>
      </w:r>
      <w:r w:rsidR="00174474" w:rsidRPr="00317646">
        <w:rPr>
          <w:rFonts w:ascii="Times New Roman" w:hAnsi="Times New Roman"/>
          <w:b/>
          <w:szCs w:val="22"/>
          <w:lang w:val="en-GB" w:eastAsia="en-US"/>
        </w:rPr>
        <w:t>LFC</w:t>
      </w:r>
      <w:r w:rsidR="0089152B" w:rsidRPr="00317646">
        <w:rPr>
          <w:rFonts w:ascii="Times New Roman" w:hAnsi="Times New Roman"/>
          <w:szCs w:val="22"/>
          <w:lang w:val="en-GB" w:eastAsia="en-US"/>
        </w:rPr>
        <w:t>)</w:t>
      </w:r>
      <w:r w:rsidR="00910AEF" w:rsidRPr="00317646">
        <w:rPr>
          <w:rFonts w:ascii="Times New Roman" w:hAnsi="Times New Roman"/>
          <w:szCs w:val="22"/>
          <w:lang w:val="en-GB" w:eastAsia="en-US"/>
        </w:rPr>
        <w:t xml:space="preserve"> </w:t>
      </w:r>
      <w:r w:rsidR="003670C1" w:rsidRPr="00317646">
        <w:rPr>
          <w:rFonts w:ascii="Times New Roman" w:hAnsi="Times New Roman"/>
          <w:szCs w:val="22"/>
          <w:lang w:val="en-GB" w:eastAsia="en-US"/>
        </w:rPr>
        <w:t>area</w:t>
      </w:r>
      <w:r w:rsidR="00910AEF" w:rsidRPr="00317646">
        <w:rPr>
          <w:rFonts w:ascii="Times New Roman" w:hAnsi="Times New Roman"/>
          <w:szCs w:val="22"/>
          <w:lang w:val="en-GB" w:eastAsia="en-US"/>
        </w:rPr>
        <w:t>.</w:t>
      </w:r>
    </w:p>
    <w:p w14:paraId="40904979" w14:textId="77777777" w:rsidR="00945C9A" w:rsidRPr="00317646" w:rsidRDefault="00945C9A" w:rsidP="00945C9A">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The RRIF contributes to the objective of playing a part in the</w:t>
      </w:r>
      <w:r w:rsidR="001C1AED">
        <w:rPr>
          <w:rFonts w:ascii="Times New Roman" w:hAnsi="Times New Roman"/>
          <w:szCs w:val="22"/>
          <w:lang w:val="en-GB" w:eastAsia="en-US"/>
        </w:rPr>
        <w:t xml:space="preserve"> </w:t>
      </w:r>
      <w:r w:rsidRPr="00317646">
        <w:rPr>
          <w:rFonts w:ascii="Times New Roman" w:hAnsi="Times New Roman"/>
          <w:szCs w:val="22"/>
          <w:lang w:val="en-GB" w:eastAsia="en-US"/>
        </w:rPr>
        <w:t>operational security pursuant to Articles 3(1)(c), (2)(d) and (f) of the EBGL since the proposed principles of optimisation reduce the activation of RR due to the netting of the RR balancing energy needs while optimizing the use of interconnections between RR TSOs, thus maximizing the overall Social Welfare.</w:t>
      </w:r>
    </w:p>
    <w:p w14:paraId="7A5F72C8" w14:textId="77777777" w:rsidR="007467D9" w:rsidRPr="00317646" w:rsidRDefault="007467D9" w:rsidP="007467D9">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The </w:t>
      </w:r>
      <w:r w:rsidR="00DE76CC" w:rsidRPr="00317646">
        <w:rPr>
          <w:rFonts w:ascii="Times New Roman" w:hAnsi="Times New Roman"/>
          <w:szCs w:val="22"/>
          <w:lang w:val="en-GB" w:eastAsia="en-US"/>
        </w:rPr>
        <w:t>RRIF</w:t>
      </w:r>
      <w:r w:rsidRPr="00317646">
        <w:rPr>
          <w:rFonts w:ascii="Times New Roman" w:hAnsi="Times New Roman"/>
          <w:szCs w:val="22"/>
          <w:lang w:val="en-GB" w:eastAsia="en-US"/>
        </w:rPr>
        <w:t xml:space="preserve"> contributes to the objective of facilitating the efficient and consistent functioning balancing markets pursuant to Article 3(1)(d) of the </w:t>
      </w:r>
      <w:r w:rsidR="00547B2A" w:rsidRPr="00317646">
        <w:rPr>
          <w:rFonts w:ascii="Times New Roman" w:hAnsi="Times New Roman"/>
          <w:szCs w:val="22"/>
          <w:lang w:val="en-GB" w:eastAsia="en-US"/>
        </w:rPr>
        <w:t>EBGL</w:t>
      </w:r>
      <w:r w:rsidRPr="00317646">
        <w:rPr>
          <w:rFonts w:ascii="Times New Roman" w:hAnsi="Times New Roman"/>
          <w:szCs w:val="22"/>
          <w:lang w:val="en-GB" w:eastAsia="en-US"/>
        </w:rPr>
        <w:t xml:space="preserve"> by </w:t>
      </w:r>
      <w:r w:rsidR="00910AEF" w:rsidRPr="00317646">
        <w:rPr>
          <w:rFonts w:ascii="Times New Roman" w:hAnsi="Times New Roman"/>
          <w:szCs w:val="22"/>
          <w:lang w:val="en-GB" w:eastAsia="en-US"/>
        </w:rPr>
        <w:t>minimising the</w:t>
      </w:r>
      <w:r w:rsidR="00062015" w:rsidRPr="00317646">
        <w:rPr>
          <w:rFonts w:ascii="Times New Roman" w:hAnsi="Times New Roman"/>
          <w:szCs w:val="22"/>
          <w:lang w:val="en-GB" w:eastAsia="en-US"/>
        </w:rPr>
        <w:t xml:space="preserve"> overall</w:t>
      </w:r>
      <w:r w:rsidR="00910AEF" w:rsidRPr="00317646">
        <w:rPr>
          <w:rFonts w:ascii="Times New Roman" w:hAnsi="Times New Roman"/>
          <w:szCs w:val="22"/>
          <w:lang w:val="en-GB" w:eastAsia="en-US"/>
        </w:rPr>
        <w:t xml:space="preserve"> cost of activated </w:t>
      </w:r>
      <w:r w:rsidR="00945C9A" w:rsidRPr="00317646">
        <w:rPr>
          <w:rFonts w:ascii="Times New Roman" w:hAnsi="Times New Roman"/>
          <w:szCs w:val="22"/>
          <w:lang w:val="en-GB" w:eastAsia="en-US"/>
        </w:rPr>
        <w:t>RR in Europe and enhancing the Social W</w:t>
      </w:r>
      <w:r w:rsidR="00910AEF" w:rsidRPr="00317646">
        <w:rPr>
          <w:rFonts w:ascii="Times New Roman" w:hAnsi="Times New Roman"/>
          <w:szCs w:val="22"/>
          <w:lang w:val="en-GB" w:eastAsia="en-US"/>
        </w:rPr>
        <w:t>elfare.</w:t>
      </w:r>
      <w:r w:rsidRPr="00317646">
        <w:rPr>
          <w:rFonts w:ascii="Times New Roman" w:hAnsi="Times New Roman"/>
          <w:szCs w:val="22"/>
          <w:lang w:val="en-GB" w:eastAsia="en-US"/>
        </w:rPr>
        <w:t xml:space="preserve"> </w:t>
      </w:r>
    </w:p>
    <w:p w14:paraId="3AC35BF7" w14:textId="77777777" w:rsidR="007467D9" w:rsidRPr="00317646" w:rsidRDefault="007467D9" w:rsidP="007467D9">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The </w:t>
      </w:r>
      <w:r w:rsidR="00DE76CC" w:rsidRPr="00317646">
        <w:rPr>
          <w:rFonts w:ascii="Times New Roman" w:hAnsi="Times New Roman"/>
          <w:szCs w:val="22"/>
          <w:lang w:val="en-GB" w:eastAsia="en-US"/>
        </w:rPr>
        <w:t>RRIF</w:t>
      </w:r>
      <w:r w:rsidRPr="00317646">
        <w:rPr>
          <w:rFonts w:ascii="Times New Roman" w:hAnsi="Times New Roman"/>
          <w:szCs w:val="22"/>
          <w:lang w:val="en-GB" w:eastAsia="en-US"/>
        </w:rPr>
        <w:t xml:space="preserve"> serves the requirement of Article 3(2)(e) </w:t>
      </w:r>
      <w:r w:rsidR="00B9452F" w:rsidRPr="00317646">
        <w:rPr>
          <w:rFonts w:ascii="Times New Roman" w:hAnsi="Times New Roman"/>
          <w:szCs w:val="22"/>
          <w:lang w:val="en-GB" w:eastAsia="en-US"/>
        </w:rPr>
        <w:t xml:space="preserve">of the </w:t>
      </w:r>
      <w:r w:rsidR="00547B2A" w:rsidRPr="00317646">
        <w:rPr>
          <w:rFonts w:ascii="Times New Roman" w:hAnsi="Times New Roman"/>
          <w:szCs w:val="22"/>
          <w:lang w:val="en-GB" w:eastAsia="en-US"/>
        </w:rPr>
        <w:t>EBGL</w:t>
      </w:r>
      <w:r w:rsidR="00B9452F" w:rsidRPr="00317646">
        <w:rPr>
          <w:rFonts w:ascii="Times New Roman" w:hAnsi="Times New Roman"/>
          <w:szCs w:val="22"/>
          <w:lang w:val="en-GB" w:eastAsia="en-US"/>
        </w:rPr>
        <w:t xml:space="preserve"> </w:t>
      </w:r>
      <w:r w:rsidRPr="00317646">
        <w:rPr>
          <w:rFonts w:ascii="Times New Roman" w:hAnsi="Times New Roman"/>
          <w:szCs w:val="22"/>
          <w:lang w:val="en-GB" w:eastAsia="en-US"/>
        </w:rPr>
        <w:t xml:space="preserve">since only available transmission capacity after the previous market timeframes is used for </w:t>
      </w:r>
      <w:r w:rsidR="00910AEF" w:rsidRPr="00317646">
        <w:rPr>
          <w:rFonts w:ascii="Times New Roman" w:hAnsi="Times New Roman"/>
          <w:szCs w:val="22"/>
          <w:lang w:val="en-GB" w:eastAsia="en-US"/>
        </w:rPr>
        <w:t>RR exchange</w:t>
      </w:r>
      <w:r w:rsidRPr="00317646">
        <w:rPr>
          <w:rFonts w:ascii="Times New Roman" w:hAnsi="Times New Roman"/>
          <w:szCs w:val="22"/>
          <w:lang w:val="en-GB" w:eastAsia="en-US"/>
        </w:rPr>
        <w:t xml:space="preserve"> and by this it is ensured that the development of the forward, day-ahead and intraday markets is not compromised.</w:t>
      </w:r>
    </w:p>
    <w:p w14:paraId="73ABEF90" w14:textId="77777777" w:rsidR="007467D9" w:rsidRPr="00317646" w:rsidRDefault="007467D9" w:rsidP="007467D9">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The </w:t>
      </w:r>
      <w:r w:rsidR="00DE76CC" w:rsidRPr="00317646">
        <w:rPr>
          <w:rFonts w:ascii="Times New Roman" w:hAnsi="Times New Roman"/>
          <w:szCs w:val="22"/>
          <w:lang w:val="en-GB" w:eastAsia="en-US"/>
        </w:rPr>
        <w:t>RRIF</w:t>
      </w:r>
      <w:r w:rsidRPr="00317646">
        <w:rPr>
          <w:rFonts w:ascii="Times New Roman" w:hAnsi="Times New Roman"/>
          <w:szCs w:val="22"/>
          <w:lang w:val="en-GB" w:eastAsia="en-US"/>
        </w:rPr>
        <w:t xml:space="preserve"> serves the requirement of Article 3(2)(h) </w:t>
      </w:r>
      <w:r w:rsidR="00B9452F" w:rsidRPr="00317646">
        <w:rPr>
          <w:rFonts w:ascii="Times New Roman" w:hAnsi="Times New Roman"/>
          <w:szCs w:val="22"/>
          <w:lang w:val="en-GB" w:eastAsia="en-US"/>
        </w:rPr>
        <w:t xml:space="preserve">of the </w:t>
      </w:r>
      <w:r w:rsidR="00547B2A" w:rsidRPr="00317646">
        <w:rPr>
          <w:rFonts w:ascii="Times New Roman" w:hAnsi="Times New Roman"/>
          <w:szCs w:val="22"/>
          <w:lang w:val="en-GB" w:eastAsia="en-US"/>
        </w:rPr>
        <w:t>EBGL</w:t>
      </w:r>
      <w:r w:rsidR="00B9452F" w:rsidRPr="00317646">
        <w:rPr>
          <w:rFonts w:ascii="Times New Roman" w:hAnsi="Times New Roman"/>
          <w:szCs w:val="22"/>
          <w:lang w:val="en-GB" w:eastAsia="en-US"/>
        </w:rPr>
        <w:t xml:space="preserve"> </w:t>
      </w:r>
      <w:r w:rsidRPr="00317646">
        <w:rPr>
          <w:rFonts w:ascii="Times New Roman" w:hAnsi="Times New Roman"/>
          <w:szCs w:val="22"/>
          <w:lang w:val="en-GB" w:eastAsia="en-US"/>
        </w:rPr>
        <w:t>since the technical framework proposed is based on agreed European standards, which are already in operation.</w:t>
      </w:r>
    </w:p>
    <w:p w14:paraId="2612698A" w14:textId="77777777" w:rsidR="007467D9" w:rsidRPr="00317646" w:rsidRDefault="007467D9" w:rsidP="007467D9">
      <w:pPr>
        <w:numPr>
          <w:ilvl w:val="0"/>
          <w:numId w:val="5"/>
        </w:numPr>
        <w:spacing w:after="120" w:line="259" w:lineRule="auto"/>
        <w:ind w:left="993" w:hanging="633"/>
        <w:jc w:val="both"/>
        <w:rPr>
          <w:rFonts w:ascii="Times New Roman" w:hAnsi="Times New Roman"/>
          <w:szCs w:val="22"/>
          <w:lang w:val="en-GB" w:eastAsia="en-US"/>
        </w:rPr>
      </w:pPr>
      <w:r w:rsidRPr="00317646">
        <w:rPr>
          <w:rFonts w:ascii="Times New Roman" w:hAnsi="Times New Roman"/>
          <w:szCs w:val="22"/>
          <w:lang w:val="en-GB" w:eastAsia="en-US"/>
        </w:rPr>
        <w:t xml:space="preserve">In conclusion, the </w:t>
      </w:r>
      <w:r w:rsidR="00DE76CC" w:rsidRPr="00317646">
        <w:rPr>
          <w:rFonts w:ascii="Times New Roman" w:hAnsi="Times New Roman"/>
          <w:szCs w:val="22"/>
          <w:lang w:val="en-GB" w:eastAsia="en-US"/>
        </w:rPr>
        <w:t>RRIF</w:t>
      </w:r>
      <w:r w:rsidRPr="00317646">
        <w:rPr>
          <w:rFonts w:ascii="Times New Roman" w:hAnsi="Times New Roman"/>
          <w:szCs w:val="22"/>
          <w:lang w:val="en-GB" w:eastAsia="en-US"/>
        </w:rPr>
        <w:t xml:space="preserve"> contributes to the general objectives of the </w:t>
      </w:r>
      <w:r w:rsidR="00547B2A" w:rsidRPr="00317646">
        <w:rPr>
          <w:rFonts w:ascii="Times New Roman" w:hAnsi="Times New Roman"/>
          <w:szCs w:val="22"/>
          <w:lang w:val="en-GB" w:eastAsia="en-US"/>
        </w:rPr>
        <w:t>EBGL</w:t>
      </w:r>
      <w:r w:rsidRPr="00317646">
        <w:rPr>
          <w:rFonts w:ascii="Times New Roman" w:hAnsi="Times New Roman"/>
          <w:szCs w:val="22"/>
          <w:lang w:val="en-GB" w:eastAsia="en-US"/>
        </w:rPr>
        <w:t>.</w:t>
      </w:r>
    </w:p>
    <w:p w14:paraId="2B67A149" w14:textId="77777777" w:rsidR="00C61B6A" w:rsidRPr="00317646" w:rsidRDefault="00C61B6A" w:rsidP="00B13C60">
      <w:pPr>
        <w:ind w:left="360" w:hanging="360"/>
        <w:rPr>
          <w:rFonts w:ascii="Times New Roman" w:hAnsi="Times New Roman"/>
          <w:szCs w:val="22"/>
          <w:lang w:val="en-GB" w:eastAsia="en-US"/>
        </w:rPr>
      </w:pPr>
    </w:p>
    <w:p w14:paraId="41A3324E" w14:textId="77777777" w:rsidR="00CF2EEB" w:rsidRPr="00317646" w:rsidRDefault="00CF2EEB" w:rsidP="00CF2EEB">
      <w:pPr>
        <w:spacing w:after="120" w:line="259" w:lineRule="auto"/>
        <w:ind w:left="993"/>
        <w:contextualSpacing/>
        <w:jc w:val="both"/>
        <w:rPr>
          <w:rFonts w:ascii="Times New Roman" w:hAnsi="Times New Roman"/>
          <w:szCs w:val="22"/>
          <w:lang w:val="en-GB" w:eastAsia="en-US"/>
        </w:rPr>
      </w:pPr>
    </w:p>
    <w:p w14:paraId="2CCDAA70" w14:textId="77777777" w:rsidR="00971BBF" w:rsidRPr="00317646" w:rsidRDefault="00CF2EEB" w:rsidP="00971BBF">
      <w:pPr>
        <w:spacing w:after="120"/>
        <w:jc w:val="both"/>
        <w:rPr>
          <w:rFonts w:ascii="Times New Roman" w:hAnsi="Times New Roman"/>
          <w:b/>
          <w:szCs w:val="22"/>
          <w:lang w:val="en-GB" w:eastAsia="en-US"/>
        </w:rPr>
      </w:pPr>
      <w:r w:rsidRPr="00317646">
        <w:rPr>
          <w:rFonts w:ascii="Times New Roman" w:hAnsi="Times New Roman"/>
          <w:b/>
          <w:szCs w:val="22"/>
          <w:lang w:val="en-GB" w:eastAsia="en-US"/>
        </w:rPr>
        <w:t>SUBMIT THE FOLLOWING RRIF PROPOSAL TO</w:t>
      </w:r>
      <w:r w:rsidR="005849DE" w:rsidRPr="00317646">
        <w:rPr>
          <w:rFonts w:ascii="Times New Roman" w:hAnsi="Times New Roman"/>
          <w:b/>
          <w:szCs w:val="22"/>
          <w:lang w:val="en-GB" w:eastAsia="en-US"/>
        </w:rPr>
        <w:t xml:space="preserve"> CONCERNED</w:t>
      </w:r>
      <w:r w:rsidRPr="00317646">
        <w:rPr>
          <w:rFonts w:ascii="Times New Roman" w:hAnsi="Times New Roman"/>
          <w:b/>
          <w:szCs w:val="22"/>
          <w:lang w:val="en-GB" w:eastAsia="en-US"/>
        </w:rPr>
        <w:t xml:space="preserve"> NATIONAL REGULATORY AUTHORITIES:</w:t>
      </w:r>
    </w:p>
    <w:p w14:paraId="691044D4" w14:textId="77777777" w:rsidR="007467D9" w:rsidRPr="00317646" w:rsidRDefault="007467D9">
      <w:pPr>
        <w:rPr>
          <w:rFonts w:ascii="Times New Roman" w:hAnsi="Times New Roman" w:cs="Arial"/>
          <w:b/>
          <w:color w:val="23236E"/>
          <w:sz w:val="24"/>
          <w:szCs w:val="28"/>
          <w:lang w:val="en-GB" w:eastAsia="en-US"/>
        </w:rPr>
      </w:pPr>
      <w:r w:rsidRPr="00317646">
        <w:rPr>
          <w:rFonts w:ascii="Times New Roman" w:hAnsi="Times New Roman" w:cs="Arial"/>
          <w:b/>
          <w:color w:val="23236E"/>
          <w:sz w:val="24"/>
          <w:szCs w:val="28"/>
          <w:lang w:val="en-GB" w:eastAsia="en-US"/>
        </w:rPr>
        <w:br w:type="page"/>
      </w:r>
    </w:p>
    <w:p w14:paraId="302D776C" w14:textId="77777777" w:rsidR="00971BBF" w:rsidRPr="00317646" w:rsidRDefault="00971BBF" w:rsidP="00971BBF">
      <w:pPr>
        <w:spacing w:before="400" w:after="120" w:line="340" w:lineRule="exact"/>
        <w:jc w:val="center"/>
        <w:outlineLvl w:val="0"/>
        <w:rPr>
          <w:rFonts w:ascii="Times New Roman" w:hAnsi="Times New Roman" w:cs="Arial"/>
          <w:b/>
          <w:color w:val="23236E"/>
          <w:sz w:val="24"/>
          <w:szCs w:val="28"/>
          <w:lang w:val="en-GB" w:eastAsia="en-US"/>
        </w:rPr>
      </w:pPr>
      <w:bookmarkStart w:id="4" w:name="_Toc51082147"/>
      <w:r w:rsidRPr="00317646">
        <w:rPr>
          <w:rFonts w:ascii="Times New Roman" w:hAnsi="Times New Roman" w:cs="Arial"/>
          <w:b/>
          <w:color w:val="23236E"/>
          <w:sz w:val="24"/>
          <w:szCs w:val="28"/>
          <w:lang w:val="en-GB" w:eastAsia="en-US"/>
        </w:rPr>
        <w:lastRenderedPageBreak/>
        <w:t>Abbreviations</w:t>
      </w:r>
      <w:bookmarkEnd w:id="4"/>
    </w:p>
    <w:p w14:paraId="5B4B2E1E" w14:textId="77777777" w:rsidR="00C7102E" w:rsidRPr="00317646" w:rsidRDefault="00E04766" w:rsidP="00971BBF">
      <w:pPr>
        <w:spacing w:after="120"/>
        <w:jc w:val="both"/>
        <w:rPr>
          <w:rFonts w:asciiTheme="minorHAnsi" w:hAnsiTheme="minorHAnsi" w:cstheme="minorHAnsi"/>
          <w:szCs w:val="22"/>
          <w:lang w:val="en-GB" w:eastAsia="en-US"/>
        </w:rPr>
      </w:pPr>
      <w:r w:rsidRPr="00317646">
        <w:rPr>
          <w:rFonts w:asciiTheme="minorHAnsi" w:hAnsiTheme="minorHAnsi" w:cstheme="minorHAnsi"/>
          <w:noProof/>
          <w:lang w:val="en-GB"/>
        </w:rPr>
        <w:t>The list below ref</w:t>
      </w:r>
      <w:r w:rsidR="00C7102E" w:rsidRPr="00317646">
        <w:rPr>
          <w:rFonts w:asciiTheme="minorHAnsi" w:hAnsiTheme="minorHAnsi" w:cstheme="minorHAnsi"/>
          <w:noProof/>
          <w:lang w:val="en-GB"/>
        </w:rPr>
        <w:t>ers to the abbreviations which appear and are used more than once in this RRIF</w:t>
      </w:r>
    </w:p>
    <w:p w14:paraId="6E352477" w14:textId="77777777" w:rsidR="00D96347" w:rsidRPr="00317646" w:rsidRDefault="00D96347" w:rsidP="00971BBF">
      <w:pPr>
        <w:spacing w:after="120"/>
        <w:jc w:val="both"/>
        <w:rPr>
          <w:rFonts w:ascii="Times New Roman" w:hAnsi="Times New Roman"/>
          <w:szCs w:val="22"/>
          <w:lang w:val="en-GB" w:eastAsia="en-US"/>
        </w:rPr>
      </w:pPr>
      <w:r w:rsidRPr="00317646">
        <w:rPr>
          <w:rFonts w:ascii="Times New Roman" w:hAnsi="Times New Roman"/>
          <w:szCs w:val="22"/>
          <w:lang w:val="en-GB" w:eastAsia="en-US"/>
        </w:rPr>
        <w:t>AOF: Activation optimization function</w:t>
      </w:r>
    </w:p>
    <w:p w14:paraId="07C4D4D5" w14:textId="77777777" w:rsidR="00684A47" w:rsidRPr="00317646" w:rsidRDefault="00684A47" w:rsidP="00971BBF">
      <w:pPr>
        <w:spacing w:after="120"/>
        <w:jc w:val="both"/>
        <w:rPr>
          <w:rFonts w:ascii="Times New Roman" w:hAnsi="Times New Roman"/>
          <w:szCs w:val="22"/>
          <w:lang w:val="en-GB" w:eastAsia="en-US"/>
        </w:rPr>
      </w:pPr>
      <w:r w:rsidRPr="00317646">
        <w:rPr>
          <w:rFonts w:ascii="Times New Roman" w:hAnsi="Times New Roman"/>
          <w:szCs w:val="22"/>
          <w:lang w:val="en-GB" w:eastAsia="en-US"/>
        </w:rPr>
        <w:t xml:space="preserve">CMOL: </w:t>
      </w:r>
      <w:r w:rsidR="00564F7E" w:rsidRPr="00317646">
        <w:rPr>
          <w:rFonts w:ascii="Times New Roman" w:hAnsi="Times New Roman"/>
          <w:szCs w:val="22"/>
          <w:lang w:val="en-GB" w:eastAsia="en-US"/>
        </w:rPr>
        <w:t>C</w:t>
      </w:r>
      <w:r w:rsidRPr="00317646">
        <w:rPr>
          <w:rFonts w:ascii="Times New Roman" w:hAnsi="Times New Roman"/>
          <w:szCs w:val="22"/>
          <w:lang w:val="en-GB" w:eastAsia="en-US"/>
        </w:rPr>
        <w:t xml:space="preserve">ommon </w:t>
      </w:r>
      <w:r w:rsidR="00A904AB" w:rsidRPr="00317646">
        <w:rPr>
          <w:rFonts w:ascii="Times New Roman" w:hAnsi="Times New Roman"/>
          <w:szCs w:val="22"/>
          <w:lang w:val="en-GB" w:eastAsia="en-US"/>
        </w:rPr>
        <w:t>m</w:t>
      </w:r>
      <w:r w:rsidRPr="00317646">
        <w:rPr>
          <w:rFonts w:ascii="Times New Roman" w:hAnsi="Times New Roman"/>
          <w:szCs w:val="22"/>
          <w:lang w:val="en-GB" w:eastAsia="en-US"/>
        </w:rPr>
        <w:t xml:space="preserve">erit </w:t>
      </w:r>
      <w:r w:rsidR="00A904AB" w:rsidRPr="00317646">
        <w:rPr>
          <w:rFonts w:ascii="Times New Roman" w:hAnsi="Times New Roman"/>
          <w:szCs w:val="22"/>
          <w:lang w:val="en-GB" w:eastAsia="en-US"/>
        </w:rPr>
        <w:t>o</w:t>
      </w:r>
      <w:r w:rsidRPr="00317646">
        <w:rPr>
          <w:rFonts w:ascii="Times New Roman" w:hAnsi="Times New Roman"/>
          <w:szCs w:val="22"/>
          <w:lang w:val="en-GB" w:eastAsia="en-US"/>
        </w:rPr>
        <w:t xml:space="preserve">rder </w:t>
      </w:r>
      <w:r w:rsidR="00A904AB" w:rsidRPr="00317646">
        <w:rPr>
          <w:rFonts w:ascii="Times New Roman" w:hAnsi="Times New Roman"/>
          <w:szCs w:val="22"/>
          <w:lang w:val="en-GB" w:eastAsia="en-US"/>
        </w:rPr>
        <w:t>l</w:t>
      </w:r>
      <w:r w:rsidRPr="00317646">
        <w:rPr>
          <w:rFonts w:ascii="Times New Roman" w:hAnsi="Times New Roman"/>
          <w:szCs w:val="22"/>
          <w:lang w:val="en-GB" w:eastAsia="en-US"/>
        </w:rPr>
        <w:t>ist</w:t>
      </w:r>
      <w:r w:rsidR="00580B45">
        <w:rPr>
          <w:rFonts w:ascii="Times New Roman" w:hAnsi="Times New Roman"/>
          <w:szCs w:val="22"/>
          <w:lang w:val="en-GB" w:eastAsia="en-US"/>
        </w:rPr>
        <w:t>s</w:t>
      </w:r>
    </w:p>
    <w:p w14:paraId="25259C90" w14:textId="77777777" w:rsidR="00E3764E" w:rsidRPr="00317646" w:rsidRDefault="00E3764E" w:rsidP="00971BBF">
      <w:pPr>
        <w:spacing w:after="120"/>
        <w:jc w:val="both"/>
        <w:rPr>
          <w:rFonts w:ascii="Times New Roman" w:hAnsi="Times New Roman"/>
          <w:szCs w:val="22"/>
          <w:lang w:val="en-GB" w:eastAsia="en-US"/>
        </w:rPr>
      </w:pPr>
      <w:r w:rsidRPr="00317646">
        <w:rPr>
          <w:rFonts w:ascii="Times New Roman" w:hAnsi="Times New Roman"/>
          <w:szCs w:val="22"/>
          <w:lang w:val="en-GB" w:eastAsia="en-US"/>
        </w:rPr>
        <w:t>FAT: Full Activation Time</w:t>
      </w:r>
    </w:p>
    <w:p w14:paraId="2EF40818" w14:textId="77777777" w:rsidR="00735ACC" w:rsidRPr="00317646" w:rsidRDefault="00735ACC" w:rsidP="00971BBF">
      <w:pPr>
        <w:spacing w:after="120"/>
        <w:jc w:val="both"/>
        <w:rPr>
          <w:rFonts w:ascii="Times New Roman" w:hAnsi="Times New Roman"/>
          <w:szCs w:val="22"/>
          <w:lang w:val="en-GB" w:eastAsia="en-US"/>
        </w:rPr>
      </w:pPr>
      <w:r w:rsidRPr="00317646">
        <w:rPr>
          <w:rFonts w:ascii="Times New Roman" w:hAnsi="Times New Roman"/>
          <w:szCs w:val="22"/>
          <w:lang w:val="en-GB" w:eastAsia="en-US"/>
        </w:rPr>
        <w:t xml:space="preserve">RR: </w:t>
      </w:r>
      <w:r w:rsidR="00564F7E" w:rsidRPr="00317646">
        <w:rPr>
          <w:rFonts w:ascii="Times New Roman" w:hAnsi="Times New Roman"/>
          <w:szCs w:val="22"/>
          <w:lang w:val="en-GB" w:eastAsia="en-US"/>
        </w:rPr>
        <w:t>R</w:t>
      </w:r>
      <w:r w:rsidRPr="00317646">
        <w:rPr>
          <w:rFonts w:ascii="Times New Roman" w:hAnsi="Times New Roman"/>
          <w:szCs w:val="22"/>
          <w:lang w:val="en-GB" w:eastAsia="en-US"/>
        </w:rPr>
        <w:t xml:space="preserve">eplacement </w:t>
      </w:r>
      <w:r w:rsidR="00A904AB" w:rsidRPr="00317646">
        <w:rPr>
          <w:rFonts w:ascii="Times New Roman" w:hAnsi="Times New Roman"/>
          <w:szCs w:val="22"/>
          <w:lang w:val="en-GB" w:eastAsia="en-US"/>
        </w:rPr>
        <w:t>r</w:t>
      </w:r>
      <w:r w:rsidRPr="00317646">
        <w:rPr>
          <w:rFonts w:ascii="Times New Roman" w:hAnsi="Times New Roman"/>
          <w:szCs w:val="22"/>
          <w:lang w:val="en-GB" w:eastAsia="en-US"/>
        </w:rPr>
        <w:t>eserve</w:t>
      </w:r>
    </w:p>
    <w:p w14:paraId="62E75B01" w14:textId="77777777" w:rsidR="000567CD" w:rsidRPr="00317646" w:rsidRDefault="000567CD" w:rsidP="00971BBF">
      <w:pPr>
        <w:spacing w:after="120"/>
        <w:jc w:val="both"/>
        <w:rPr>
          <w:rFonts w:ascii="Times New Roman" w:hAnsi="Times New Roman"/>
          <w:szCs w:val="22"/>
          <w:lang w:val="en-GB" w:eastAsia="en-US"/>
        </w:rPr>
      </w:pPr>
      <w:r w:rsidRPr="00317646">
        <w:rPr>
          <w:rFonts w:ascii="Times New Roman" w:hAnsi="Times New Roman"/>
          <w:szCs w:val="22"/>
          <w:lang w:val="en-GB" w:eastAsia="en-US"/>
        </w:rPr>
        <w:t>RRIF: RR Implementation Framework</w:t>
      </w:r>
    </w:p>
    <w:p w14:paraId="609B30D8" w14:textId="77777777" w:rsidR="00304B17" w:rsidRPr="00317646" w:rsidRDefault="00304B17" w:rsidP="00304B17">
      <w:pPr>
        <w:spacing w:after="120"/>
        <w:jc w:val="both"/>
        <w:rPr>
          <w:rFonts w:ascii="Times New Roman" w:hAnsi="Times New Roman"/>
          <w:szCs w:val="22"/>
          <w:lang w:val="en-GB" w:eastAsia="en-US"/>
        </w:rPr>
      </w:pPr>
      <w:r w:rsidRPr="00317646">
        <w:rPr>
          <w:rFonts w:ascii="Times New Roman" w:hAnsi="Times New Roman"/>
          <w:szCs w:val="22"/>
          <w:lang w:val="en-GB" w:eastAsia="en-US"/>
        </w:rPr>
        <w:t>LFC: Load Frequency Control</w:t>
      </w:r>
    </w:p>
    <w:p w14:paraId="3CADB57F" w14:textId="77777777" w:rsidR="00304B17" w:rsidRPr="00317646" w:rsidRDefault="00547B2A" w:rsidP="00304B17">
      <w:pPr>
        <w:spacing w:after="120"/>
        <w:jc w:val="both"/>
        <w:rPr>
          <w:rFonts w:ascii="Times New Roman" w:hAnsi="Times New Roman"/>
          <w:szCs w:val="22"/>
          <w:lang w:val="en-GB" w:eastAsia="en-US"/>
        </w:rPr>
      </w:pPr>
      <w:r w:rsidRPr="00317646">
        <w:rPr>
          <w:rFonts w:ascii="Times New Roman" w:hAnsi="Times New Roman"/>
          <w:szCs w:val="22"/>
          <w:lang w:val="en-GB" w:eastAsia="en-US"/>
        </w:rPr>
        <w:t>EBGL</w:t>
      </w:r>
      <w:r w:rsidR="00304B17" w:rsidRPr="00317646">
        <w:rPr>
          <w:rFonts w:ascii="Times New Roman" w:hAnsi="Times New Roman"/>
          <w:szCs w:val="22"/>
          <w:lang w:val="en-GB" w:eastAsia="en-US"/>
        </w:rPr>
        <w:t xml:space="preserve">: Guideline </w:t>
      </w:r>
      <w:r w:rsidRPr="00317646">
        <w:rPr>
          <w:rFonts w:ascii="Times New Roman" w:hAnsi="Times New Roman"/>
          <w:szCs w:val="22"/>
          <w:lang w:val="en-GB" w:eastAsia="en-US"/>
        </w:rPr>
        <w:t xml:space="preserve">on </w:t>
      </w:r>
      <w:r w:rsidR="00F27EB1" w:rsidRPr="00317646">
        <w:rPr>
          <w:rFonts w:ascii="Times New Roman" w:hAnsi="Times New Roman"/>
          <w:szCs w:val="22"/>
          <w:lang w:val="en-GB" w:eastAsia="en-US"/>
        </w:rPr>
        <w:t xml:space="preserve">Electricity </w:t>
      </w:r>
      <w:r w:rsidR="00304B17" w:rsidRPr="00317646">
        <w:rPr>
          <w:rFonts w:ascii="Times New Roman" w:hAnsi="Times New Roman"/>
          <w:szCs w:val="22"/>
          <w:lang w:val="en-GB" w:eastAsia="en-US"/>
        </w:rPr>
        <w:t>Balancing</w:t>
      </w:r>
    </w:p>
    <w:p w14:paraId="6F18999B" w14:textId="77777777" w:rsidR="001B6324" w:rsidRPr="00317646" w:rsidRDefault="00A40AA6" w:rsidP="001B6324">
      <w:pPr>
        <w:spacing w:after="120"/>
        <w:jc w:val="both"/>
        <w:rPr>
          <w:rFonts w:ascii="Times New Roman" w:hAnsi="Times New Roman"/>
          <w:szCs w:val="22"/>
          <w:lang w:val="en-GB" w:eastAsia="en-US"/>
        </w:rPr>
      </w:pPr>
      <w:r w:rsidRPr="00317646">
        <w:rPr>
          <w:rFonts w:ascii="Times New Roman" w:hAnsi="Times New Roman"/>
          <w:szCs w:val="22"/>
          <w:lang w:val="en-GB" w:eastAsia="en-US"/>
        </w:rPr>
        <w:t>SOGL</w:t>
      </w:r>
      <w:r w:rsidR="001B6324" w:rsidRPr="00317646">
        <w:rPr>
          <w:rFonts w:ascii="Times New Roman" w:hAnsi="Times New Roman"/>
          <w:szCs w:val="22"/>
          <w:lang w:val="en-GB" w:eastAsia="en-US"/>
        </w:rPr>
        <w:t>: Guideline on Electricity Transmission System Operation</w:t>
      </w:r>
    </w:p>
    <w:p w14:paraId="1DC9D2A9" w14:textId="77777777" w:rsidR="001B6324" w:rsidRPr="00317646" w:rsidRDefault="001B6324" w:rsidP="001B6324">
      <w:pPr>
        <w:spacing w:after="120"/>
        <w:jc w:val="both"/>
        <w:rPr>
          <w:rFonts w:ascii="Times New Roman" w:hAnsi="Times New Roman"/>
          <w:szCs w:val="22"/>
          <w:lang w:val="en-GB" w:eastAsia="en-US"/>
        </w:rPr>
      </w:pPr>
      <w:r w:rsidRPr="00317646">
        <w:rPr>
          <w:rFonts w:ascii="Times New Roman" w:hAnsi="Times New Roman"/>
          <w:szCs w:val="22"/>
          <w:lang w:val="en-GB" w:eastAsia="en-US"/>
        </w:rPr>
        <w:t>NRA: National Regulatory Authority</w:t>
      </w:r>
    </w:p>
    <w:p w14:paraId="62A360E7" w14:textId="77777777" w:rsidR="001B6324" w:rsidRPr="00317646" w:rsidRDefault="001B6324" w:rsidP="001B6324">
      <w:pPr>
        <w:spacing w:after="120"/>
        <w:jc w:val="both"/>
        <w:rPr>
          <w:rFonts w:ascii="Times New Roman" w:hAnsi="Times New Roman"/>
          <w:szCs w:val="22"/>
          <w:lang w:val="en-GB" w:eastAsia="en-US"/>
        </w:rPr>
      </w:pPr>
    </w:p>
    <w:p w14:paraId="30C97102" w14:textId="77777777" w:rsidR="004F245D" w:rsidRPr="00317646" w:rsidRDefault="004F245D">
      <w:pPr>
        <w:spacing w:after="120" w:line="260" w:lineRule="exact"/>
        <w:jc w:val="center"/>
        <w:outlineLvl w:val="1"/>
        <w:rPr>
          <w:rFonts w:ascii="Times New Roman" w:hAnsi="Times New Roman" w:cs="Arial"/>
          <w:b/>
          <w:color w:val="23236E"/>
          <w:sz w:val="24"/>
          <w:lang w:val="en-GB" w:eastAsia="en-US"/>
        </w:rPr>
      </w:pPr>
      <w:bookmarkStart w:id="5" w:name="_Toc432586769"/>
      <w:bookmarkStart w:id="6" w:name="_Toc432586789"/>
      <w:bookmarkStart w:id="7" w:name="_Toc445298913"/>
      <w:bookmarkStart w:id="8" w:name="_Toc445299175"/>
      <w:bookmarkStart w:id="9" w:name="_Toc445825431"/>
      <w:bookmarkStart w:id="10" w:name="_Toc51082148"/>
      <w:r w:rsidRPr="00317646">
        <w:rPr>
          <w:rFonts w:ascii="Times New Roman" w:hAnsi="Times New Roman" w:cs="Arial"/>
          <w:b/>
          <w:color w:val="23236E"/>
          <w:sz w:val="24"/>
          <w:lang w:val="en-GB" w:eastAsia="en-US"/>
        </w:rPr>
        <w:t>Article 1</w:t>
      </w:r>
      <w:r w:rsidRPr="00317646">
        <w:rPr>
          <w:rFonts w:ascii="Times New Roman" w:hAnsi="Times New Roman" w:cs="Arial"/>
          <w:b/>
          <w:color w:val="23236E"/>
          <w:sz w:val="24"/>
          <w:lang w:val="en-GB" w:eastAsia="en-US"/>
        </w:rPr>
        <w:br/>
        <w:t>Subject matter and scope</w:t>
      </w:r>
      <w:bookmarkEnd w:id="5"/>
      <w:bookmarkEnd w:id="6"/>
      <w:bookmarkEnd w:id="7"/>
      <w:bookmarkEnd w:id="8"/>
      <w:bookmarkEnd w:id="9"/>
      <w:bookmarkEnd w:id="10"/>
    </w:p>
    <w:p w14:paraId="3B013391" w14:textId="77777777" w:rsidR="00CA697D" w:rsidRPr="00317646" w:rsidRDefault="00CA697D" w:rsidP="003555B4">
      <w:pPr>
        <w:pStyle w:val="ListParagraph"/>
        <w:numPr>
          <w:ilvl w:val="0"/>
          <w:numId w:val="21"/>
        </w:numPr>
        <w:suppressAutoHyphens/>
      </w:pPr>
      <w:r w:rsidRPr="00317646">
        <w:t xml:space="preserve">The </w:t>
      </w:r>
      <w:r w:rsidR="00DE76CC" w:rsidRPr="00317646">
        <w:t>RR-Platform</w:t>
      </w:r>
      <w:r w:rsidRPr="00317646">
        <w:t xml:space="preserve"> </w:t>
      </w:r>
      <w:r w:rsidRPr="00317646">
        <w:rPr>
          <w:szCs w:val="22"/>
        </w:rPr>
        <w:t xml:space="preserve">as determined in this </w:t>
      </w:r>
      <w:r w:rsidR="00DE76CC" w:rsidRPr="00317646">
        <w:rPr>
          <w:szCs w:val="22"/>
        </w:rPr>
        <w:t>RRIF</w:t>
      </w:r>
      <w:r w:rsidRPr="00317646">
        <w:rPr>
          <w:szCs w:val="22"/>
        </w:rPr>
        <w:t xml:space="preserve"> </w:t>
      </w:r>
      <w:r w:rsidR="001B75FF" w:rsidRPr="00317646">
        <w:t xml:space="preserve">in accordance with Article 19 of the </w:t>
      </w:r>
      <w:r w:rsidR="00547B2A" w:rsidRPr="00317646">
        <w:t>EBGL</w:t>
      </w:r>
      <w:r w:rsidR="001B75FF" w:rsidRPr="00317646">
        <w:rPr>
          <w:szCs w:val="22"/>
        </w:rPr>
        <w:t xml:space="preserve"> </w:t>
      </w:r>
      <w:r w:rsidRPr="00317646">
        <w:rPr>
          <w:szCs w:val="22"/>
        </w:rPr>
        <w:t>is the common proposal of the RR TSOs</w:t>
      </w:r>
      <w:r w:rsidR="00A34568" w:rsidRPr="00317646">
        <w:rPr>
          <w:szCs w:val="22"/>
        </w:rPr>
        <w:t xml:space="preserve"> and TSOs intending to </w:t>
      </w:r>
      <w:r w:rsidR="00841A9F" w:rsidRPr="00317646">
        <w:rPr>
          <w:szCs w:val="22"/>
        </w:rPr>
        <w:t>develop</w:t>
      </w:r>
      <w:r w:rsidR="00A34568" w:rsidRPr="00317646">
        <w:rPr>
          <w:szCs w:val="22"/>
        </w:rPr>
        <w:t xml:space="preserve"> the RR process</w:t>
      </w:r>
      <w:r w:rsidRPr="00317646">
        <w:rPr>
          <w:szCs w:val="22"/>
        </w:rPr>
        <w:t xml:space="preserve"> </w:t>
      </w:r>
      <w:r w:rsidR="0027566B" w:rsidRPr="00317646">
        <w:rPr>
          <w:szCs w:val="22"/>
        </w:rPr>
        <w:t xml:space="preserve">which are: </w:t>
      </w:r>
      <w:r w:rsidR="0027566B" w:rsidRPr="00317646">
        <w:rPr>
          <w:szCs w:val="22"/>
          <w:lang w:eastAsia="en-US"/>
        </w:rPr>
        <w:t xml:space="preserve">National Grid, Swissgrid, </w:t>
      </w:r>
      <w:r w:rsidR="007517BE">
        <w:rPr>
          <w:szCs w:val="22"/>
          <w:lang w:eastAsia="en-US"/>
        </w:rPr>
        <w:t xml:space="preserve">REE, REN, </w:t>
      </w:r>
      <w:r w:rsidR="0027566B" w:rsidRPr="00317646">
        <w:rPr>
          <w:szCs w:val="22"/>
          <w:lang w:eastAsia="en-US"/>
        </w:rPr>
        <w:t>TERNA, Transelectrica, RTE, PSE and CEPS</w:t>
      </w:r>
      <w:r w:rsidR="001C1AED">
        <w:rPr>
          <w:szCs w:val="22"/>
        </w:rPr>
        <w:t xml:space="preserve"> </w:t>
      </w:r>
    </w:p>
    <w:p w14:paraId="38241359" w14:textId="77777777" w:rsidR="00503DC4" w:rsidRPr="00317646" w:rsidRDefault="00503DC4" w:rsidP="003555B4">
      <w:pPr>
        <w:pStyle w:val="ListParagraph"/>
        <w:numPr>
          <w:ilvl w:val="0"/>
          <w:numId w:val="21"/>
        </w:numPr>
        <w:suppressAutoHyphens/>
      </w:pPr>
      <w:r w:rsidRPr="00317646">
        <w:t>In case a TSO which is not in this list would like to implement the RR-Platform at a later stage:</w:t>
      </w:r>
    </w:p>
    <w:p w14:paraId="5B0716B8" w14:textId="77777777" w:rsidR="00503DC4" w:rsidRPr="00317646" w:rsidRDefault="00503DC4" w:rsidP="003555B4">
      <w:pPr>
        <w:pStyle w:val="ListParagraph"/>
        <w:numPr>
          <w:ilvl w:val="1"/>
          <w:numId w:val="21"/>
        </w:numPr>
        <w:suppressAutoHyphens/>
      </w:pPr>
      <w:r w:rsidRPr="00317646">
        <w:t>This RRIF will not be submitted again to the NRAs which have already approved the proposal made according to Article 19 of the EBGL;</w:t>
      </w:r>
    </w:p>
    <w:p w14:paraId="39FF856F" w14:textId="77777777" w:rsidR="00503DC4" w:rsidRPr="00317646" w:rsidRDefault="00503DC4" w:rsidP="003555B4">
      <w:pPr>
        <w:pStyle w:val="ListParagraph"/>
        <w:numPr>
          <w:ilvl w:val="1"/>
          <w:numId w:val="21"/>
        </w:numPr>
        <w:suppressAutoHyphens/>
      </w:pPr>
      <w:r w:rsidRPr="00317646">
        <w:t>This proposal will have to be submitted by the new TSO to its respective NRA.</w:t>
      </w:r>
    </w:p>
    <w:p w14:paraId="1AAEBF14" w14:textId="77777777" w:rsidR="00A76140" w:rsidRPr="00317646" w:rsidRDefault="00A76140" w:rsidP="003555B4">
      <w:pPr>
        <w:pStyle w:val="textenumeration"/>
        <w:numPr>
          <w:ilvl w:val="0"/>
          <w:numId w:val="21"/>
        </w:numPr>
        <w:rPr>
          <w:lang w:val="en-GB" w:eastAsia="en-US"/>
        </w:rPr>
      </w:pPr>
      <w:r w:rsidRPr="00317646">
        <w:rPr>
          <w:lang w:val="en-GB" w:eastAsia="en-US"/>
        </w:rPr>
        <w:t xml:space="preserve">This </w:t>
      </w:r>
      <w:r w:rsidR="00E979AF" w:rsidRPr="00317646">
        <w:rPr>
          <w:lang w:val="en-GB" w:eastAsia="en-US"/>
        </w:rPr>
        <w:t>RRIF</w:t>
      </w:r>
      <w:r w:rsidRPr="00317646">
        <w:rPr>
          <w:lang w:val="en-GB" w:eastAsia="en-US"/>
        </w:rPr>
        <w:t xml:space="preserve"> applies solely to the exchange of balancing energy from replacement reserves. European platforms for imbalance netting, manual and automatic frequency restoration reserves</w:t>
      </w:r>
      <w:r w:rsidRPr="00317646" w:rsidDel="001213FA">
        <w:rPr>
          <w:lang w:val="en-GB" w:eastAsia="en-US"/>
        </w:rPr>
        <w:t xml:space="preserve"> </w:t>
      </w:r>
      <w:r w:rsidRPr="00317646">
        <w:rPr>
          <w:lang w:val="en-GB" w:eastAsia="en-US"/>
        </w:rPr>
        <w:t xml:space="preserve">processes are out of the scope of this </w:t>
      </w:r>
      <w:r w:rsidR="00E979AF" w:rsidRPr="00317646">
        <w:rPr>
          <w:lang w:val="en-GB" w:eastAsia="en-US"/>
        </w:rPr>
        <w:t>RRIF</w:t>
      </w:r>
      <w:r w:rsidRPr="00317646">
        <w:rPr>
          <w:lang w:val="en-GB" w:eastAsia="en-US"/>
        </w:rPr>
        <w:t>.</w:t>
      </w:r>
    </w:p>
    <w:p w14:paraId="3CE52E3E" w14:textId="77777777" w:rsidR="003D05C9" w:rsidRPr="00317646" w:rsidRDefault="00A76140" w:rsidP="003555B4">
      <w:pPr>
        <w:pStyle w:val="textenumeration"/>
        <w:numPr>
          <w:ilvl w:val="0"/>
          <w:numId w:val="21"/>
        </w:numPr>
        <w:rPr>
          <w:lang w:val="en-GB"/>
        </w:rPr>
      </w:pPr>
      <w:r w:rsidRPr="00317646">
        <w:rPr>
          <w:lang w:val="en-GB"/>
        </w:rPr>
        <w:t xml:space="preserve">The </w:t>
      </w:r>
      <w:r w:rsidR="00DE76CC" w:rsidRPr="00317646">
        <w:rPr>
          <w:lang w:val="en-GB"/>
        </w:rPr>
        <w:t>RR-Platform</w:t>
      </w:r>
      <w:r w:rsidRPr="00317646">
        <w:rPr>
          <w:lang w:val="en-GB"/>
        </w:rPr>
        <w:t xml:space="preserve"> implements the exchange and activation of balancing energy from replacement reserves standard products, through an optimization algorithm </w:t>
      </w:r>
      <w:r w:rsidR="004E27D2" w:rsidRPr="00317646">
        <w:rPr>
          <w:lang w:val="en-GB"/>
        </w:rPr>
        <w:t>whilst</w:t>
      </w:r>
      <w:r w:rsidRPr="00317646">
        <w:rPr>
          <w:lang w:val="en-GB"/>
        </w:rPr>
        <w:t xml:space="preserve"> respecting the </w:t>
      </w:r>
      <w:r w:rsidR="005F6CBE" w:rsidRPr="00317646">
        <w:rPr>
          <w:lang w:val="en-GB"/>
        </w:rPr>
        <w:t>cross</w:t>
      </w:r>
      <w:r w:rsidR="00010959" w:rsidRPr="00317646">
        <w:rPr>
          <w:lang w:val="en-GB"/>
        </w:rPr>
        <w:t>-</w:t>
      </w:r>
      <w:r w:rsidR="005F6CBE" w:rsidRPr="00317646">
        <w:rPr>
          <w:lang w:val="en-GB"/>
        </w:rPr>
        <w:t xml:space="preserve">zonal </w:t>
      </w:r>
      <w:r w:rsidRPr="00317646">
        <w:rPr>
          <w:lang w:val="en-GB"/>
        </w:rPr>
        <w:t>capacity parameters constraints.</w:t>
      </w:r>
      <w:r w:rsidR="001C1AED">
        <w:rPr>
          <w:lang w:val="en-GB"/>
        </w:rPr>
        <w:t xml:space="preserve"> </w:t>
      </w:r>
    </w:p>
    <w:p w14:paraId="3F2BE168" w14:textId="77777777" w:rsidR="005F6CBE" w:rsidRPr="00317646" w:rsidRDefault="0004596D" w:rsidP="003555B4">
      <w:pPr>
        <w:pStyle w:val="textenumeration"/>
        <w:numPr>
          <w:ilvl w:val="0"/>
          <w:numId w:val="21"/>
        </w:numPr>
        <w:rPr>
          <w:lang w:val="en-GB"/>
        </w:rPr>
      </w:pPr>
      <w:r w:rsidRPr="00317646">
        <w:rPr>
          <w:lang w:val="en-GB"/>
        </w:rPr>
        <w:t>Article 30 of the EBGL on pricing for balancing energy and cross-zonal capacity and Article 50 of the EBGL on TSO-TSO settlement are out of the scope of this RRIF and will be treated in a separate proposal. However, this RRIF includes some principles in line with those articles.</w:t>
      </w:r>
    </w:p>
    <w:p w14:paraId="1173274E" w14:textId="77777777" w:rsidR="003977E9" w:rsidRPr="00317646" w:rsidRDefault="003977E9" w:rsidP="004231D2">
      <w:pPr>
        <w:pStyle w:val="textenumeration"/>
        <w:rPr>
          <w:lang w:val="en-GB"/>
        </w:rPr>
      </w:pPr>
    </w:p>
    <w:p w14:paraId="09B78A9F" w14:textId="77777777" w:rsidR="00820ADF" w:rsidRPr="00317646" w:rsidRDefault="00820ADF" w:rsidP="00820ADF">
      <w:pPr>
        <w:spacing w:after="120" w:line="260" w:lineRule="exact"/>
        <w:jc w:val="center"/>
        <w:outlineLvl w:val="1"/>
        <w:rPr>
          <w:rFonts w:ascii="Times New Roman" w:hAnsi="Times New Roman" w:cs="Arial"/>
          <w:b/>
          <w:color w:val="23236E"/>
          <w:sz w:val="24"/>
          <w:lang w:val="en-GB" w:eastAsia="en-US"/>
        </w:rPr>
      </w:pPr>
      <w:bookmarkStart w:id="11" w:name="_Toc51082149"/>
      <w:bookmarkStart w:id="12" w:name="_Toc432586770"/>
      <w:bookmarkStart w:id="13" w:name="_Toc432586790"/>
      <w:r w:rsidRPr="00317646">
        <w:rPr>
          <w:rFonts w:ascii="Times New Roman" w:hAnsi="Times New Roman" w:cs="Arial"/>
          <w:b/>
          <w:color w:val="23236E"/>
          <w:sz w:val="24"/>
          <w:lang w:val="en-GB" w:eastAsia="en-US"/>
        </w:rPr>
        <w:t>Article 2</w:t>
      </w:r>
      <w:r w:rsidRPr="00317646">
        <w:rPr>
          <w:rFonts w:ascii="Times New Roman" w:hAnsi="Times New Roman" w:cs="Arial"/>
          <w:b/>
          <w:color w:val="23236E"/>
          <w:sz w:val="24"/>
          <w:lang w:val="en-GB" w:eastAsia="en-US"/>
        </w:rPr>
        <w:br/>
        <w:t>Definitions</w:t>
      </w:r>
      <w:r w:rsidR="00023BC8" w:rsidRPr="00317646">
        <w:rPr>
          <w:rFonts w:ascii="Times New Roman" w:hAnsi="Times New Roman" w:cs="Arial"/>
          <w:b/>
          <w:color w:val="23236E"/>
          <w:sz w:val="24"/>
          <w:lang w:val="en-GB" w:eastAsia="en-US"/>
        </w:rPr>
        <w:t xml:space="preserve"> and interpretations</w:t>
      </w:r>
      <w:bookmarkEnd w:id="11"/>
    </w:p>
    <w:p w14:paraId="614D9A7A" w14:textId="77777777" w:rsidR="00023BC8" w:rsidRPr="00317646" w:rsidRDefault="00023BC8" w:rsidP="00B13FF4">
      <w:pPr>
        <w:pStyle w:val="textenumeration"/>
        <w:numPr>
          <w:ilvl w:val="0"/>
          <w:numId w:val="22"/>
        </w:numPr>
        <w:rPr>
          <w:lang w:val="en-GB" w:eastAsia="en-US"/>
        </w:rPr>
      </w:pPr>
      <w:r w:rsidRPr="00317646">
        <w:rPr>
          <w:lang w:val="en-GB" w:eastAsia="en-US"/>
        </w:rPr>
        <w:t xml:space="preserve">For the purposes of the </w:t>
      </w:r>
      <w:r w:rsidR="00866221" w:rsidRPr="00317646">
        <w:rPr>
          <w:lang w:val="en-GB" w:eastAsia="en-US"/>
        </w:rPr>
        <w:t>RRIF</w:t>
      </w:r>
      <w:r w:rsidRPr="00317646">
        <w:rPr>
          <w:lang w:val="en-GB" w:eastAsia="en-US"/>
        </w:rPr>
        <w:t>, the terms and conditions used shall have the meaning given to the</w:t>
      </w:r>
      <w:r w:rsidR="00BF0294" w:rsidRPr="00317646">
        <w:rPr>
          <w:lang w:val="en-GB" w:eastAsia="en-US"/>
        </w:rPr>
        <w:t>m</w:t>
      </w:r>
      <w:r w:rsidRPr="00317646">
        <w:rPr>
          <w:lang w:val="en-GB" w:eastAsia="en-US"/>
        </w:rPr>
        <w:t xml:space="preserve"> in Article 2 of </w:t>
      </w:r>
      <w:r w:rsidR="00BF0294" w:rsidRPr="00317646">
        <w:rPr>
          <w:lang w:val="en-GB" w:eastAsia="en-US"/>
        </w:rPr>
        <w:t xml:space="preserve">the </w:t>
      </w:r>
      <w:r w:rsidR="00547B2A" w:rsidRPr="00317646">
        <w:rPr>
          <w:lang w:val="en-GB" w:eastAsia="en-US"/>
        </w:rPr>
        <w:t>EBGL</w:t>
      </w:r>
      <w:r w:rsidRPr="00317646">
        <w:rPr>
          <w:lang w:val="en-GB" w:eastAsia="en-US"/>
        </w:rPr>
        <w:t xml:space="preserve">, Article 3 of </w:t>
      </w:r>
      <w:r w:rsidR="00BF0294" w:rsidRPr="00317646">
        <w:rPr>
          <w:lang w:val="en-GB" w:eastAsia="en-US"/>
        </w:rPr>
        <w:t xml:space="preserve">the </w:t>
      </w:r>
      <w:r w:rsidR="007C516B" w:rsidRPr="00317646">
        <w:rPr>
          <w:lang w:val="en-GB" w:eastAsia="en-US"/>
        </w:rPr>
        <w:t>SOGL</w:t>
      </w:r>
      <w:r w:rsidRPr="00317646">
        <w:rPr>
          <w:lang w:val="en-GB" w:eastAsia="en-US"/>
        </w:rPr>
        <w:t xml:space="preserve"> and Article 2 of Commission Regulation (EU) 2015/1222</w:t>
      </w:r>
      <w:r w:rsidR="005E0EC0" w:rsidRPr="00317646">
        <w:rPr>
          <w:lang w:val="en-GB" w:eastAsia="en-US"/>
        </w:rPr>
        <w:t xml:space="preserve"> of 24 July 2015</w:t>
      </w:r>
      <w:r w:rsidRPr="00317646">
        <w:rPr>
          <w:lang w:val="en-GB" w:eastAsia="en-US"/>
        </w:rPr>
        <w:t>.</w:t>
      </w:r>
      <w:r w:rsidR="007C516B" w:rsidRPr="00317646">
        <w:rPr>
          <w:lang w:val="en-GB" w:eastAsia="en-US"/>
        </w:rPr>
        <w:t xml:space="preserve"> </w:t>
      </w:r>
    </w:p>
    <w:p w14:paraId="792C144E" w14:textId="77777777" w:rsidR="00023BC8" w:rsidRPr="00317646" w:rsidRDefault="00023BC8" w:rsidP="00B13FF4">
      <w:pPr>
        <w:pStyle w:val="textenumeration"/>
        <w:numPr>
          <w:ilvl w:val="0"/>
          <w:numId w:val="22"/>
        </w:numPr>
        <w:rPr>
          <w:lang w:val="en-GB" w:eastAsia="en-US"/>
        </w:rPr>
      </w:pPr>
      <w:r w:rsidRPr="00317646">
        <w:rPr>
          <w:lang w:val="en-GB" w:eastAsia="en-US"/>
        </w:rPr>
        <w:t xml:space="preserve">In addition, in this </w:t>
      </w:r>
      <w:r w:rsidR="00DE76CC" w:rsidRPr="00317646">
        <w:rPr>
          <w:lang w:val="en-GB" w:eastAsia="en-US"/>
        </w:rPr>
        <w:t>RRIF</w:t>
      </w:r>
      <w:r w:rsidRPr="00317646">
        <w:rPr>
          <w:lang w:val="en-GB" w:eastAsia="en-US"/>
        </w:rPr>
        <w:t>, the following terms shall apply:</w:t>
      </w:r>
    </w:p>
    <w:p w14:paraId="2B13FA4F" w14:textId="77777777" w:rsidR="007B58A8" w:rsidRPr="00317646" w:rsidRDefault="00914591" w:rsidP="00B13FF4">
      <w:pPr>
        <w:pStyle w:val="ListParagraph"/>
        <w:numPr>
          <w:ilvl w:val="0"/>
          <w:numId w:val="23"/>
        </w:numPr>
        <w:suppressAutoHyphens/>
        <w:spacing w:before="240"/>
        <w:ind w:left="567" w:hanging="425"/>
      </w:pPr>
      <w:r w:rsidRPr="00317646">
        <w:rPr>
          <w:b/>
          <w:lang w:eastAsia="en-US"/>
        </w:rPr>
        <w:lastRenderedPageBreak/>
        <w:t xml:space="preserve">Appointed </w:t>
      </w:r>
      <w:r w:rsidR="007B58A8" w:rsidRPr="00317646">
        <w:rPr>
          <w:b/>
        </w:rPr>
        <w:t>Entity</w:t>
      </w:r>
      <w:r w:rsidR="007B58A8" w:rsidRPr="00317646">
        <w:t xml:space="preserve">: </w:t>
      </w:r>
      <w:r w:rsidR="003D05C9" w:rsidRPr="00317646">
        <w:t>means</w:t>
      </w:r>
      <w:r w:rsidR="007B58A8" w:rsidRPr="00317646">
        <w:t xml:space="preserve"> the entity</w:t>
      </w:r>
      <w:r w:rsidR="005076F7" w:rsidRPr="00317646">
        <w:t xml:space="preserve"> which is</w:t>
      </w:r>
      <w:r w:rsidR="007B58A8" w:rsidRPr="00317646">
        <w:t xml:space="preserve"> </w:t>
      </w:r>
      <w:r w:rsidR="00B865D8" w:rsidRPr="00317646">
        <w:t>appointed</w:t>
      </w:r>
      <w:r w:rsidR="003D05C9" w:rsidRPr="00317646">
        <w:t xml:space="preserve"> by the RR TSOs</w:t>
      </w:r>
      <w:r w:rsidR="007B58A8" w:rsidRPr="00317646">
        <w:t xml:space="preserve"> to operate all the RR-Platform functions</w:t>
      </w:r>
      <w:r w:rsidR="007A4E27" w:rsidRPr="00317646">
        <w:t>;</w:t>
      </w:r>
    </w:p>
    <w:p w14:paraId="387679D9" w14:textId="77777777" w:rsidR="00062015" w:rsidRPr="00317646" w:rsidRDefault="00062015" w:rsidP="00B13FF4">
      <w:pPr>
        <w:pStyle w:val="ListParagraph"/>
        <w:numPr>
          <w:ilvl w:val="0"/>
          <w:numId w:val="23"/>
        </w:numPr>
        <w:suppressAutoHyphens/>
        <w:spacing w:before="240"/>
        <w:ind w:left="567" w:hanging="425"/>
      </w:pPr>
      <w:r w:rsidRPr="00317646">
        <w:rPr>
          <w:b/>
        </w:rPr>
        <w:t>Cross</w:t>
      </w:r>
      <w:r w:rsidR="00C1336D" w:rsidRPr="00317646">
        <w:rPr>
          <w:b/>
        </w:rPr>
        <w:t>-z</w:t>
      </w:r>
      <w:r w:rsidRPr="00317646">
        <w:rPr>
          <w:b/>
        </w:rPr>
        <w:t>onal</w:t>
      </w:r>
      <w:r w:rsidRPr="00317646">
        <w:t xml:space="preserve">: </w:t>
      </w:r>
      <w:r w:rsidR="00603112" w:rsidRPr="00317646">
        <w:t>means a set of physical transmission lines linking</w:t>
      </w:r>
      <w:r w:rsidR="00AA0C8D" w:rsidRPr="00317646">
        <w:t xml:space="preserve"> the smallest area between</w:t>
      </w:r>
      <w:r w:rsidR="00603112" w:rsidRPr="00317646">
        <w:t xml:space="preserve"> adjacent LFC areas </w:t>
      </w:r>
      <w:r w:rsidR="00AA0C8D" w:rsidRPr="00317646">
        <w:t>and</w:t>
      </w:r>
      <w:r w:rsidR="00603112" w:rsidRPr="00317646">
        <w:t xml:space="preserve"> bidding zones;</w:t>
      </w:r>
    </w:p>
    <w:p w14:paraId="342D48CF" w14:textId="77777777" w:rsidR="00C1336D" w:rsidRPr="00317646" w:rsidRDefault="00062015" w:rsidP="00B13FF4">
      <w:pPr>
        <w:pStyle w:val="ListParagraph"/>
        <w:numPr>
          <w:ilvl w:val="0"/>
          <w:numId w:val="23"/>
        </w:numPr>
        <w:suppressAutoHyphens/>
        <w:spacing w:before="240"/>
        <w:ind w:left="567" w:hanging="425"/>
      </w:pPr>
      <w:r w:rsidRPr="00317646">
        <w:rPr>
          <w:b/>
        </w:rPr>
        <w:t>Cross</w:t>
      </w:r>
      <w:r w:rsidR="00C1336D" w:rsidRPr="00317646">
        <w:rPr>
          <w:b/>
        </w:rPr>
        <w:t>-z</w:t>
      </w:r>
      <w:r w:rsidRPr="00317646">
        <w:rPr>
          <w:b/>
        </w:rPr>
        <w:t xml:space="preserve">onal </w:t>
      </w:r>
      <w:r w:rsidR="00C1336D" w:rsidRPr="00317646">
        <w:rPr>
          <w:b/>
        </w:rPr>
        <w:t>c</w:t>
      </w:r>
      <w:r w:rsidRPr="00317646">
        <w:rPr>
          <w:b/>
        </w:rPr>
        <w:t>apacity</w:t>
      </w:r>
      <w:r w:rsidRPr="00317646">
        <w:t xml:space="preserve">: is the </w:t>
      </w:r>
      <w:r w:rsidR="00010959" w:rsidRPr="00317646">
        <w:t>c</w:t>
      </w:r>
      <w:r w:rsidRPr="00317646">
        <w:t>ross</w:t>
      </w:r>
      <w:r w:rsidR="00010959" w:rsidRPr="00317646">
        <w:t>-z</w:t>
      </w:r>
      <w:r w:rsidRPr="00317646">
        <w:t xml:space="preserve">onal </w:t>
      </w:r>
      <w:r w:rsidR="00010959" w:rsidRPr="00317646">
        <w:t>t</w:t>
      </w:r>
      <w:r w:rsidRPr="00317646">
        <w:t xml:space="preserve">ransmission </w:t>
      </w:r>
      <w:r w:rsidR="00010959" w:rsidRPr="00317646">
        <w:t>c</w:t>
      </w:r>
      <w:r w:rsidRPr="00317646">
        <w:t>apacity between</w:t>
      </w:r>
      <w:r w:rsidR="001A31FF" w:rsidRPr="00317646">
        <w:t xml:space="preserve"> two bidding zones</w:t>
      </w:r>
      <w:r w:rsidR="00603112" w:rsidRPr="00317646">
        <w:t xml:space="preserve"> belonging to the same RR TSO </w:t>
      </w:r>
      <w:r w:rsidR="001A31FF" w:rsidRPr="00317646">
        <w:t>or between</w:t>
      </w:r>
      <w:r w:rsidRPr="00317646">
        <w:t xml:space="preserve"> RR TSOs</w:t>
      </w:r>
      <w:r w:rsidR="00504DA3" w:rsidRPr="00317646">
        <w:t xml:space="preserve"> </w:t>
      </w:r>
      <w:r w:rsidRPr="00317646">
        <w:t xml:space="preserve">or </w:t>
      </w:r>
      <w:r w:rsidR="00146226" w:rsidRPr="00317646">
        <w:t xml:space="preserve">between zones </w:t>
      </w:r>
      <w:r w:rsidRPr="00317646">
        <w:t>where the TSO-BSP model is developed</w:t>
      </w:r>
      <w:r w:rsidR="00413D28" w:rsidRPr="00317646">
        <w:t>;</w:t>
      </w:r>
    </w:p>
    <w:p w14:paraId="484EF1E9" w14:textId="77777777" w:rsidR="00C1336D" w:rsidRPr="00317646" w:rsidRDefault="00C1336D" w:rsidP="00B13FF4">
      <w:pPr>
        <w:pStyle w:val="ListParagraph"/>
        <w:numPr>
          <w:ilvl w:val="0"/>
          <w:numId w:val="23"/>
        </w:numPr>
        <w:suppressAutoHyphens/>
        <w:spacing w:before="240"/>
        <w:ind w:left="567" w:hanging="425"/>
      </w:pPr>
      <w:r w:rsidRPr="00317646">
        <w:rPr>
          <w:b/>
        </w:rPr>
        <w:t>Cross-zonal capacity parameters</w:t>
      </w:r>
      <w:r w:rsidRPr="00317646">
        <w:t>: are the parameters defined by neighbouring</w:t>
      </w:r>
      <w:r w:rsidR="00B2256C" w:rsidRPr="00317646">
        <w:t xml:space="preserve"> RR</w:t>
      </w:r>
      <w:r w:rsidRPr="00317646">
        <w:t xml:space="preserve"> TSOs</w:t>
      </w:r>
      <w:r w:rsidR="001452CD" w:rsidRPr="00317646">
        <w:t xml:space="preserve"> or by a TSO (in case two or more bidding zones belong to that TSO control area)</w:t>
      </w:r>
      <w:r w:rsidRPr="00317646">
        <w:t xml:space="preserve"> such as the maximum and minimum limits of the cross-zonal capacity</w:t>
      </w:r>
      <w:r w:rsidR="00413D28" w:rsidRPr="00317646">
        <w:t>;</w:t>
      </w:r>
    </w:p>
    <w:p w14:paraId="17A340C7" w14:textId="77777777" w:rsidR="00861406" w:rsidRPr="00317646" w:rsidRDefault="00861406" w:rsidP="00B13FF4">
      <w:pPr>
        <w:pStyle w:val="ListParagraph"/>
        <w:numPr>
          <w:ilvl w:val="0"/>
          <w:numId w:val="23"/>
        </w:numPr>
        <w:suppressAutoHyphens/>
        <w:spacing w:before="240"/>
        <w:ind w:left="567" w:hanging="425"/>
        <w:rPr>
          <w:b/>
        </w:rPr>
      </w:pPr>
      <w:r w:rsidRPr="00317646">
        <w:rPr>
          <w:b/>
        </w:rPr>
        <w:t xml:space="preserve">Expert group(s): </w:t>
      </w:r>
      <w:r w:rsidRPr="00317646">
        <w:t>means the body including nominated experts of all RR</w:t>
      </w:r>
      <w:r w:rsidR="001B75FF" w:rsidRPr="00317646">
        <w:t xml:space="preserve"> TSOs</w:t>
      </w:r>
      <w:r w:rsidRPr="00317646">
        <w:t xml:space="preserve"> </w:t>
      </w:r>
      <w:r w:rsidR="001B75FF" w:rsidRPr="00317646">
        <w:t>(both</w:t>
      </w:r>
      <w:r w:rsidR="00AC6256" w:rsidRPr="00317646">
        <w:t xml:space="preserve"> </w:t>
      </w:r>
      <w:r w:rsidR="001B75FF" w:rsidRPr="00317646">
        <w:t xml:space="preserve">Member </w:t>
      </w:r>
      <w:r w:rsidRPr="00317646">
        <w:t xml:space="preserve">and </w:t>
      </w:r>
      <w:r w:rsidR="001B75FF" w:rsidRPr="00317646">
        <w:t>O</w:t>
      </w:r>
      <w:r w:rsidRPr="00317646">
        <w:t>bserver</w:t>
      </w:r>
      <w:r w:rsidR="001B75FF" w:rsidRPr="00317646">
        <w:t xml:space="preserve">) </w:t>
      </w:r>
      <w:r w:rsidR="00BC2B52" w:rsidRPr="00317646">
        <w:t xml:space="preserve">of </w:t>
      </w:r>
      <w:r w:rsidR="00CD47C1" w:rsidRPr="00317646">
        <w:t xml:space="preserve">the Implementation project </w:t>
      </w:r>
      <w:r w:rsidR="001B75FF" w:rsidRPr="00317646">
        <w:t>and</w:t>
      </w:r>
      <w:r w:rsidRPr="00317646">
        <w:t xml:space="preserve"> </w:t>
      </w:r>
      <w:r w:rsidR="00DE76CC" w:rsidRPr="00317646">
        <w:t>RR-Platform</w:t>
      </w:r>
      <w:r w:rsidRPr="00317646">
        <w:t xml:space="preserve"> to fulfil the requirements defined in the </w:t>
      </w:r>
      <w:r w:rsidR="00DE76CC" w:rsidRPr="00317646">
        <w:t>RRIF</w:t>
      </w:r>
      <w:r w:rsidRPr="00317646">
        <w:t>;</w:t>
      </w:r>
      <w:r w:rsidRPr="00317646">
        <w:rPr>
          <w:b/>
        </w:rPr>
        <w:t xml:space="preserve"> </w:t>
      </w:r>
    </w:p>
    <w:p w14:paraId="6CF8D08E" w14:textId="77777777" w:rsidR="00CD47C1" w:rsidRPr="00317646" w:rsidRDefault="00CD47C1" w:rsidP="00B13FF4">
      <w:pPr>
        <w:pStyle w:val="ListParagraph"/>
        <w:numPr>
          <w:ilvl w:val="0"/>
          <w:numId w:val="23"/>
        </w:numPr>
        <w:spacing w:line="259" w:lineRule="auto"/>
        <w:ind w:left="567" w:hanging="425"/>
        <w:rPr>
          <w:rFonts w:ascii="Times New Roman" w:hAnsi="Times New Roman" w:cs="Times New Roman"/>
          <w:b/>
          <w:szCs w:val="22"/>
        </w:rPr>
      </w:pPr>
      <w:r w:rsidRPr="00317646">
        <w:rPr>
          <w:b/>
        </w:rPr>
        <w:t xml:space="preserve">Implementation project: </w:t>
      </w:r>
      <w:r w:rsidRPr="00317646">
        <w:t>means the project which implements the RR-Platform;</w:t>
      </w:r>
      <w:r w:rsidRPr="00317646">
        <w:rPr>
          <w:b/>
        </w:rPr>
        <w:t xml:space="preserve"> </w:t>
      </w:r>
    </w:p>
    <w:p w14:paraId="2065D59E" w14:textId="77777777" w:rsidR="00FF0AE4" w:rsidRPr="00317646" w:rsidRDefault="00CD4BA4" w:rsidP="00B13FF4">
      <w:pPr>
        <w:pStyle w:val="ListParagraph"/>
        <w:numPr>
          <w:ilvl w:val="0"/>
          <w:numId w:val="23"/>
        </w:numPr>
        <w:spacing w:line="259" w:lineRule="auto"/>
        <w:ind w:left="567" w:hanging="425"/>
        <w:rPr>
          <w:rFonts w:ascii="Times New Roman" w:hAnsi="Times New Roman" w:cs="Times New Roman"/>
          <w:b/>
          <w:szCs w:val="22"/>
        </w:rPr>
      </w:pPr>
      <w:r w:rsidRPr="00317646">
        <w:rPr>
          <w:rFonts w:ascii="Times New Roman" w:hAnsi="Times New Roman" w:cs="Times New Roman"/>
          <w:b/>
          <w:szCs w:val="22"/>
        </w:rPr>
        <w:t>Member</w:t>
      </w:r>
      <w:r w:rsidR="00FF0AE4" w:rsidRPr="00317646">
        <w:rPr>
          <w:rFonts w:ascii="Times New Roman" w:hAnsi="Times New Roman" w:cs="Times New Roman"/>
          <w:b/>
          <w:szCs w:val="22"/>
        </w:rPr>
        <w:t xml:space="preserve">: </w:t>
      </w:r>
      <w:r w:rsidR="00871AA9" w:rsidRPr="00317646">
        <w:t>means the RR TSO who is</w:t>
      </w:r>
      <w:r w:rsidR="00521F62" w:rsidRPr="00317646">
        <w:t xml:space="preserve"> a</w:t>
      </w:r>
      <w:r w:rsidR="00871AA9" w:rsidRPr="00317646">
        <w:t xml:space="preserve"> member of</w:t>
      </w:r>
      <w:r w:rsidR="001503E6" w:rsidRPr="00317646">
        <w:t xml:space="preserve"> the </w:t>
      </w:r>
      <w:r w:rsidR="00CD47C1" w:rsidRPr="00317646">
        <w:t xml:space="preserve">Implementation </w:t>
      </w:r>
      <w:r w:rsidR="001503E6" w:rsidRPr="00317646">
        <w:t xml:space="preserve">project </w:t>
      </w:r>
      <w:r w:rsidR="00874E70" w:rsidRPr="00317646">
        <w:t>and/</w:t>
      </w:r>
      <w:r w:rsidR="001503E6" w:rsidRPr="00317646">
        <w:t xml:space="preserve">or </w:t>
      </w:r>
      <w:r w:rsidR="00DE76CC" w:rsidRPr="00317646">
        <w:t>RR-Platform</w:t>
      </w:r>
      <w:r w:rsidR="001503E6" w:rsidRPr="00317646">
        <w:t xml:space="preserve"> and has decision making power to participate in the decision-making according to Article</w:t>
      </w:r>
      <w:r w:rsidR="00125FB3" w:rsidRPr="00317646">
        <w:t xml:space="preserve"> </w:t>
      </w:r>
      <w:r w:rsidR="005A6AAF" w:rsidRPr="00317646">
        <w:t>10</w:t>
      </w:r>
      <w:r w:rsidR="00871AA9" w:rsidRPr="00317646">
        <w:t>;</w:t>
      </w:r>
    </w:p>
    <w:p w14:paraId="7DC0D5F4" w14:textId="77777777" w:rsidR="00FF0AE4" w:rsidRPr="00317646" w:rsidRDefault="00FF0AE4" w:rsidP="00B13FF4">
      <w:pPr>
        <w:pStyle w:val="ListParagraph"/>
        <w:numPr>
          <w:ilvl w:val="0"/>
          <w:numId w:val="23"/>
        </w:numPr>
        <w:spacing w:line="259" w:lineRule="auto"/>
        <w:ind w:left="567" w:hanging="425"/>
        <w:rPr>
          <w:rFonts w:ascii="Times New Roman" w:hAnsi="Times New Roman" w:cs="Times New Roman"/>
          <w:szCs w:val="22"/>
        </w:rPr>
      </w:pPr>
      <w:r w:rsidRPr="00317646">
        <w:rPr>
          <w:rFonts w:ascii="Times New Roman" w:hAnsi="Times New Roman" w:cs="Times New Roman"/>
          <w:b/>
          <w:szCs w:val="22"/>
        </w:rPr>
        <w:t>Market Participants</w:t>
      </w:r>
      <w:r w:rsidRPr="00317646">
        <w:rPr>
          <w:rFonts w:ascii="Times New Roman" w:hAnsi="Times New Roman" w:cs="Times New Roman"/>
          <w:szCs w:val="22"/>
        </w:rPr>
        <w:t xml:space="preserve">: </w:t>
      </w:r>
      <w:r w:rsidR="001503E6" w:rsidRPr="00317646">
        <w:rPr>
          <w:rFonts w:ascii="Times New Roman" w:hAnsi="Times New Roman" w:cs="Times New Roman"/>
          <w:szCs w:val="22"/>
        </w:rPr>
        <w:t xml:space="preserve">means such BSPs and BRPs </w:t>
      </w:r>
      <w:r w:rsidR="00B5686B" w:rsidRPr="00317646">
        <w:rPr>
          <w:rFonts w:ascii="Times New Roman" w:hAnsi="Times New Roman" w:cs="Times New Roman"/>
          <w:szCs w:val="22"/>
        </w:rPr>
        <w:t>impacted</w:t>
      </w:r>
      <w:r w:rsidR="001503E6" w:rsidRPr="00317646">
        <w:rPr>
          <w:rFonts w:ascii="Times New Roman" w:hAnsi="Times New Roman" w:cs="Times New Roman"/>
          <w:szCs w:val="22"/>
        </w:rPr>
        <w:t xml:space="preserve"> by the</w:t>
      </w:r>
      <w:r w:rsidR="001E6A31" w:rsidRPr="00317646">
        <w:rPr>
          <w:rFonts w:ascii="Times New Roman" w:hAnsi="Times New Roman" w:cs="Times New Roman"/>
          <w:szCs w:val="22"/>
        </w:rPr>
        <w:t xml:space="preserve"> </w:t>
      </w:r>
      <w:r w:rsidR="00CD47C1" w:rsidRPr="00317646">
        <w:t xml:space="preserve">Implementation </w:t>
      </w:r>
      <w:r w:rsidR="001E6A31" w:rsidRPr="00317646">
        <w:rPr>
          <w:rFonts w:ascii="Times New Roman" w:hAnsi="Times New Roman" w:cs="Times New Roman"/>
          <w:szCs w:val="22"/>
        </w:rPr>
        <w:t>project and/or</w:t>
      </w:r>
      <w:r w:rsidR="001503E6" w:rsidRPr="00317646">
        <w:rPr>
          <w:rFonts w:ascii="Times New Roman" w:hAnsi="Times New Roman" w:cs="Times New Roman"/>
          <w:szCs w:val="22"/>
        </w:rPr>
        <w:t xml:space="preserve"> </w:t>
      </w:r>
      <w:r w:rsidR="001E6A31" w:rsidRPr="00317646">
        <w:rPr>
          <w:rFonts w:ascii="Times New Roman" w:hAnsi="Times New Roman" w:cs="Times New Roman"/>
          <w:szCs w:val="22"/>
        </w:rPr>
        <w:t xml:space="preserve">the </w:t>
      </w:r>
      <w:r w:rsidR="001503E6" w:rsidRPr="00317646">
        <w:rPr>
          <w:rFonts w:ascii="Times New Roman" w:hAnsi="Times New Roman" w:cs="Times New Roman"/>
          <w:szCs w:val="22"/>
        </w:rPr>
        <w:t xml:space="preserve">implementation of the </w:t>
      </w:r>
      <w:r w:rsidR="00DE76CC" w:rsidRPr="00317646">
        <w:rPr>
          <w:rFonts w:ascii="Times New Roman" w:hAnsi="Times New Roman" w:cs="Times New Roman"/>
          <w:szCs w:val="22"/>
        </w:rPr>
        <w:t>RR-Platform</w:t>
      </w:r>
      <w:r w:rsidR="001503E6" w:rsidRPr="00317646">
        <w:rPr>
          <w:rFonts w:ascii="Times New Roman" w:hAnsi="Times New Roman" w:cs="Times New Roman"/>
          <w:szCs w:val="22"/>
        </w:rPr>
        <w:t xml:space="preserve"> in the RR countries</w:t>
      </w:r>
      <w:r w:rsidR="00DE76CC" w:rsidRPr="00317646">
        <w:rPr>
          <w:rFonts w:ascii="Times New Roman" w:hAnsi="Times New Roman" w:cs="Times New Roman"/>
          <w:szCs w:val="22"/>
        </w:rPr>
        <w:t>;</w:t>
      </w:r>
    </w:p>
    <w:p w14:paraId="69DCDD63" w14:textId="77777777" w:rsidR="00F80E63" w:rsidRPr="00317646" w:rsidRDefault="00F80E63" w:rsidP="00B13FF4">
      <w:pPr>
        <w:pStyle w:val="ListParagraph"/>
        <w:numPr>
          <w:ilvl w:val="0"/>
          <w:numId w:val="23"/>
        </w:numPr>
        <w:suppressAutoHyphens/>
        <w:spacing w:before="240"/>
        <w:ind w:left="567" w:hanging="425"/>
      </w:pPr>
      <w:r w:rsidRPr="00317646">
        <w:rPr>
          <w:b/>
        </w:rPr>
        <w:t>Net position</w:t>
      </w:r>
      <w:r w:rsidRPr="00317646">
        <w:t>: is the netted sum of electricity export and import for each delivery period for a bidding zone. In the scope of this RRIF, the net position corresponds to the netted sum of electricity export and import for each delivery period for a bidding zone, resulting from RR-Platform;</w:t>
      </w:r>
    </w:p>
    <w:p w14:paraId="59260098" w14:textId="77777777" w:rsidR="00C843B1" w:rsidRPr="00317646" w:rsidRDefault="00A13BA1" w:rsidP="00B13FF4">
      <w:pPr>
        <w:pStyle w:val="ListParagraph"/>
        <w:numPr>
          <w:ilvl w:val="0"/>
          <w:numId w:val="23"/>
        </w:numPr>
        <w:suppressAutoHyphens/>
        <w:spacing w:before="240"/>
        <w:ind w:left="567" w:hanging="425"/>
      </w:pPr>
      <w:r w:rsidRPr="00317646">
        <w:rPr>
          <w:b/>
        </w:rPr>
        <w:t>Observer</w:t>
      </w:r>
      <w:r w:rsidRPr="00317646">
        <w:t xml:space="preserve">: </w:t>
      </w:r>
      <w:r w:rsidR="001503E6" w:rsidRPr="00317646">
        <w:t xml:space="preserve">means </w:t>
      </w:r>
    </w:p>
    <w:p w14:paraId="21F1BB0F" w14:textId="77777777" w:rsidR="00A13BA1" w:rsidRPr="00317646" w:rsidRDefault="001503E6" w:rsidP="00B13FF4">
      <w:pPr>
        <w:pStyle w:val="ListParagraph"/>
        <w:numPr>
          <w:ilvl w:val="1"/>
          <w:numId w:val="23"/>
        </w:numPr>
        <w:suppressAutoHyphens/>
        <w:spacing w:before="240"/>
      </w:pPr>
      <w:r w:rsidRPr="00317646">
        <w:t>the</w:t>
      </w:r>
      <w:r w:rsidR="00CC3F86" w:rsidRPr="00317646">
        <w:t xml:space="preserve"> </w:t>
      </w:r>
      <w:r w:rsidR="00E8735C" w:rsidRPr="00317646">
        <w:t xml:space="preserve">RR </w:t>
      </w:r>
      <w:r w:rsidR="00CC3F86" w:rsidRPr="00317646">
        <w:t>TSO</w:t>
      </w:r>
      <w:r w:rsidR="00E8735C" w:rsidRPr="00317646">
        <w:t>s</w:t>
      </w:r>
      <w:r w:rsidR="00CC3F86" w:rsidRPr="00317646">
        <w:t xml:space="preserve"> </w:t>
      </w:r>
      <w:r w:rsidR="00A13BA1" w:rsidRPr="00317646">
        <w:t xml:space="preserve">participating </w:t>
      </w:r>
      <w:r w:rsidR="0004596D" w:rsidRPr="00317646">
        <w:t>in</w:t>
      </w:r>
      <w:r w:rsidR="00A13BA1" w:rsidRPr="00317646">
        <w:t xml:space="preserve"> the </w:t>
      </w:r>
      <w:r w:rsidR="00CD47C1" w:rsidRPr="00317646">
        <w:t xml:space="preserve">Implementation </w:t>
      </w:r>
      <w:r w:rsidR="00A13BA1" w:rsidRPr="00317646">
        <w:t>project</w:t>
      </w:r>
      <w:r w:rsidRPr="00317646">
        <w:t xml:space="preserve"> </w:t>
      </w:r>
      <w:r w:rsidR="007E774C" w:rsidRPr="00317646">
        <w:t xml:space="preserve">and/or </w:t>
      </w:r>
      <w:r w:rsidR="00DE76CC" w:rsidRPr="00317646">
        <w:t>RR-Platform</w:t>
      </w:r>
      <w:r w:rsidR="00F80E63" w:rsidRPr="00317646">
        <w:t>, not as a Member</w:t>
      </w:r>
      <w:r w:rsidRPr="00317646">
        <w:t>,</w:t>
      </w:r>
      <w:r w:rsidR="00A13BA1" w:rsidRPr="00317646">
        <w:t xml:space="preserve"> without decision making power</w:t>
      </w:r>
      <w:r w:rsidR="00CC3F86" w:rsidRPr="00317646">
        <w:t xml:space="preserve"> and without a neighbouring RR TSO</w:t>
      </w:r>
      <w:r w:rsidR="00C843B1" w:rsidRPr="00317646">
        <w:t>, or;</w:t>
      </w:r>
    </w:p>
    <w:p w14:paraId="51A2013F" w14:textId="77777777" w:rsidR="00C843B1" w:rsidRPr="00317646" w:rsidRDefault="0004596D" w:rsidP="00B13FF4">
      <w:pPr>
        <w:pStyle w:val="ListParagraph"/>
        <w:numPr>
          <w:ilvl w:val="1"/>
          <w:numId w:val="23"/>
        </w:numPr>
        <w:suppressAutoHyphens/>
        <w:spacing w:before="240"/>
      </w:pPr>
      <w:r w:rsidRPr="00317646">
        <w:t>the TSOs participating in</w:t>
      </w:r>
      <w:r w:rsidR="00C843B1" w:rsidRPr="00317646">
        <w:t xml:space="preserve"> the </w:t>
      </w:r>
      <w:r w:rsidR="00CD47C1" w:rsidRPr="00317646">
        <w:t xml:space="preserve">Implementation </w:t>
      </w:r>
      <w:r w:rsidR="00C843B1" w:rsidRPr="00317646">
        <w:t>project, not as a Member, without decision making power.</w:t>
      </w:r>
    </w:p>
    <w:p w14:paraId="4F169CB6" w14:textId="77777777" w:rsidR="007C7B63" w:rsidRPr="00317646" w:rsidRDefault="00A13BA1" w:rsidP="00B13FF4">
      <w:pPr>
        <w:pStyle w:val="ListParagraph"/>
        <w:numPr>
          <w:ilvl w:val="0"/>
          <w:numId w:val="23"/>
        </w:numPr>
        <w:suppressAutoHyphens/>
        <w:spacing w:before="240"/>
        <w:ind w:left="567" w:hanging="425"/>
      </w:pPr>
      <w:r w:rsidRPr="00317646">
        <w:rPr>
          <w:b/>
        </w:rPr>
        <w:t>Region</w:t>
      </w:r>
      <w:r w:rsidRPr="00317646">
        <w:t xml:space="preserve">: </w:t>
      </w:r>
      <w:r w:rsidR="003D05C9" w:rsidRPr="00317646">
        <w:t>means a geographical area that</w:t>
      </w:r>
      <w:r w:rsidRPr="00317646">
        <w:t xml:space="preserve"> </w:t>
      </w:r>
      <w:r w:rsidR="003D05C9" w:rsidRPr="00317646">
        <w:t>covers</w:t>
      </w:r>
      <w:r w:rsidRPr="00317646">
        <w:t xml:space="preserve"> all the RR TSOs</w:t>
      </w:r>
      <w:r w:rsidR="00271099" w:rsidRPr="00317646">
        <w:t xml:space="preserve"> which will use the RR-Platform</w:t>
      </w:r>
      <w:r w:rsidR="00DE76CC" w:rsidRPr="00317646">
        <w:t>;</w:t>
      </w:r>
    </w:p>
    <w:p w14:paraId="3186CF41" w14:textId="77777777" w:rsidR="004023D9" w:rsidRPr="00317646" w:rsidRDefault="00DE76CC" w:rsidP="00B13FF4">
      <w:pPr>
        <w:pStyle w:val="ListParagraph"/>
        <w:numPr>
          <w:ilvl w:val="0"/>
          <w:numId w:val="23"/>
        </w:numPr>
        <w:suppressAutoHyphens/>
        <w:spacing w:before="240"/>
        <w:ind w:left="567" w:hanging="425"/>
      </w:pPr>
      <w:r w:rsidRPr="00317646">
        <w:rPr>
          <w:rFonts w:ascii="Times New Roman" w:hAnsi="Times New Roman" w:cs="Times New Roman"/>
          <w:b/>
          <w:szCs w:val="22"/>
        </w:rPr>
        <w:t>RR-Platform</w:t>
      </w:r>
      <w:r w:rsidR="00FF0AE4" w:rsidRPr="00317646">
        <w:rPr>
          <w:rFonts w:ascii="Times New Roman" w:hAnsi="Times New Roman" w:cs="Times New Roman"/>
          <w:szCs w:val="22"/>
        </w:rPr>
        <w:t>:</w:t>
      </w:r>
      <w:r w:rsidR="0031447D" w:rsidRPr="00317646">
        <w:rPr>
          <w:rFonts w:ascii="Times New Roman" w:hAnsi="Times New Roman" w:cs="Times New Roman"/>
          <w:szCs w:val="22"/>
        </w:rPr>
        <w:t xml:space="preserve"> </w:t>
      </w:r>
      <w:r w:rsidR="00DB0E9D" w:rsidRPr="00317646">
        <w:rPr>
          <w:rFonts w:ascii="Times New Roman" w:hAnsi="Times New Roman" w:cs="Times New Roman"/>
          <w:szCs w:val="22"/>
        </w:rPr>
        <w:t xml:space="preserve">is the </w:t>
      </w:r>
      <w:r w:rsidR="00BB3BF5" w:rsidRPr="00317646">
        <w:rPr>
          <w:rFonts w:ascii="Times New Roman" w:hAnsi="Times New Roman"/>
          <w:szCs w:val="22"/>
          <w:lang w:eastAsia="en-US"/>
        </w:rPr>
        <w:t xml:space="preserve">European platform for </w:t>
      </w:r>
      <w:r w:rsidR="007C7B63" w:rsidRPr="00317646">
        <w:rPr>
          <w:rFonts w:ascii="Times New Roman" w:hAnsi="Times New Roman"/>
          <w:szCs w:val="22"/>
          <w:lang w:eastAsia="en-US"/>
        </w:rPr>
        <w:t>the exchange of balancing energy from replacement reserves</w:t>
      </w:r>
      <w:r w:rsidRPr="00317646">
        <w:rPr>
          <w:rFonts w:ascii="Times New Roman" w:hAnsi="Times New Roman" w:cs="Times New Roman"/>
          <w:szCs w:val="22"/>
        </w:rPr>
        <w:t>;</w:t>
      </w:r>
    </w:p>
    <w:p w14:paraId="1BC9C1FD" w14:textId="77777777" w:rsidR="00857D3A" w:rsidRPr="00317646" w:rsidRDefault="00FF0AE4" w:rsidP="00B13FF4">
      <w:pPr>
        <w:pStyle w:val="ListParagraph"/>
        <w:numPr>
          <w:ilvl w:val="0"/>
          <w:numId w:val="23"/>
        </w:numPr>
        <w:suppressAutoHyphens/>
        <w:spacing w:before="240"/>
        <w:ind w:left="567" w:hanging="425"/>
        <w:rPr>
          <w:rFonts w:ascii="Times New Roman" w:hAnsi="Times New Roman"/>
          <w:szCs w:val="22"/>
        </w:rPr>
      </w:pPr>
      <w:r w:rsidRPr="00317646">
        <w:rPr>
          <w:rFonts w:ascii="Times New Roman" w:hAnsi="Times New Roman"/>
          <w:b/>
          <w:szCs w:val="22"/>
        </w:rPr>
        <w:t>RR TSO</w:t>
      </w:r>
      <w:r w:rsidR="00874E70" w:rsidRPr="00317646">
        <w:rPr>
          <w:rFonts w:ascii="Times New Roman" w:hAnsi="Times New Roman"/>
          <w:b/>
          <w:szCs w:val="22"/>
        </w:rPr>
        <w:t>s</w:t>
      </w:r>
      <w:r w:rsidRPr="00317646">
        <w:rPr>
          <w:rFonts w:ascii="Times New Roman" w:hAnsi="Times New Roman"/>
          <w:szCs w:val="22"/>
        </w:rPr>
        <w:t>:</w:t>
      </w:r>
      <w:r w:rsidR="00857D3A" w:rsidRPr="00317646">
        <w:rPr>
          <w:rFonts w:ascii="Times New Roman" w:hAnsi="Times New Roman"/>
          <w:szCs w:val="22"/>
        </w:rPr>
        <w:t xml:space="preserve"> </w:t>
      </w:r>
      <w:r w:rsidR="004023D9" w:rsidRPr="00317646">
        <w:rPr>
          <w:rFonts w:ascii="Times New Roman" w:hAnsi="Times New Roman"/>
          <w:szCs w:val="22"/>
        </w:rPr>
        <w:t>means the TSOs performing the RR process pursuant to the</w:t>
      </w:r>
      <w:r w:rsidR="002F4F5C" w:rsidRPr="00317646">
        <w:rPr>
          <w:rFonts w:ascii="Times New Roman" w:hAnsi="Times New Roman"/>
          <w:szCs w:val="22"/>
        </w:rPr>
        <w:t xml:space="preserve"> Article 144</w:t>
      </w:r>
      <w:r w:rsidR="00930D95" w:rsidRPr="00317646">
        <w:rPr>
          <w:rFonts w:ascii="Times New Roman" w:hAnsi="Times New Roman"/>
          <w:szCs w:val="22"/>
        </w:rPr>
        <w:t xml:space="preserve"> and Part IV</w:t>
      </w:r>
      <w:r w:rsidR="001C1AED">
        <w:rPr>
          <w:rFonts w:ascii="Times New Roman" w:hAnsi="Times New Roman"/>
          <w:szCs w:val="22"/>
        </w:rPr>
        <w:t xml:space="preserve"> </w:t>
      </w:r>
      <w:r w:rsidR="002F4F5C" w:rsidRPr="00317646">
        <w:rPr>
          <w:rFonts w:ascii="Times New Roman" w:hAnsi="Times New Roman"/>
          <w:szCs w:val="22"/>
        </w:rPr>
        <w:t xml:space="preserve">of the </w:t>
      </w:r>
      <w:r w:rsidR="005849DE" w:rsidRPr="00317646">
        <w:rPr>
          <w:rFonts w:ascii="Times New Roman" w:hAnsi="Times New Roman"/>
          <w:szCs w:val="22"/>
        </w:rPr>
        <w:t>SOGL</w:t>
      </w:r>
      <w:r w:rsidR="00DE76CC" w:rsidRPr="00317646">
        <w:rPr>
          <w:rFonts w:ascii="Times New Roman" w:hAnsi="Times New Roman"/>
          <w:szCs w:val="22"/>
        </w:rPr>
        <w:t>;</w:t>
      </w:r>
    </w:p>
    <w:p w14:paraId="2623C46E" w14:textId="77777777" w:rsidR="00FF0AE4" w:rsidRPr="00317646" w:rsidRDefault="00FF0AE4" w:rsidP="00B13FF4">
      <w:pPr>
        <w:pStyle w:val="ListParagraph"/>
        <w:numPr>
          <w:ilvl w:val="0"/>
          <w:numId w:val="23"/>
        </w:numPr>
        <w:spacing w:line="259" w:lineRule="auto"/>
        <w:ind w:left="567" w:hanging="425"/>
        <w:rPr>
          <w:rFonts w:ascii="Times New Roman" w:hAnsi="Times New Roman" w:cs="Times New Roman"/>
          <w:szCs w:val="22"/>
        </w:rPr>
      </w:pPr>
      <w:r w:rsidRPr="00317646">
        <w:rPr>
          <w:rFonts w:ascii="Times New Roman" w:hAnsi="Times New Roman" w:cs="Times New Roman"/>
          <w:b/>
          <w:szCs w:val="22"/>
        </w:rPr>
        <w:t>RR Country</w:t>
      </w:r>
      <w:r w:rsidRPr="00317646">
        <w:rPr>
          <w:rFonts w:ascii="Times New Roman" w:hAnsi="Times New Roman" w:cs="Times New Roman"/>
          <w:szCs w:val="22"/>
        </w:rPr>
        <w:t xml:space="preserve">: </w:t>
      </w:r>
      <w:r w:rsidR="003D05C9" w:rsidRPr="00317646">
        <w:rPr>
          <w:rFonts w:ascii="Times New Roman" w:hAnsi="Times New Roman" w:cs="Times New Roman"/>
          <w:szCs w:val="22"/>
        </w:rPr>
        <w:t>means</w:t>
      </w:r>
      <w:r w:rsidR="00DB0E9D" w:rsidRPr="00317646">
        <w:rPr>
          <w:rFonts w:ascii="Times New Roman" w:hAnsi="Times New Roman" w:cs="Times New Roman"/>
          <w:szCs w:val="22"/>
        </w:rPr>
        <w:t xml:space="preserve"> a</w:t>
      </w:r>
      <w:r w:rsidRPr="00317646">
        <w:rPr>
          <w:rFonts w:ascii="Times New Roman" w:hAnsi="Times New Roman" w:cs="Times New Roman"/>
          <w:szCs w:val="22"/>
        </w:rPr>
        <w:t xml:space="preserve"> country</w:t>
      </w:r>
      <w:r w:rsidR="007E2BF2" w:rsidRPr="00317646">
        <w:rPr>
          <w:rFonts w:ascii="Times New Roman" w:hAnsi="Times New Roman" w:cs="Times New Roman"/>
          <w:szCs w:val="22"/>
        </w:rPr>
        <w:t xml:space="preserve"> for which the</w:t>
      </w:r>
      <w:r w:rsidR="00857D3A" w:rsidRPr="00317646">
        <w:rPr>
          <w:rFonts w:ascii="Times New Roman" w:hAnsi="Times New Roman" w:cs="Times New Roman"/>
          <w:szCs w:val="22"/>
        </w:rPr>
        <w:t>re is a RR</w:t>
      </w:r>
      <w:r w:rsidR="003D05C9" w:rsidRPr="00317646">
        <w:rPr>
          <w:rFonts w:ascii="Times New Roman" w:hAnsi="Times New Roman" w:cs="Times New Roman"/>
          <w:szCs w:val="22"/>
        </w:rPr>
        <w:t xml:space="preserve"> </w:t>
      </w:r>
      <w:r w:rsidR="00857D3A" w:rsidRPr="00317646">
        <w:rPr>
          <w:rFonts w:ascii="Times New Roman" w:hAnsi="Times New Roman" w:cs="Times New Roman"/>
          <w:szCs w:val="22"/>
        </w:rPr>
        <w:t>TSO</w:t>
      </w:r>
      <w:r w:rsidR="00DE76CC" w:rsidRPr="00317646">
        <w:rPr>
          <w:rFonts w:ascii="Times New Roman" w:hAnsi="Times New Roman" w:cs="Times New Roman"/>
          <w:szCs w:val="22"/>
        </w:rPr>
        <w:t>;</w:t>
      </w:r>
    </w:p>
    <w:p w14:paraId="4533684F" w14:textId="77777777" w:rsidR="000D3DFC" w:rsidRPr="00317646" w:rsidRDefault="000D3DFC" w:rsidP="00B13FF4">
      <w:pPr>
        <w:pStyle w:val="ListParagraph"/>
        <w:numPr>
          <w:ilvl w:val="0"/>
          <w:numId w:val="23"/>
        </w:numPr>
        <w:suppressAutoHyphens/>
        <w:spacing w:before="240"/>
        <w:ind w:left="567" w:hanging="425"/>
      </w:pPr>
      <w:r w:rsidRPr="00317646">
        <w:rPr>
          <w:b/>
        </w:rPr>
        <w:t>Social Welfare</w:t>
      </w:r>
      <w:r w:rsidRPr="00317646">
        <w:t xml:space="preserve">: in the context of Activation Optimization Function, is the total surplus of the participating TSOs obtained from satisfying their RR demands submitted to the RR platform and the total surplus of BSPs resulting from the activation of their associated submitted </w:t>
      </w:r>
      <w:r w:rsidR="00B865D8" w:rsidRPr="00317646">
        <w:t>Bid</w:t>
      </w:r>
      <w:r w:rsidRPr="00317646">
        <w:t xml:space="preserve">s. The curve consisting of positive TSO RR </w:t>
      </w:r>
      <w:r w:rsidR="004B381D" w:rsidRPr="00317646">
        <w:rPr>
          <w:lang w:eastAsia="en-US"/>
        </w:rPr>
        <w:t>balancing energy needs</w:t>
      </w:r>
      <w:r w:rsidR="0075680B" w:rsidRPr="00317646">
        <w:rPr>
          <w:lang w:eastAsia="en-US"/>
        </w:rPr>
        <w:t xml:space="preserve"> </w:t>
      </w:r>
      <w:r w:rsidRPr="00317646">
        <w:t xml:space="preserve">submitted to the RR platform and downward BSP RR </w:t>
      </w:r>
      <w:r w:rsidR="00B865D8" w:rsidRPr="00317646">
        <w:t>Bid</w:t>
      </w:r>
      <w:r w:rsidRPr="00317646">
        <w:t xml:space="preserve">s submitted to the RR platform constitutes the consumer curve, and therefore indicates the </w:t>
      </w:r>
      <w:r w:rsidRPr="00317646">
        <w:lastRenderedPageBreak/>
        <w:t xml:space="preserve">maximum price consumers (TSOs and BSPs) are willing to pay for consuming RR balancing energy. On the other hand, the curve consisting of negative TSO RR </w:t>
      </w:r>
      <w:r w:rsidR="004B381D" w:rsidRPr="00317646">
        <w:rPr>
          <w:lang w:eastAsia="en-US"/>
        </w:rPr>
        <w:t xml:space="preserve">balancing energy needs </w:t>
      </w:r>
      <w:r w:rsidRPr="00317646">
        <w:t xml:space="preserve">submitted to the RR platform and upward BSP </w:t>
      </w:r>
      <w:r w:rsidR="00B865D8" w:rsidRPr="00317646">
        <w:t>Bid</w:t>
      </w:r>
      <w:r w:rsidRPr="00317646">
        <w:t>s submitted to the RR platform constitutes the supply curve, and therefore shows the minimum price they are willing to receive for supplyi</w:t>
      </w:r>
      <w:r w:rsidR="00D36CD6" w:rsidRPr="00317646">
        <w:t>ng RR balancing energy. Social W</w:t>
      </w:r>
      <w:r w:rsidRPr="00317646">
        <w:t>elfare is the total benefit from the RR balancing energy transactions, and therefore is made up of the area corresponding to the consumer and the supply surplus;</w:t>
      </w:r>
    </w:p>
    <w:p w14:paraId="603568F4" w14:textId="77777777" w:rsidR="00B2256C" w:rsidRPr="00317646" w:rsidRDefault="00D36CD6" w:rsidP="00B13FF4">
      <w:pPr>
        <w:pStyle w:val="ListParagraph"/>
        <w:numPr>
          <w:ilvl w:val="0"/>
          <w:numId w:val="23"/>
        </w:numPr>
        <w:suppressAutoHyphens/>
        <w:spacing w:before="240"/>
        <w:ind w:left="567" w:hanging="425"/>
      </w:pPr>
      <w:r w:rsidRPr="00317646">
        <w:rPr>
          <w:b/>
        </w:rPr>
        <w:t xml:space="preserve">RR </w:t>
      </w:r>
      <w:r w:rsidR="00B2256C" w:rsidRPr="00317646">
        <w:rPr>
          <w:b/>
        </w:rPr>
        <w:t xml:space="preserve">Standard Product Bid: </w:t>
      </w:r>
      <w:r w:rsidR="00B2256C" w:rsidRPr="00317646">
        <w:t xml:space="preserve">means the balancing energy bid for a </w:t>
      </w:r>
      <w:r w:rsidRPr="00317646">
        <w:t xml:space="preserve">RR </w:t>
      </w:r>
      <w:r w:rsidR="00B2256C" w:rsidRPr="00317646">
        <w:t xml:space="preserve">Standard Product or for RR TSO applying central dispatch model, the result of conversion of integrated scheduling bids into standard products pursuant to Article 27 of the EBGL. Where after called </w:t>
      </w:r>
      <w:r w:rsidRPr="00317646">
        <w:t>“</w:t>
      </w:r>
      <w:r w:rsidR="00B2256C" w:rsidRPr="00317646">
        <w:t>Bid</w:t>
      </w:r>
      <w:r w:rsidRPr="00317646">
        <w:t>”</w:t>
      </w:r>
      <w:r w:rsidR="00B2256C" w:rsidRPr="00317646">
        <w:t>;</w:t>
      </w:r>
    </w:p>
    <w:p w14:paraId="7C0832B3" w14:textId="77777777" w:rsidR="007C7B63" w:rsidRPr="00317646" w:rsidRDefault="00A13BA1" w:rsidP="00B13FF4">
      <w:pPr>
        <w:pStyle w:val="ListParagraph"/>
        <w:numPr>
          <w:ilvl w:val="0"/>
          <w:numId w:val="23"/>
        </w:numPr>
        <w:spacing w:line="259" w:lineRule="auto"/>
        <w:ind w:left="567" w:hanging="425"/>
        <w:rPr>
          <w:rFonts w:ascii="Times New Roman" w:hAnsi="Times New Roman" w:cs="Times New Roman"/>
          <w:szCs w:val="22"/>
        </w:rPr>
      </w:pPr>
      <w:r w:rsidRPr="00317646">
        <w:rPr>
          <w:rFonts w:ascii="Times New Roman" w:hAnsi="Times New Roman" w:cs="Times New Roman"/>
          <w:b/>
          <w:szCs w:val="22"/>
        </w:rPr>
        <w:t>Steering committee</w:t>
      </w:r>
      <w:r w:rsidR="00713A1D" w:rsidRPr="00317646">
        <w:rPr>
          <w:rFonts w:ascii="Times New Roman" w:hAnsi="Times New Roman" w:cs="Times New Roman"/>
          <w:b/>
          <w:szCs w:val="22"/>
        </w:rPr>
        <w:t xml:space="preserve"> or ‘SC'</w:t>
      </w:r>
      <w:r w:rsidRPr="00317646">
        <w:rPr>
          <w:rFonts w:ascii="Times New Roman" w:hAnsi="Times New Roman" w:cs="Times New Roman"/>
          <w:b/>
          <w:szCs w:val="22"/>
        </w:rPr>
        <w:t>:</w:t>
      </w:r>
      <w:r w:rsidRPr="00317646">
        <w:rPr>
          <w:rFonts w:ascii="Times New Roman" w:hAnsi="Times New Roman" w:cs="Times New Roman"/>
          <w:szCs w:val="22"/>
        </w:rPr>
        <w:t xml:space="preserve"> </w:t>
      </w:r>
      <w:r w:rsidR="00DB0E9D" w:rsidRPr="00317646">
        <w:rPr>
          <w:rFonts w:ascii="Times New Roman" w:hAnsi="Times New Roman" w:cs="Times New Roman"/>
          <w:szCs w:val="22"/>
        </w:rPr>
        <w:t>is</w:t>
      </w:r>
      <w:r w:rsidRPr="00317646">
        <w:rPr>
          <w:rFonts w:ascii="Times New Roman" w:hAnsi="Times New Roman" w:cs="Times New Roman"/>
          <w:szCs w:val="22"/>
        </w:rPr>
        <w:t xml:space="preserve"> the </w:t>
      </w:r>
      <w:r w:rsidR="007D384F" w:rsidRPr="00317646">
        <w:rPr>
          <w:rFonts w:ascii="Times New Roman" w:hAnsi="Times New Roman" w:cs="Times New Roman"/>
          <w:szCs w:val="22"/>
        </w:rPr>
        <w:t>decision-making</w:t>
      </w:r>
      <w:r w:rsidRPr="00317646">
        <w:rPr>
          <w:rFonts w:ascii="Times New Roman" w:hAnsi="Times New Roman" w:cs="Times New Roman"/>
          <w:szCs w:val="22"/>
        </w:rPr>
        <w:t xml:space="preserve"> body</w:t>
      </w:r>
      <w:r w:rsidR="0050031B" w:rsidRPr="00317646">
        <w:rPr>
          <w:rFonts w:ascii="Times New Roman" w:hAnsi="Times New Roman" w:cs="Times New Roman"/>
          <w:szCs w:val="22"/>
        </w:rPr>
        <w:t xml:space="preserve"> for</w:t>
      </w:r>
      <w:r w:rsidRPr="00317646">
        <w:rPr>
          <w:rFonts w:ascii="Times New Roman" w:hAnsi="Times New Roman" w:cs="Times New Roman"/>
          <w:szCs w:val="22"/>
        </w:rPr>
        <w:t xml:space="preserve"> </w:t>
      </w:r>
      <w:r w:rsidR="001E6A31" w:rsidRPr="00317646">
        <w:rPr>
          <w:rFonts w:ascii="Times New Roman" w:hAnsi="Times New Roman" w:cs="Times New Roman"/>
          <w:szCs w:val="22"/>
        </w:rPr>
        <w:t xml:space="preserve">the </w:t>
      </w:r>
      <w:r w:rsidR="00CD47C1" w:rsidRPr="00317646">
        <w:t>Implementation</w:t>
      </w:r>
      <w:r w:rsidR="001C1AED">
        <w:t xml:space="preserve"> </w:t>
      </w:r>
      <w:r w:rsidR="00B5686B" w:rsidRPr="00317646">
        <w:rPr>
          <w:rFonts w:ascii="Times New Roman" w:hAnsi="Times New Roman" w:cs="Times New Roman"/>
          <w:szCs w:val="22"/>
        </w:rPr>
        <w:t xml:space="preserve">project </w:t>
      </w:r>
      <w:r w:rsidR="00AB13C2" w:rsidRPr="00317646">
        <w:rPr>
          <w:rFonts w:ascii="Times New Roman" w:hAnsi="Times New Roman" w:cs="Times New Roman"/>
          <w:szCs w:val="22"/>
        </w:rPr>
        <w:t>and</w:t>
      </w:r>
      <w:r w:rsidR="00B5686B" w:rsidRPr="00317646">
        <w:rPr>
          <w:rFonts w:ascii="Times New Roman" w:hAnsi="Times New Roman" w:cs="Times New Roman"/>
          <w:szCs w:val="22"/>
        </w:rPr>
        <w:t xml:space="preserve"> </w:t>
      </w:r>
      <w:r w:rsidR="00DE76CC" w:rsidRPr="00317646">
        <w:rPr>
          <w:rFonts w:ascii="Times New Roman" w:hAnsi="Times New Roman" w:cs="Times New Roman"/>
          <w:szCs w:val="22"/>
        </w:rPr>
        <w:t>RR-Platform</w:t>
      </w:r>
      <w:r w:rsidRPr="00317646">
        <w:rPr>
          <w:rFonts w:ascii="Times New Roman" w:hAnsi="Times New Roman" w:cs="Times New Roman"/>
          <w:szCs w:val="22"/>
        </w:rPr>
        <w:t xml:space="preserve"> a</w:t>
      </w:r>
      <w:r w:rsidR="00D76AC2" w:rsidRPr="00317646">
        <w:rPr>
          <w:rFonts w:ascii="Times New Roman" w:hAnsi="Times New Roman" w:cs="Times New Roman"/>
          <w:szCs w:val="22"/>
        </w:rPr>
        <w:t xml:space="preserve">s further explained in </w:t>
      </w:r>
      <w:r w:rsidR="00C056FF" w:rsidRPr="00317646">
        <w:rPr>
          <w:rFonts w:ascii="Times New Roman" w:hAnsi="Times New Roman" w:cs="Times New Roman"/>
          <w:szCs w:val="22"/>
        </w:rPr>
        <w:t>A</w:t>
      </w:r>
      <w:r w:rsidR="00D76AC2" w:rsidRPr="00317646">
        <w:rPr>
          <w:rFonts w:ascii="Times New Roman" w:hAnsi="Times New Roman" w:cs="Times New Roman"/>
          <w:szCs w:val="22"/>
        </w:rPr>
        <w:t>rticle 10 of the RRIF</w:t>
      </w:r>
      <w:r w:rsidR="00DE76CC" w:rsidRPr="00317646">
        <w:rPr>
          <w:rFonts w:ascii="Times New Roman" w:hAnsi="Times New Roman" w:cs="Times New Roman"/>
          <w:szCs w:val="22"/>
        </w:rPr>
        <w:t>;</w:t>
      </w:r>
      <w:r w:rsidR="0050031B" w:rsidRPr="00317646">
        <w:rPr>
          <w:rFonts w:ascii="Times New Roman" w:hAnsi="Times New Roman" w:cs="Times New Roman"/>
          <w:szCs w:val="22"/>
        </w:rPr>
        <w:t xml:space="preserve"> </w:t>
      </w:r>
    </w:p>
    <w:p w14:paraId="618E09F7" w14:textId="77777777" w:rsidR="00510B10" w:rsidRPr="00317646" w:rsidRDefault="00510B10" w:rsidP="00B13FF4">
      <w:pPr>
        <w:pStyle w:val="ListParagraph"/>
        <w:numPr>
          <w:ilvl w:val="0"/>
          <w:numId w:val="23"/>
        </w:numPr>
        <w:spacing w:line="259" w:lineRule="auto"/>
        <w:ind w:left="567" w:hanging="425"/>
        <w:rPr>
          <w:rFonts w:ascii="Times New Roman" w:hAnsi="Times New Roman" w:cs="Times New Roman"/>
          <w:szCs w:val="22"/>
        </w:rPr>
      </w:pPr>
      <w:r w:rsidRPr="00317646">
        <w:rPr>
          <w:b/>
        </w:rPr>
        <w:t>Time</w:t>
      </w:r>
      <w:r w:rsidR="0009421F" w:rsidRPr="00317646">
        <w:rPr>
          <w:b/>
        </w:rPr>
        <w:t>frame</w:t>
      </w:r>
      <w:r w:rsidRPr="00317646">
        <w:rPr>
          <w:b/>
        </w:rPr>
        <w:t xml:space="preserve"> resolution</w:t>
      </w:r>
      <w:r w:rsidRPr="00317646">
        <w:rPr>
          <w:rFonts w:ascii="Times New Roman" w:hAnsi="Times New Roman" w:cs="Times New Roman"/>
          <w:szCs w:val="22"/>
        </w:rPr>
        <w:t xml:space="preserve">: is the resolution of the RR standard product, the TSO energy balancing </w:t>
      </w:r>
      <w:r w:rsidRPr="00BF283A">
        <w:rPr>
          <w:rFonts w:ascii="Times New Roman" w:hAnsi="Times New Roman" w:cs="Times New Roman"/>
          <w:szCs w:val="22"/>
        </w:rPr>
        <w:t>need</w:t>
      </w:r>
      <w:r w:rsidRPr="00317646">
        <w:rPr>
          <w:rFonts w:ascii="Times New Roman" w:hAnsi="Times New Roman" w:cs="Times New Roman"/>
          <w:szCs w:val="22"/>
        </w:rPr>
        <w:t xml:space="preserve"> and the AOF.</w:t>
      </w:r>
    </w:p>
    <w:p w14:paraId="21213C32" w14:textId="77777777" w:rsidR="00ED4CCC" w:rsidRPr="00317646" w:rsidRDefault="00ED4CCC">
      <w:pPr>
        <w:rPr>
          <w:rFonts w:ascii="Times New Roman" w:hAnsi="Times New Roman" w:cs="Arial"/>
          <w:b/>
          <w:color w:val="23236E"/>
          <w:sz w:val="24"/>
          <w:lang w:val="en-GB" w:eastAsia="en-US"/>
        </w:rPr>
      </w:pPr>
      <w:bookmarkStart w:id="14" w:name="_Toc474415495"/>
      <w:bookmarkStart w:id="15" w:name="_Toc486519515"/>
      <w:bookmarkStart w:id="16" w:name="_Toc445298915"/>
      <w:bookmarkStart w:id="17" w:name="_Toc445299177"/>
      <w:bookmarkStart w:id="18" w:name="_Toc445825433"/>
      <w:bookmarkEnd w:id="12"/>
      <w:bookmarkEnd w:id="13"/>
      <w:bookmarkEnd w:id="14"/>
      <w:bookmarkEnd w:id="15"/>
    </w:p>
    <w:p w14:paraId="130F207C" w14:textId="77777777" w:rsidR="004F245D" w:rsidRPr="00317646" w:rsidRDefault="004F245D" w:rsidP="004F245D">
      <w:pPr>
        <w:spacing w:after="120" w:line="260" w:lineRule="exact"/>
        <w:jc w:val="center"/>
        <w:outlineLvl w:val="1"/>
        <w:rPr>
          <w:rFonts w:ascii="Times New Roman" w:hAnsi="Times New Roman" w:cs="Arial"/>
          <w:b/>
          <w:color w:val="23236E"/>
          <w:sz w:val="24"/>
          <w:lang w:val="en-GB" w:eastAsia="en-US"/>
        </w:rPr>
      </w:pPr>
      <w:bookmarkStart w:id="19" w:name="_Toc432586772"/>
      <w:bookmarkStart w:id="20" w:name="_Toc432586792"/>
      <w:bookmarkStart w:id="21" w:name="_Toc445298916"/>
      <w:bookmarkStart w:id="22" w:name="_Toc445299178"/>
      <w:bookmarkStart w:id="23" w:name="_Toc445825434"/>
      <w:bookmarkStart w:id="24" w:name="_Toc51082150"/>
      <w:bookmarkEnd w:id="16"/>
      <w:bookmarkEnd w:id="17"/>
      <w:bookmarkEnd w:id="18"/>
      <w:r w:rsidRPr="00317646">
        <w:rPr>
          <w:rFonts w:ascii="Times New Roman" w:hAnsi="Times New Roman" w:cs="Arial"/>
          <w:b/>
          <w:color w:val="23236E"/>
          <w:sz w:val="24"/>
          <w:lang w:val="en-GB" w:eastAsia="en-US"/>
        </w:rPr>
        <w:t xml:space="preserve">Article </w:t>
      </w:r>
      <w:r w:rsidR="001A5ACF" w:rsidRPr="00317646">
        <w:rPr>
          <w:rFonts w:ascii="Times New Roman" w:hAnsi="Times New Roman" w:cs="Arial"/>
          <w:b/>
          <w:color w:val="23236E"/>
          <w:sz w:val="24"/>
          <w:lang w:val="en-GB" w:eastAsia="en-US"/>
        </w:rPr>
        <w:t>3</w:t>
      </w:r>
      <w:r w:rsidRPr="00317646">
        <w:rPr>
          <w:rFonts w:ascii="Times New Roman" w:hAnsi="Times New Roman" w:cs="Arial"/>
          <w:b/>
          <w:color w:val="23236E"/>
          <w:sz w:val="24"/>
          <w:lang w:val="en-GB" w:eastAsia="en-US"/>
        </w:rPr>
        <w:br/>
      </w:r>
      <w:bookmarkStart w:id="25" w:name="_Hlk502926926"/>
      <w:bookmarkEnd w:id="19"/>
      <w:bookmarkEnd w:id="20"/>
      <w:bookmarkEnd w:id="21"/>
      <w:bookmarkEnd w:id="22"/>
      <w:bookmarkEnd w:id="23"/>
      <w:r w:rsidR="000A4CDF" w:rsidRPr="00317646">
        <w:rPr>
          <w:rFonts w:ascii="Times New Roman" w:hAnsi="Times New Roman" w:cs="Arial"/>
          <w:b/>
          <w:color w:val="23236E"/>
          <w:sz w:val="24"/>
          <w:lang w:val="en-GB" w:eastAsia="en-US"/>
        </w:rPr>
        <w:t>High-level d</w:t>
      </w:r>
      <w:r w:rsidR="00F4323A" w:rsidRPr="00317646">
        <w:rPr>
          <w:rFonts w:ascii="Times New Roman" w:hAnsi="Times New Roman" w:cs="Arial"/>
          <w:b/>
          <w:color w:val="23236E"/>
          <w:sz w:val="24"/>
          <w:lang w:val="en-GB" w:eastAsia="en-US"/>
        </w:rPr>
        <w:t xml:space="preserve">esign of the </w:t>
      </w:r>
      <w:bookmarkEnd w:id="25"/>
      <w:r w:rsidR="00DE76CC" w:rsidRPr="00317646">
        <w:rPr>
          <w:rFonts w:ascii="Times New Roman" w:hAnsi="Times New Roman" w:cs="Arial"/>
          <w:b/>
          <w:color w:val="23236E"/>
          <w:sz w:val="24"/>
          <w:lang w:val="en-GB" w:eastAsia="en-US"/>
        </w:rPr>
        <w:t>RR-Platform</w:t>
      </w:r>
      <w:bookmarkEnd w:id="24"/>
    </w:p>
    <w:p w14:paraId="465DF21D" w14:textId="77777777" w:rsidR="00493296" w:rsidRPr="00317646" w:rsidRDefault="00493296" w:rsidP="003555B4">
      <w:pPr>
        <w:pStyle w:val="textenumeration"/>
        <w:numPr>
          <w:ilvl w:val="0"/>
          <w:numId w:val="10"/>
        </w:numPr>
        <w:rPr>
          <w:lang w:val="en-GB"/>
        </w:rPr>
      </w:pPr>
      <w:bookmarkStart w:id="26" w:name="_Hlk502926905"/>
      <w:r w:rsidRPr="00317646">
        <w:rPr>
          <w:lang w:val="en-GB"/>
        </w:rPr>
        <w:t xml:space="preserve">The </w:t>
      </w:r>
      <w:r w:rsidR="00B5686B" w:rsidRPr="00317646">
        <w:rPr>
          <w:lang w:val="en-GB"/>
        </w:rPr>
        <w:t xml:space="preserve">RR TSOs by means of </w:t>
      </w:r>
      <w:r w:rsidR="00DE76CC" w:rsidRPr="00317646">
        <w:rPr>
          <w:lang w:val="en-GB"/>
        </w:rPr>
        <w:t>RR-Platform</w:t>
      </w:r>
      <w:r w:rsidRPr="00317646">
        <w:rPr>
          <w:lang w:val="en-GB"/>
        </w:rPr>
        <w:t xml:space="preserve"> implement the exchange and activation optimization of standard product for balancing energy from RR, through an optimization algorithm and respecting the availability of </w:t>
      </w:r>
      <w:r w:rsidR="005F6CBE" w:rsidRPr="00317646">
        <w:rPr>
          <w:lang w:val="en-GB" w:eastAsia="en-US"/>
        </w:rPr>
        <w:t>c</w:t>
      </w:r>
      <w:r w:rsidRPr="00317646">
        <w:rPr>
          <w:lang w:val="en-GB" w:eastAsia="en-US"/>
        </w:rPr>
        <w:t>ross</w:t>
      </w:r>
      <w:r w:rsidR="00010959" w:rsidRPr="00317646">
        <w:rPr>
          <w:lang w:val="en-GB" w:eastAsia="en-US"/>
        </w:rPr>
        <w:t>-</w:t>
      </w:r>
      <w:r w:rsidR="001A31FF" w:rsidRPr="00317646">
        <w:rPr>
          <w:lang w:val="en-GB" w:eastAsia="en-US"/>
        </w:rPr>
        <w:t>zonal capacities</w:t>
      </w:r>
      <w:r w:rsidR="00564FB0" w:rsidRPr="00317646">
        <w:rPr>
          <w:lang w:val="en-GB" w:eastAsia="en-US"/>
        </w:rPr>
        <w:t>:</w:t>
      </w:r>
      <w:r w:rsidRPr="00317646">
        <w:rPr>
          <w:lang w:val="en-GB"/>
        </w:rPr>
        <w:t xml:space="preserve"> </w:t>
      </w:r>
    </w:p>
    <w:bookmarkEnd w:id="26"/>
    <w:p w14:paraId="1D1E1DCD" w14:textId="77777777" w:rsidR="00436042" w:rsidRPr="00317646" w:rsidRDefault="0052503A" w:rsidP="003555B4">
      <w:pPr>
        <w:pStyle w:val="textenumeration"/>
        <w:numPr>
          <w:ilvl w:val="1"/>
          <w:numId w:val="11"/>
        </w:numPr>
        <w:rPr>
          <w:lang w:val="en-GB" w:eastAsia="en-US"/>
        </w:rPr>
      </w:pPr>
      <w:r w:rsidRPr="00317646">
        <w:rPr>
          <w:lang w:val="en-GB" w:eastAsia="en-US"/>
        </w:rPr>
        <w:t xml:space="preserve">The TSOs receive </w:t>
      </w:r>
      <w:r w:rsidR="00B865D8" w:rsidRPr="00317646">
        <w:rPr>
          <w:lang w:val="en-GB"/>
        </w:rPr>
        <w:t>Bid</w:t>
      </w:r>
      <w:r w:rsidR="004D0DA5" w:rsidRPr="00317646">
        <w:rPr>
          <w:lang w:val="en-GB" w:eastAsia="en-US"/>
        </w:rPr>
        <w:t>s from the BSPs</w:t>
      </w:r>
      <w:r w:rsidR="00010959" w:rsidRPr="00317646">
        <w:rPr>
          <w:lang w:val="en-GB" w:eastAsia="en-US"/>
        </w:rPr>
        <w:t>.</w:t>
      </w:r>
      <w:r w:rsidR="004D0DA5" w:rsidRPr="00317646">
        <w:rPr>
          <w:lang w:val="en-GB" w:eastAsia="en-US"/>
        </w:rPr>
        <w:t xml:space="preserve"> The </w:t>
      </w:r>
      <w:r w:rsidR="003D0DCC" w:rsidRPr="00317646">
        <w:rPr>
          <w:lang w:val="en-GB" w:eastAsia="en-US"/>
        </w:rPr>
        <w:t xml:space="preserve">Bids </w:t>
      </w:r>
      <w:r w:rsidR="004D0DA5" w:rsidRPr="00317646">
        <w:rPr>
          <w:lang w:val="en-GB" w:eastAsia="en-US"/>
        </w:rPr>
        <w:t xml:space="preserve">are </w:t>
      </w:r>
      <w:r w:rsidR="00146226" w:rsidRPr="00317646">
        <w:rPr>
          <w:lang w:val="en-GB" w:eastAsia="en-US"/>
        </w:rPr>
        <w:t xml:space="preserve">anonymized and </w:t>
      </w:r>
      <w:r w:rsidR="004D0DA5" w:rsidRPr="00317646">
        <w:rPr>
          <w:lang w:val="en-GB" w:eastAsia="en-US"/>
        </w:rPr>
        <w:t>forwarded to the</w:t>
      </w:r>
      <w:r w:rsidR="0031447D" w:rsidRPr="00317646">
        <w:rPr>
          <w:lang w:val="en-GB" w:eastAsia="en-US"/>
        </w:rPr>
        <w:t xml:space="preserve"> </w:t>
      </w:r>
      <w:r w:rsidR="00DE76CC" w:rsidRPr="00317646">
        <w:rPr>
          <w:lang w:val="en-GB" w:eastAsia="en-US"/>
        </w:rPr>
        <w:t>RR-Platform</w:t>
      </w:r>
      <w:r w:rsidR="004D0DA5" w:rsidRPr="00317646">
        <w:rPr>
          <w:lang w:val="en-GB" w:eastAsia="en-US"/>
        </w:rPr>
        <w:t xml:space="preserve">. TSOs also communicate their </w:t>
      </w:r>
      <w:r w:rsidR="0022745F" w:rsidRPr="00317646">
        <w:rPr>
          <w:lang w:val="en-GB" w:eastAsia="en-US"/>
        </w:rPr>
        <w:t>RR balancing energy need</w:t>
      </w:r>
      <w:r w:rsidR="004D0DA5" w:rsidRPr="00317646">
        <w:rPr>
          <w:lang w:val="en-GB" w:eastAsia="en-US"/>
        </w:rPr>
        <w:t xml:space="preserve">s to the platform, as well as the available </w:t>
      </w:r>
      <w:r w:rsidR="005F6CBE" w:rsidRPr="00317646">
        <w:rPr>
          <w:lang w:val="en-GB" w:eastAsia="en-US"/>
        </w:rPr>
        <w:t>cross</w:t>
      </w:r>
      <w:r w:rsidR="00010959" w:rsidRPr="00317646">
        <w:rPr>
          <w:lang w:val="en-GB" w:eastAsia="en-US"/>
        </w:rPr>
        <w:t>-</w:t>
      </w:r>
      <w:r w:rsidR="005F6CBE" w:rsidRPr="00317646">
        <w:rPr>
          <w:lang w:val="en-GB" w:eastAsia="en-US"/>
        </w:rPr>
        <w:t>zonal</w:t>
      </w:r>
      <w:r w:rsidR="004D0DA5" w:rsidRPr="00317646">
        <w:rPr>
          <w:lang w:val="en-GB" w:eastAsia="en-US"/>
        </w:rPr>
        <w:t xml:space="preserve"> capacities.</w:t>
      </w:r>
    </w:p>
    <w:p w14:paraId="2769FE17" w14:textId="3263ABDB" w:rsidR="00E3764E" w:rsidRPr="00317646" w:rsidRDefault="00601C64">
      <w:pPr>
        <w:pStyle w:val="textenumeration"/>
        <w:numPr>
          <w:ilvl w:val="1"/>
          <w:numId w:val="11"/>
        </w:numPr>
        <w:rPr>
          <w:lang w:val="en-GB" w:eastAsia="en-US"/>
        </w:rPr>
      </w:pPr>
      <w:r w:rsidRPr="00317646">
        <w:rPr>
          <w:lang w:val="en-GB" w:eastAsia="en-US"/>
        </w:rPr>
        <w:t>The RR TSOs will be allowed to submit a desired flow range for specific interconnectors, which will be respected</w:t>
      </w:r>
      <w:r w:rsidR="00E3764E" w:rsidRPr="00317646">
        <w:rPr>
          <w:lang w:val="en-GB" w:eastAsia="en-US"/>
        </w:rPr>
        <w:t>, if possible</w:t>
      </w:r>
      <w:r w:rsidR="00DE4AF0">
        <w:rPr>
          <w:lang w:val="en-GB" w:eastAsia="en-US"/>
        </w:rPr>
        <w:t>,</w:t>
      </w:r>
      <w:r w:rsidRPr="00317646">
        <w:rPr>
          <w:lang w:val="en-GB" w:eastAsia="en-US"/>
        </w:rPr>
        <w:t xml:space="preserve"> by the optimization algorithm.</w:t>
      </w:r>
      <w:r w:rsidR="004B381D" w:rsidRPr="00317646">
        <w:rPr>
          <w:lang w:val="en-GB" w:eastAsia="en-US"/>
        </w:rPr>
        <w:t xml:space="preserve"> T</w:t>
      </w:r>
      <w:r w:rsidR="004B381D" w:rsidRPr="00317646">
        <w:rPr>
          <w:lang w:val="en-GB"/>
        </w:rPr>
        <w:t>he RR TSOs submitting a desired flow range will cover the costs of enforcing such a flow</w:t>
      </w:r>
      <w:r w:rsidR="001949B6">
        <w:rPr>
          <w:lang w:val="en-GB"/>
        </w:rPr>
        <w:t>.</w:t>
      </w:r>
      <w:r w:rsidR="00475220">
        <w:rPr>
          <w:lang w:val="en-GB"/>
        </w:rPr>
        <w:t xml:space="preserve"> In accordance with the approved </w:t>
      </w:r>
      <w:r w:rsidR="00475220">
        <w:rPr>
          <w:lang w:val="en-GB" w:eastAsia="en-US"/>
        </w:rPr>
        <w:t>methodologies</w:t>
      </w:r>
      <w:r w:rsidR="00475220" w:rsidRPr="00CB41F2">
        <w:rPr>
          <w:lang w:val="en-GB" w:eastAsia="en-US"/>
        </w:rPr>
        <w:t xml:space="preserve"> pursuant to Art</w:t>
      </w:r>
      <w:r w:rsidR="00475220">
        <w:rPr>
          <w:lang w:val="en-GB" w:eastAsia="en-US"/>
        </w:rPr>
        <w:t>icle 30(1) and Article 50(1) of the EBGL</w:t>
      </w:r>
      <w:r w:rsidR="00475220">
        <w:rPr>
          <w:lang w:val="en-GB"/>
        </w:rPr>
        <w:t>, these principles will be applied until July 1</w:t>
      </w:r>
      <w:r w:rsidR="00475220" w:rsidRPr="00003BED">
        <w:rPr>
          <w:vertAlign w:val="superscript"/>
          <w:lang w:val="en-GB"/>
        </w:rPr>
        <w:t>st</w:t>
      </w:r>
      <w:r w:rsidR="00475220">
        <w:rPr>
          <w:lang w:val="en-GB"/>
        </w:rPr>
        <w:t>, 2022.</w:t>
      </w:r>
    </w:p>
    <w:p w14:paraId="2845902C" w14:textId="77777777" w:rsidR="00601C64" w:rsidRPr="00317646" w:rsidRDefault="00E3764E" w:rsidP="00CA4B30">
      <w:pPr>
        <w:pStyle w:val="textenumeration"/>
        <w:numPr>
          <w:ilvl w:val="1"/>
          <w:numId w:val="11"/>
        </w:numPr>
        <w:rPr>
          <w:lang w:val="en-GB" w:eastAsia="en-US"/>
        </w:rPr>
      </w:pPr>
      <w:r w:rsidRPr="00317646">
        <w:rPr>
          <w:lang w:val="en-GB"/>
        </w:rPr>
        <w:t>T</w:t>
      </w:r>
      <w:r w:rsidR="004B381D" w:rsidRPr="00317646">
        <w:rPr>
          <w:lang w:val="en-GB"/>
        </w:rPr>
        <w:t>he desired flow range should not distort the RR marginal prices.</w:t>
      </w:r>
    </w:p>
    <w:p w14:paraId="0FB8BD55" w14:textId="77777777" w:rsidR="00971BBF" w:rsidRPr="00317646" w:rsidRDefault="00971BBF" w:rsidP="003555B4">
      <w:pPr>
        <w:pStyle w:val="textenumeration"/>
        <w:numPr>
          <w:ilvl w:val="1"/>
          <w:numId w:val="11"/>
        </w:numPr>
        <w:rPr>
          <w:lang w:val="en-GB" w:eastAsia="en-US"/>
        </w:rPr>
      </w:pPr>
      <w:r w:rsidRPr="00317646">
        <w:rPr>
          <w:lang w:val="en-GB" w:eastAsia="en-US"/>
        </w:rPr>
        <w:t xml:space="preserve">TSOs applying a central dispatching model, pursuant to Article 27 of the </w:t>
      </w:r>
      <w:r w:rsidR="00547B2A" w:rsidRPr="00317646">
        <w:rPr>
          <w:lang w:val="en-GB" w:eastAsia="en-US"/>
        </w:rPr>
        <w:t>EBGL</w:t>
      </w:r>
      <w:r w:rsidRPr="00317646">
        <w:rPr>
          <w:lang w:val="en-GB" w:eastAsia="en-US"/>
        </w:rPr>
        <w:t>, will convert integrated scheduling</w:t>
      </w:r>
      <w:r w:rsidR="00383ED3" w:rsidRPr="00317646">
        <w:rPr>
          <w:lang w:val="en-GB" w:eastAsia="en-US"/>
        </w:rPr>
        <w:t xml:space="preserve"> process </w:t>
      </w:r>
      <w:r w:rsidRPr="00317646">
        <w:rPr>
          <w:lang w:val="en-GB" w:eastAsia="en-US"/>
        </w:rPr>
        <w:t xml:space="preserve">bids received from </w:t>
      </w:r>
      <w:r w:rsidR="00611A36" w:rsidRPr="00317646">
        <w:rPr>
          <w:lang w:val="en-GB" w:eastAsia="en-US"/>
        </w:rPr>
        <w:t xml:space="preserve">the </w:t>
      </w:r>
      <w:r w:rsidRPr="00317646">
        <w:rPr>
          <w:lang w:val="en-GB" w:eastAsia="en-US"/>
        </w:rPr>
        <w:t xml:space="preserve">BSPs into </w:t>
      </w:r>
      <w:r w:rsidR="00E3764E" w:rsidRPr="00317646">
        <w:rPr>
          <w:lang w:val="en-GB" w:eastAsia="en-US"/>
        </w:rPr>
        <w:t>Bids</w:t>
      </w:r>
      <w:r w:rsidRPr="00317646">
        <w:rPr>
          <w:lang w:val="en-GB" w:eastAsia="en-US"/>
        </w:rPr>
        <w:t xml:space="preserve"> and then submit the</w:t>
      </w:r>
      <w:r w:rsidR="00E3764E" w:rsidRPr="00317646">
        <w:rPr>
          <w:lang w:val="en-GB" w:eastAsia="en-US"/>
        </w:rPr>
        <w:t>se</w:t>
      </w:r>
      <w:r w:rsidRPr="00317646">
        <w:rPr>
          <w:lang w:val="en-GB" w:eastAsia="en-US"/>
        </w:rPr>
        <w:t xml:space="preserve"> </w:t>
      </w:r>
      <w:r w:rsidR="00AE3546" w:rsidRPr="00317646">
        <w:rPr>
          <w:lang w:val="en-GB" w:eastAsia="en-US"/>
        </w:rPr>
        <w:t>Bids</w:t>
      </w:r>
      <w:r w:rsidRPr="00317646">
        <w:rPr>
          <w:lang w:val="en-GB" w:eastAsia="en-US"/>
        </w:rPr>
        <w:t xml:space="preserve"> to the RR</w:t>
      </w:r>
      <w:r w:rsidR="007D6D85" w:rsidRPr="00317646">
        <w:rPr>
          <w:lang w:val="en-GB" w:eastAsia="en-US"/>
        </w:rPr>
        <w:t>-P</w:t>
      </w:r>
      <w:r w:rsidRPr="00317646">
        <w:rPr>
          <w:lang w:val="en-GB" w:eastAsia="en-US"/>
        </w:rPr>
        <w:t>latform.</w:t>
      </w:r>
    </w:p>
    <w:p w14:paraId="3D441516" w14:textId="77777777" w:rsidR="00EB3007" w:rsidRPr="00317646" w:rsidRDefault="00EB3007" w:rsidP="003555B4">
      <w:pPr>
        <w:pStyle w:val="textenumeration"/>
        <w:numPr>
          <w:ilvl w:val="1"/>
          <w:numId w:val="11"/>
        </w:numPr>
        <w:rPr>
          <w:lang w:val="en-GB" w:eastAsia="en-US"/>
        </w:rPr>
      </w:pPr>
      <w:r w:rsidRPr="00317646">
        <w:rPr>
          <w:lang w:val="en-GB" w:eastAsia="en-US"/>
        </w:rPr>
        <w:t xml:space="preserve">The </w:t>
      </w:r>
      <w:r w:rsidR="00DE76CC" w:rsidRPr="00317646">
        <w:rPr>
          <w:lang w:val="en-GB" w:eastAsia="en-US"/>
        </w:rPr>
        <w:t>RR-Platform</w:t>
      </w:r>
      <w:r w:rsidRPr="00317646">
        <w:rPr>
          <w:lang w:val="en-GB" w:eastAsia="en-US"/>
        </w:rPr>
        <w:t xml:space="preserve"> will gather all the RR </w:t>
      </w:r>
      <w:r w:rsidR="00B865D8" w:rsidRPr="00317646">
        <w:rPr>
          <w:lang w:val="en-GB"/>
        </w:rPr>
        <w:t>Bid</w:t>
      </w:r>
      <w:r w:rsidRPr="00317646">
        <w:rPr>
          <w:lang w:val="en-GB" w:eastAsia="en-US"/>
        </w:rPr>
        <w:t xml:space="preserve">s from the RR TSOs’ local balancing markets and provide an optimised </w:t>
      </w:r>
      <w:r w:rsidR="000A5B52" w:rsidRPr="00317646">
        <w:rPr>
          <w:lang w:val="en-GB" w:eastAsia="en-US"/>
        </w:rPr>
        <w:t xml:space="preserve">activation </w:t>
      </w:r>
      <w:r w:rsidRPr="00317646">
        <w:rPr>
          <w:lang w:val="en-GB" w:eastAsia="en-US"/>
        </w:rPr>
        <w:t xml:space="preserve">of RR </w:t>
      </w:r>
      <w:r w:rsidR="000A5B52" w:rsidRPr="00317646">
        <w:rPr>
          <w:lang w:val="en-GB" w:eastAsia="en-US"/>
        </w:rPr>
        <w:t xml:space="preserve">energy </w:t>
      </w:r>
      <w:r w:rsidRPr="00317646">
        <w:rPr>
          <w:lang w:val="en-GB" w:eastAsia="en-US"/>
        </w:rPr>
        <w:t>in order to meet the TSOs’ RR balancing energy needs.</w:t>
      </w:r>
    </w:p>
    <w:p w14:paraId="77E9B119" w14:textId="77777777" w:rsidR="004D0DA5" w:rsidRPr="00317646" w:rsidRDefault="004D0DA5" w:rsidP="003555B4">
      <w:pPr>
        <w:pStyle w:val="textenumeration"/>
        <w:numPr>
          <w:ilvl w:val="1"/>
          <w:numId w:val="11"/>
        </w:numPr>
        <w:rPr>
          <w:lang w:val="en-GB" w:eastAsia="en-US"/>
        </w:rPr>
      </w:pPr>
      <w:r w:rsidRPr="00317646">
        <w:rPr>
          <w:lang w:val="en-GB" w:eastAsia="en-US"/>
        </w:rPr>
        <w:t>The</w:t>
      </w:r>
      <w:r w:rsidR="0031447D" w:rsidRPr="00317646">
        <w:rPr>
          <w:lang w:val="en-GB" w:eastAsia="en-US"/>
        </w:rPr>
        <w:t xml:space="preserve"> </w:t>
      </w:r>
      <w:r w:rsidR="00DE76CC" w:rsidRPr="00317646">
        <w:rPr>
          <w:lang w:val="en-GB" w:eastAsia="en-US"/>
        </w:rPr>
        <w:t>RR-Platform</w:t>
      </w:r>
      <w:r w:rsidR="0031447D" w:rsidRPr="00317646">
        <w:rPr>
          <w:lang w:val="en-GB" w:eastAsia="en-US"/>
        </w:rPr>
        <w:t xml:space="preserve"> </w:t>
      </w:r>
      <w:r w:rsidRPr="00317646">
        <w:rPr>
          <w:lang w:val="en-GB" w:eastAsia="en-US"/>
        </w:rPr>
        <w:t xml:space="preserve">executes an algorithm that </w:t>
      </w:r>
      <w:r w:rsidR="00564F7E" w:rsidRPr="00317646">
        <w:rPr>
          <w:lang w:val="en-GB"/>
        </w:rPr>
        <w:t>performs the clearing of the consumer</w:t>
      </w:r>
      <w:r w:rsidR="00383ED3" w:rsidRPr="00317646">
        <w:rPr>
          <w:lang w:val="en-GB"/>
        </w:rPr>
        <w:t xml:space="preserve"> </w:t>
      </w:r>
      <w:r w:rsidR="00564F7E" w:rsidRPr="00317646">
        <w:rPr>
          <w:lang w:val="en-GB"/>
        </w:rPr>
        <w:t xml:space="preserve">curve against the </w:t>
      </w:r>
      <w:r w:rsidR="00460D7B" w:rsidRPr="00317646">
        <w:rPr>
          <w:lang w:val="en-GB"/>
        </w:rPr>
        <w:t xml:space="preserve">supply </w:t>
      </w:r>
      <w:r w:rsidR="00564F7E" w:rsidRPr="00317646">
        <w:rPr>
          <w:lang w:val="en-GB"/>
        </w:rPr>
        <w:t>curve as defined in Art</w:t>
      </w:r>
      <w:r w:rsidR="00380E9E" w:rsidRPr="00317646">
        <w:rPr>
          <w:lang w:val="en-GB"/>
        </w:rPr>
        <w:t>icle</w:t>
      </w:r>
      <w:r w:rsidR="00564F7E" w:rsidRPr="00317646">
        <w:rPr>
          <w:lang w:val="en-GB"/>
        </w:rPr>
        <w:t xml:space="preserve"> 2(2)(</w:t>
      </w:r>
      <w:r w:rsidR="00DA539E" w:rsidRPr="00317646">
        <w:rPr>
          <w:lang w:val="en-GB"/>
        </w:rPr>
        <w:t>o</w:t>
      </w:r>
      <w:r w:rsidR="00564F7E" w:rsidRPr="00317646">
        <w:rPr>
          <w:lang w:val="en-GB"/>
        </w:rPr>
        <w:t>) of this RRIF</w:t>
      </w:r>
      <w:r w:rsidR="00DD1733" w:rsidRPr="00317646">
        <w:rPr>
          <w:lang w:val="en-GB" w:eastAsia="en-US"/>
        </w:rPr>
        <w:t>. The RR-P</w:t>
      </w:r>
      <w:r w:rsidRPr="00317646">
        <w:rPr>
          <w:lang w:val="en-GB" w:eastAsia="en-US"/>
        </w:rPr>
        <w:t xml:space="preserve">latform communicates back to the TSOs the accepted </w:t>
      </w:r>
      <w:r w:rsidR="00B865D8" w:rsidRPr="00317646">
        <w:rPr>
          <w:lang w:val="en-GB"/>
        </w:rPr>
        <w:t>Bid</w:t>
      </w:r>
      <w:r w:rsidRPr="00317646">
        <w:rPr>
          <w:lang w:val="en-GB" w:eastAsia="en-US"/>
        </w:rPr>
        <w:t xml:space="preserve">s, the satisfied needs and the prices. Based upon this allocation of RR, the </w:t>
      </w:r>
      <w:r w:rsidR="00AB13C2" w:rsidRPr="00317646">
        <w:rPr>
          <w:lang w:val="en-GB" w:eastAsia="en-US"/>
        </w:rPr>
        <w:t>RR</w:t>
      </w:r>
      <w:r w:rsidR="00CA6A32" w:rsidRPr="00317646">
        <w:rPr>
          <w:lang w:val="en-GB" w:eastAsia="en-US"/>
        </w:rPr>
        <w:t>-P</w:t>
      </w:r>
      <w:r w:rsidRPr="00317646">
        <w:rPr>
          <w:lang w:val="en-GB" w:eastAsia="en-US"/>
        </w:rPr>
        <w:t>latform calculates the</w:t>
      </w:r>
      <w:r w:rsidR="00BC4B05" w:rsidRPr="00317646">
        <w:rPr>
          <w:lang w:val="en-GB" w:eastAsia="en-US"/>
        </w:rPr>
        <w:t xml:space="preserve"> cross</w:t>
      </w:r>
      <w:r w:rsidR="00010959" w:rsidRPr="00317646">
        <w:rPr>
          <w:lang w:val="en-GB" w:eastAsia="en-US"/>
        </w:rPr>
        <w:t>-</w:t>
      </w:r>
      <w:r w:rsidR="00BC4B05" w:rsidRPr="00317646">
        <w:rPr>
          <w:lang w:val="en-GB" w:eastAsia="en-US"/>
        </w:rPr>
        <w:t>zonal flow</w:t>
      </w:r>
      <w:r w:rsidR="00254F56" w:rsidRPr="00317646">
        <w:rPr>
          <w:lang w:val="en-GB" w:eastAsia="en-US"/>
        </w:rPr>
        <w:t xml:space="preserve"> at the interconnections within</w:t>
      </w:r>
      <w:r w:rsidR="00BC4B05" w:rsidRPr="00317646">
        <w:rPr>
          <w:lang w:val="en-GB" w:eastAsia="en-US"/>
        </w:rPr>
        <w:t xml:space="preserve"> </w:t>
      </w:r>
      <w:r w:rsidRPr="00317646">
        <w:rPr>
          <w:lang w:val="en-GB" w:eastAsia="en-US"/>
        </w:rPr>
        <w:t xml:space="preserve">the </w:t>
      </w:r>
      <w:r w:rsidR="00AB13C2" w:rsidRPr="00317646">
        <w:rPr>
          <w:lang w:val="en-GB" w:eastAsia="en-US"/>
        </w:rPr>
        <w:t>Region</w:t>
      </w:r>
      <w:r w:rsidRPr="00317646">
        <w:rPr>
          <w:lang w:val="en-GB" w:eastAsia="en-US"/>
        </w:rPr>
        <w:t xml:space="preserve">. The resulting </w:t>
      </w:r>
      <w:r w:rsidR="005F6CBE" w:rsidRPr="00317646">
        <w:rPr>
          <w:lang w:val="en-GB" w:eastAsia="en-US"/>
        </w:rPr>
        <w:t>cross</w:t>
      </w:r>
      <w:r w:rsidR="00010959" w:rsidRPr="00317646">
        <w:rPr>
          <w:lang w:val="en-GB" w:eastAsia="en-US"/>
        </w:rPr>
        <w:t>-</w:t>
      </w:r>
      <w:r w:rsidR="005F6CBE" w:rsidRPr="00317646">
        <w:rPr>
          <w:lang w:val="en-GB" w:eastAsia="en-US"/>
        </w:rPr>
        <w:t>zonal</w:t>
      </w:r>
      <w:r w:rsidRPr="00317646">
        <w:rPr>
          <w:lang w:val="en-GB" w:eastAsia="en-US"/>
        </w:rPr>
        <w:t xml:space="preserve"> schedules and </w:t>
      </w:r>
      <w:r w:rsidR="00093B36" w:rsidRPr="00317646">
        <w:rPr>
          <w:lang w:val="en-GB" w:eastAsia="en-US"/>
        </w:rPr>
        <w:t xml:space="preserve">updated </w:t>
      </w:r>
      <w:r w:rsidR="005F6CBE" w:rsidRPr="00317646">
        <w:rPr>
          <w:lang w:val="en-GB" w:eastAsia="en-US"/>
        </w:rPr>
        <w:t>cross</w:t>
      </w:r>
      <w:r w:rsidR="00010959" w:rsidRPr="00317646">
        <w:rPr>
          <w:lang w:val="en-GB" w:eastAsia="en-US"/>
        </w:rPr>
        <w:t>-</w:t>
      </w:r>
      <w:r w:rsidR="005F6CBE" w:rsidRPr="00317646">
        <w:rPr>
          <w:lang w:val="en-GB" w:eastAsia="en-US"/>
        </w:rPr>
        <w:t xml:space="preserve">zonal </w:t>
      </w:r>
      <w:r w:rsidR="00EE7AF5" w:rsidRPr="00317646">
        <w:rPr>
          <w:lang w:val="en-GB" w:eastAsia="en-US"/>
        </w:rPr>
        <w:t>capacity parameters</w:t>
      </w:r>
      <w:r w:rsidRPr="00317646">
        <w:rPr>
          <w:lang w:val="en-GB" w:eastAsia="en-US"/>
        </w:rPr>
        <w:t xml:space="preserve"> are sent to the TSOs</w:t>
      </w:r>
      <w:r w:rsidR="0069055D" w:rsidRPr="00317646">
        <w:rPr>
          <w:lang w:val="en-GB" w:eastAsia="en-US"/>
        </w:rPr>
        <w:t>.</w:t>
      </w:r>
      <w:r w:rsidRPr="00317646">
        <w:rPr>
          <w:lang w:val="en-GB" w:eastAsia="en-US"/>
        </w:rPr>
        <w:t xml:space="preserve"> </w:t>
      </w:r>
      <w:r w:rsidR="0069055D" w:rsidRPr="00317646">
        <w:rPr>
          <w:lang w:val="en-GB" w:eastAsia="en-US"/>
        </w:rPr>
        <w:t>S</w:t>
      </w:r>
      <w:r w:rsidR="00A6720E" w:rsidRPr="00317646">
        <w:rPr>
          <w:lang w:val="en-GB" w:eastAsia="en-US"/>
        </w:rPr>
        <w:t xml:space="preserve">chedules in Net Position </w:t>
      </w:r>
      <w:r w:rsidR="0069055D" w:rsidRPr="00317646">
        <w:rPr>
          <w:lang w:val="en-GB" w:eastAsia="en-US"/>
        </w:rPr>
        <w:t xml:space="preserve">are sent </w:t>
      </w:r>
      <w:r w:rsidRPr="00317646">
        <w:rPr>
          <w:lang w:val="en-GB" w:eastAsia="en-US"/>
        </w:rPr>
        <w:t>to</w:t>
      </w:r>
      <w:r w:rsidR="00BC4B05" w:rsidRPr="00317646">
        <w:rPr>
          <w:lang w:val="en-GB" w:eastAsia="en-US"/>
        </w:rPr>
        <w:t xml:space="preserve"> the</w:t>
      </w:r>
      <w:r w:rsidRPr="00317646">
        <w:rPr>
          <w:lang w:val="en-GB" w:eastAsia="en-US"/>
        </w:rPr>
        <w:t xml:space="preserve"> verification platforms.</w:t>
      </w:r>
    </w:p>
    <w:p w14:paraId="5B3C108E" w14:textId="77777777" w:rsidR="00871AA9" w:rsidRPr="00317646" w:rsidRDefault="00A506AB" w:rsidP="003555B4">
      <w:pPr>
        <w:pStyle w:val="textenumeration"/>
        <w:numPr>
          <w:ilvl w:val="1"/>
          <w:numId w:val="11"/>
        </w:numPr>
        <w:rPr>
          <w:lang w:val="en-GB" w:eastAsia="en-US"/>
        </w:rPr>
      </w:pPr>
      <w:r w:rsidRPr="00317646">
        <w:rPr>
          <w:lang w:val="en-GB" w:eastAsia="en-US"/>
        </w:rPr>
        <w:t>The RR</w:t>
      </w:r>
      <w:r w:rsidR="007D6D85" w:rsidRPr="00317646">
        <w:rPr>
          <w:lang w:val="en-GB" w:eastAsia="en-US"/>
        </w:rPr>
        <w:t>-P</w:t>
      </w:r>
      <w:r w:rsidRPr="00317646">
        <w:rPr>
          <w:lang w:val="en-GB" w:eastAsia="en-US"/>
        </w:rPr>
        <w:t xml:space="preserve">latform will </w:t>
      </w:r>
      <w:r w:rsidR="001A31FF" w:rsidRPr="00317646">
        <w:rPr>
          <w:lang w:val="en-GB" w:eastAsia="en-US"/>
        </w:rPr>
        <w:t>send</w:t>
      </w:r>
      <w:r w:rsidRPr="00317646">
        <w:rPr>
          <w:lang w:val="en-GB" w:eastAsia="en-US"/>
        </w:rPr>
        <w:t xml:space="preserve"> d</w:t>
      </w:r>
      <w:r w:rsidR="004D0DA5" w:rsidRPr="00317646">
        <w:rPr>
          <w:lang w:val="en-GB" w:eastAsia="en-US"/>
        </w:rPr>
        <w:t xml:space="preserve">ata </w:t>
      </w:r>
      <w:r w:rsidRPr="00317646">
        <w:rPr>
          <w:lang w:val="en-GB" w:eastAsia="en-US"/>
        </w:rPr>
        <w:t xml:space="preserve">related to the </w:t>
      </w:r>
      <w:r w:rsidR="00B9443D" w:rsidRPr="00317646">
        <w:rPr>
          <w:lang w:val="en-GB" w:eastAsia="en-US"/>
        </w:rPr>
        <w:t>A</w:t>
      </w:r>
      <w:r w:rsidRPr="00317646">
        <w:rPr>
          <w:lang w:val="en-GB" w:eastAsia="en-US"/>
        </w:rPr>
        <w:t>rticle 17</w:t>
      </w:r>
      <w:r w:rsidR="00463A09" w:rsidRPr="00317646">
        <w:rPr>
          <w:lang w:val="en-GB" w:eastAsia="en-US"/>
        </w:rPr>
        <w:t>(</w:t>
      </w:r>
      <w:r w:rsidR="002B2DF6" w:rsidRPr="00317646">
        <w:rPr>
          <w:lang w:val="en-GB" w:eastAsia="en-US"/>
        </w:rPr>
        <w:t>1</w:t>
      </w:r>
      <w:r w:rsidR="00463A09" w:rsidRPr="00317646">
        <w:rPr>
          <w:lang w:val="en-GB" w:eastAsia="en-US"/>
        </w:rPr>
        <w:t>)(</w:t>
      </w:r>
      <w:r w:rsidR="00337BF9" w:rsidRPr="00317646">
        <w:rPr>
          <w:lang w:val="en-GB" w:eastAsia="en-US"/>
        </w:rPr>
        <w:t>j</w:t>
      </w:r>
      <w:r w:rsidR="00463A09" w:rsidRPr="00317646">
        <w:rPr>
          <w:lang w:val="en-GB" w:eastAsia="en-US"/>
        </w:rPr>
        <w:t>)</w:t>
      </w:r>
      <w:r w:rsidRPr="00317646">
        <w:rPr>
          <w:lang w:val="en-GB" w:eastAsia="en-US"/>
        </w:rPr>
        <w:t xml:space="preserve"> of the </w:t>
      </w:r>
      <w:r w:rsidR="00B9443D" w:rsidRPr="00317646">
        <w:rPr>
          <w:lang w:val="en-GB" w:eastAsia="en-US"/>
        </w:rPr>
        <w:t xml:space="preserve">Commission </w:t>
      </w:r>
      <w:r w:rsidRPr="00317646">
        <w:rPr>
          <w:lang w:val="en-GB" w:eastAsia="en-US"/>
        </w:rPr>
        <w:t xml:space="preserve">Regulation </w:t>
      </w:r>
      <w:r w:rsidR="00B9443D" w:rsidRPr="00317646">
        <w:rPr>
          <w:lang w:val="en-GB" w:eastAsia="en-US"/>
        </w:rPr>
        <w:t xml:space="preserve">(EU) No </w:t>
      </w:r>
      <w:r w:rsidR="004D0DA5" w:rsidRPr="00317646">
        <w:rPr>
          <w:lang w:val="en-GB" w:eastAsia="en-US"/>
        </w:rPr>
        <w:t xml:space="preserve">543/2013 </w:t>
      </w:r>
      <w:r w:rsidR="00D40D52" w:rsidRPr="00317646">
        <w:rPr>
          <w:lang w:val="en-GB" w:eastAsia="en-US"/>
        </w:rPr>
        <w:t xml:space="preserve">on submission and publication of data in electricity markets </w:t>
      </w:r>
      <w:r w:rsidR="00B9443D" w:rsidRPr="00317646">
        <w:rPr>
          <w:lang w:val="en-GB" w:eastAsia="en-US"/>
        </w:rPr>
        <w:t xml:space="preserve">(Transparency Regulation) </w:t>
      </w:r>
      <w:r w:rsidR="004D0DA5" w:rsidRPr="00317646">
        <w:rPr>
          <w:lang w:val="en-GB" w:eastAsia="en-US"/>
        </w:rPr>
        <w:t>to the central transparency platform.</w:t>
      </w:r>
    </w:p>
    <w:p w14:paraId="2A53F6D2" w14:textId="77777777" w:rsidR="00871AA9" w:rsidRPr="00317646" w:rsidRDefault="00871AA9" w:rsidP="003555B4">
      <w:pPr>
        <w:pStyle w:val="textenumeration"/>
        <w:numPr>
          <w:ilvl w:val="1"/>
          <w:numId w:val="11"/>
        </w:numPr>
        <w:rPr>
          <w:lang w:val="en-GB" w:eastAsia="en-US"/>
        </w:rPr>
      </w:pPr>
      <w:r w:rsidRPr="00317646">
        <w:rPr>
          <w:lang w:val="en-GB" w:eastAsia="en-US"/>
        </w:rPr>
        <w:t>The RR-Platform will s</w:t>
      </w:r>
      <w:r w:rsidR="001A31FF" w:rsidRPr="00317646">
        <w:rPr>
          <w:lang w:val="en-GB" w:eastAsia="en-US"/>
        </w:rPr>
        <w:t>end</w:t>
      </w:r>
      <w:r w:rsidRPr="00317646">
        <w:rPr>
          <w:lang w:val="en-GB" w:eastAsia="en-US"/>
        </w:rPr>
        <w:t xml:space="preserve"> data related to the Article 12 of </w:t>
      </w:r>
      <w:r w:rsidR="00547B2A" w:rsidRPr="00317646">
        <w:rPr>
          <w:lang w:val="en-GB" w:eastAsia="en-US"/>
        </w:rPr>
        <w:t>EBGL</w:t>
      </w:r>
      <w:r w:rsidRPr="00317646">
        <w:rPr>
          <w:lang w:val="en-GB" w:eastAsia="en-US"/>
        </w:rPr>
        <w:t xml:space="preserve"> to the central transparency platform.</w:t>
      </w:r>
    </w:p>
    <w:p w14:paraId="7230AAF5" w14:textId="77777777" w:rsidR="004D0DA5" w:rsidRPr="00317646" w:rsidRDefault="004D0DA5" w:rsidP="003555B4">
      <w:pPr>
        <w:pStyle w:val="textenumeration"/>
        <w:numPr>
          <w:ilvl w:val="1"/>
          <w:numId w:val="11"/>
        </w:numPr>
        <w:rPr>
          <w:lang w:val="en-GB" w:eastAsia="en-US"/>
        </w:rPr>
      </w:pPr>
      <w:r w:rsidRPr="00317646">
        <w:rPr>
          <w:lang w:val="en-GB" w:eastAsia="en-US"/>
        </w:rPr>
        <w:lastRenderedPageBreak/>
        <w:t xml:space="preserve">Finally, the information required to settle expenditure and revenue between TSOs, i.e., the financial value of the energy flows across borders, is </w:t>
      </w:r>
      <w:r w:rsidR="00E14A05" w:rsidRPr="00317646">
        <w:rPr>
          <w:lang w:val="en-GB" w:eastAsia="en-US"/>
        </w:rPr>
        <w:t>used to generate invoices needed to complete TSO-TSO settlement</w:t>
      </w:r>
      <w:r w:rsidR="00EE7AF5" w:rsidRPr="00317646">
        <w:rPr>
          <w:lang w:val="en-GB" w:eastAsia="en-US"/>
        </w:rPr>
        <w:t>.</w:t>
      </w:r>
      <w:r w:rsidRPr="00317646">
        <w:rPr>
          <w:lang w:val="en-GB" w:eastAsia="en-US"/>
        </w:rPr>
        <w:t xml:space="preserve"> </w:t>
      </w:r>
    </w:p>
    <w:p w14:paraId="501B5C95" w14:textId="77777777" w:rsidR="0051793B" w:rsidRPr="00317646" w:rsidRDefault="0051793B" w:rsidP="003977E9">
      <w:pPr>
        <w:spacing w:after="120" w:line="259" w:lineRule="auto"/>
        <w:contextualSpacing/>
        <w:jc w:val="both"/>
        <w:rPr>
          <w:rFonts w:ascii="Times New Roman" w:hAnsi="Times New Roman"/>
          <w:szCs w:val="22"/>
          <w:lang w:val="en-GB" w:eastAsia="en-US"/>
        </w:rPr>
      </w:pPr>
    </w:p>
    <w:p w14:paraId="44BBA967" w14:textId="77777777" w:rsidR="00CF075F" w:rsidRPr="00317646" w:rsidRDefault="004F245D">
      <w:pPr>
        <w:spacing w:after="120" w:line="260" w:lineRule="exact"/>
        <w:jc w:val="center"/>
        <w:outlineLvl w:val="1"/>
        <w:rPr>
          <w:rFonts w:ascii="Times New Roman" w:hAnsi="Times New Roman" w:cs="Arial"/>
          <w:b/>
          <w:color w:val="23236E"/>
          <w:sz w:val="24"/>
          <w:lang w:val="en-GB" w:eastAsia="en-US"/>
        </w:rPr>
      </w:pPr>
      <w:bookmarkStart w:id="27" w:name="_Toc445298917"/>
      <w:bookmarkStart w:id="28" w:name="_Toc445299179"/>
      <w:bookmarkStart w:id="29" w:name="_Toc445825435"/>
      <w:bookmarkStart w:id="30" w:name="_Toc51082151"/>
      <w:r w:rsidRPr="00317646">
        <w:rPr>
          <w:rFonts w:ascii="Times New Roman" w:hAnsi="Times New Roman" w:cs="Arial"/>
          <w:b/>
          <w:color w:val="23236E"/>
          <w:sz w:val="24"/>
          <w:lang w:val="en-GB" w:eastAsia="en-US"/>
        </w:rPr>
        <w:t xml:space="preserve">Article </w:t>
      </w:r>
      <w:r w:rsidR="001A5ACF" w:rsidRPr="00317646">
        <w:rPr>
          <w:rFonts w:ascii="Times New Roman" w:hAnsi="Times New Roman" w:cs="Arial"/>
          <w:b/>
          <w:color w:val="23236E"/>
          <w:sz w:val="24"/>
          <w:lang w:val="en-GB" w:eastAsia="en-US"/>
        </w:rPr>
        <w:t>4</w:t>
      </w:r>
      <w:r w:rsidRPr="00317646">
        <w:rPr>
          <w:rFonts w:ascii="Times New Roman" w:hAnsi="Times New Roman" w:cs="Arial"/>
          <w:b/>
          <w:color w:val="23236E"/>
          <w:sz w:val="24"/>
          <w:lang w:val="en-GB" w:eastAsia="en-US"/>
        </w:rPr>
        <w:br/>
      </w:r>
      <w:bookmarkStart w:id="31" w:name="_Hlk502927140"/>
      <w:bookmarkEnd w:id="27"/>
      <w:bookmarkEnd w:id="28"/>
      <w:bookmarkEnd w:id="29"/>
      <w:r w:rsidR="00F4323A" w:rsidRPr="00317646">
        <w:rPr>
          <w:rFonts w:ascii="Times New Roman" w:hAnsi="Times New Roman" w:cs="Arial"/>
          <w:b/>
          <w:color w:val="23236E"/>
          <w:sz w:val="24"/>
          <w:lang w:val="en-GB" w:eastAsia="en-US"/>
        </w:rPr>
        <w:t>The</w:t>
      </w:r>
      <w:r w:rsidR="00F82BE8" w:rsidRPr="00317646">
        <w:rPr>
          <w:rFonts w:ascii="Times New Roman" w:hAnsi="Times New Roman" w:cs="Arial"/>
          <w:b/>
          <w:color w:val="23236E"/>
          <w:sz w:val="24"/>
          <w:lang w:val="en-GB" w:eastAsia="en-US"/>
        </w:rPr>
        <w:t xml:space="preserve"> r</w:t>
      </w:r>
      <w:r w:rsidR="00F4323A" w:rsidRPr="00317646">
        <w:rPr>
          <w:rFonts w:ascii="Times New Roman" w:hAnsi="Times New Roman" w:cs="Arial"/>
          <w:b/>
          <w:color w:val="23236E"/>
          <w:sz w:val="24"/>
          <w:lang w:val="en-GB" w:eastAsia="en-US"/>
        </w:rPr>
        <w:t>oadmap</w:t>
      </w:r>
      <w:r w:rsidR="00CA300D" w:rsidRPr="00317646">
        <w:rPr>
          <w:rFonts w:ascii="Times New Roman" w:hAnsi="Times New Roman" w:cs="Arial"/>
          <w:b/>
          <w:color w:val="23236E"/>
          <w:sz w:val="24"/>
          <w:lang w:val="en-GB" w:eastAsia="en-US"/>
        </w:rPr>
        <w:t xml:space="preserve"> and timeline</w:t>
      </w:r>
      <w:r w:rsidR="00F4323A" w:rsidRPr="00317646">
        <w:rPr>
          <w:rFonts w:ascii="Times New Roman" w:hAnsi="Times New Roman" w:cs="Arial"/>
          <w:b/>
          <w:color w:val="23236E"/>
          <w:sz w:val="24"/>
          <w:lang w:val="en-GB" w:eastAsia="en-US"/>
        </w:rPr>
        <w:t xml:space="preserve"> for the </w:t>
      </w:r>
      <w:r w:rsidR="00F82BE8" w:rsidRPr="00317646">
        <w:rPr>
          <w:rFonts w:ascii="Times New Roman" w:hAnsi="Times New Roman" w:cs="Arial"/>
          <w:b/>
          <w:color w:val="23236E"/>
          <w:sz w:val="24"/>
          <w:lang w:val="en-GB" w:eastAsia="en-US"/>
        </w:rPr>
        <w:t>i</w:t>
      </w:r>
      <w:r w:rsidR="00F4323A" w:rsidRPr="00317646">
        <w:rPr>
          <w:rFonts w:ascii="Times New Roman" w:hAnsi="Times New Roman" w:cs="Arial"/>
          <w:b/>
          <w:color w:val="23236E"/>
          <w:sz w:val="24"/>
          <w:lang w:val="en-GB" w:eastAsia="en-US"/>
        </w:rPr>
        <w:t>mplementation o</w:t>
      </w:r>
      <w:r w:rsidR="00247956" w:rsidRPr="00317646">
        <w:rPr>
          <w:rFonts w:ascii="Times New Roman" w:hAnsi="Times New Roman" w:cs="Arial"/>
          <w:b/>
          <w:color w:val="23236E"/>
          <w:sz w:val="24"/>
          <w:lang w:val="en-GB" w:eastAsia="en-US"/>
        </w:rPr>
        <w:t xml:space="preserve">f the </w:t>
      </w:r>
      <w:bookmarkEnd w:id="31"/>
      <w:r w:rsidR="00DE76CC" w:rsidRPr="00317646">
        <w:rPr>
          <w:rFonts w:ascii="Times New Roman" w:hAnsi="Times New Roman" w:cs="Arial"/>
          <w:b/>
          <w:color w:val="23236E"/>
          <w:sz w:val="24"/>
          <w:lang w:val="en-GB" w:eastAsia="en-US"/>
        </w:rPr>
        <w:t>RR-Platform</w:t>
      </w:r>
      <w:bookmarkEnd w:id="30"/>
    </w:p>
    <w:p w14:paraId="6E5EB61F" w14:textId="77777777" w:rsidR="000979E0" w:rsidRPr="00317646" w:rsidRDefault="000979E0" w:rsidP="003555B4">
      <w:pPr>
        <w:pStyle w:val="textenumeration"/>
        <w:numPr>
          <w:ilvl w:val="0"/>
          <w:numId w:val="13"/>
        </w:numPr>
        <w:rPr>
          <w:lang w:val="en-GB" w:eastAsia="en-US"/>
        </w:rPr>
      </w:pPr>
      <w:r w:rsidRPr="00317646">
        <w:rPr>
          <w:lang w:val="en-GB" w:eastAsia="en-US"/>
        </w:rPr>
        <w:t>By twelve months after the approval of RRIF, the Implementation project shall fulfil all requirements defined in RRIF and further requirements of the EBGL and therefore constitutes the RR-Platform.</w:t>
      </w:r>
    </w:p>
    <w:p w14:paraId="427DBE12" w14:textId="77777777" w:rsidR="00E141E6" w:rsidRPr="00317646" w:rsidRDefault="00286F03" w:rsidP="003555B4">
      <w:pPr>
        <w:pStyle w:val="textenumeration"/>
        <w:numPr>
          <w:ilvl w:val="0"/>
          <w:numId w:val="13"/>
        </w:numPr>
        <w:rPr>
          <w:lang w:val="en-GB" w:eastAsia="en-US"/>
        </w:rPr>
      </w:pPr>
      <w:r w:rsidRPr="00317646">
        <w:rPr>
          <w:lang w:val="en-GB" w:eastAsia="en-US"/>
        </w:rPr>
        <w:t>T</w:t>
      </w:r>
      <w:r w:rsidR="00CF075F" w:rsidRPr="00317646">
        <w:rPr>
          <w:lang w:val="en-GB" w:eastAsia="en-US"/>
        </w:rPr>
        <w:t>he timeline for the implementation considers several steps</w:t>
      </w:r>
      <w:r w:rsidR="00E141E6" w:rsidRPr="00317646">
        <w:rPr>
          <w:lang w:val="en-GB" w:eastAsia="en-US"/>
        </w:rPr>
        <w:t>.</w:t>
      </w:r>
    </w:p>
    <w:p w14:paraId="6CF18749" w14:textId="77777777" w:rsidR="00E141E6" w:rsidRPr="00317646" w:rsidRDefault="00E141E6" w:rsidP="003555B4">
      <w:pPr>
        <w:pStyle w:val="textenumeration"/>
        <w:numPr>
          <w:ilvl w:val="1"/>
          <w:numId w:val="13"/>
        </w:numPr>
        <w:rPr>
          <w:lang w:val="en-GB" w:eastAsia="en-US"/>
        </w:rPr>
      </w:pPr>
      <w:r w:rsidRPr="00317646">
        <w:rPr>
          <w:lang w:val="en-GB" w:eastAsia="en-US"/>
        </w:rPr>
        <w:t xml:space="preserve">The first step is the submission of this RRIF to the </w:t>
      </w:r>
      <w:r w:rsidR="00E3764E" w:rsidRPr="00317646">
        <w:rPr>
          <w:lang w:val="en-GB" w:eastAsia="en-US"/>
        </w:rPr>
        <w:t xml:space="preserve">concerned </w:t>
      </w:r>
      <w:r w:rsidRPr="00317646">
        <w:rPr>
          <w:lang w:val="en-GB" w:eastAsia="en-US"/>
        </w:rPr>
        <w:t>NRAs for approval</w:t>
      </w:r>
      <w:r w:rsidR="008D424B" w:rsidRPr="00317646">
        <w:rPr>
          <w:lang w:val="en-GB" w:eastAsia="en-US"/>
        </w:rPr>
        <w:t>, once th</w:t>
      </w:r>
      <w:r w:rsidRPr="00317646">
        <w:rPr>
          <w:lang w:val="en-GB" w:eastAsia="en-US"/>
        </w:rPr>
        <w:t>e following steps have been satisfied:</w:t>
      </w:r>
    </w:p>
    <w:p w14:paraId="08DFF80E" w14:textId="77777777" w:rsidR="00A80FF5" w:rsidRPr="00317646" w:rsidRDefault="00DD3747" w:rsidP="003555B4">
      <w:pPr>
        <w:pStyle w:val="textenumeration"/>
        <w:numPr>
          <w:ilvl w:val="1"/>
          <w:numId w:val="33"/>
        </w:numPr>
        <w:rPr>
          <w:lang w:val="en-GB" w:eastAsia="en-US"/>
        </w:rPr>
      </w:pPr>
      <w:r w:rsidRPr="00317646">
        <w:rPr>
          <w:lang w:val="en-GB" w:eastAsia="en-US"/>
        </w:rPr>
        <w:t>an approval cycle by the</w:t>
      </w:r>
      <w:r w:rsidR="00916308" w:rsidRPr="00317646">
        <w:rPr>
          <w:lang w:val="en-GB" w:eastAsia="en-US"/>
        </w:rPr>
        <w:t xml:space="preserve"> RR TSOs which are submitting this RRIF</w:t>
      </w:r>
      <w:r w:rsidR="000979E0" w:rsidRPr="00317646">
        <w:rPr>
          <w:lang w:val="en-GB" w:eastAsia="en-US"/>
        </w:rPr>
        <w:t xml:space="preserve"> as described in Article 10 of this RRIF</w:t>
      </w:r>
      <w:r w:rsidR="00BC2B52" w:rsidRPr="00317646">
        <w:rPr>
          <w:lang w:val="en-GB" w:eastAsia="en-US"/>
        </w:rPr>
        <w:t>;</w:t>
      </w:r>
    </w:p>
    <w:p w14:paraId="133BE05E" w14:textId="77777777" w:rsidR="00594ACE" w:rsidRPr="00317646" w:rsidRDefault="00DD3747" w:rsidP="003555B4">
      <w:pPr>
        <w:pStyle w:val="textenumeration"/>
        <w:numPr>
          <w:ilvl w:val="1"/>
          <w:numId w:val="33"/>
        </w:numPr>
        <w:rPr>
          <w:lang w:val="en-GB" w:eastAsia="en-US"/>
        </w:rPr>
      </w:pPr>
      <w:r w:rsidRPr="00317646">
        <w:rPr>
          <w:lang w:val="en-GB" w:eastAsia="en-US"/>
        </w:rPr>
        <w:t>a public consultation to the European stakeholders</w:t>
      </w:r>
      <w:r w:rsidR="00E141E6" w:rsidRPr="00317646">
        <w:rPr>
          <w:lang w:val="en-GB" w:eastAsia="en-US"/>
        </w:rPr>
        <w:t xml:space="preserve"> (6</w:t>
      </w:r>
      <w:r w:rsidR="005F6CBE" w:rsidRPr="00317646">
        <w:rPr>
          <w:lang w:val="en-GB" w:eastAsia="en-US"/>
        </w:rPr>
        <w:t xml:space="preserve"> </w:t>
      </w:r>
      <w:r w:rsidR="008107C9" w:rsidRPr="00317646">
        <w:rPr>
          <w:lang w:val="en-GB" w:eastAsia="en-US"/>
        </w:rPr>
        <w:t>weeks duration);</w:t>
      </w:r>
    </w:p>
    <w:p w14:paraId="7B1B4139" w14:textId="77777777" w:rsidR="00BD0E47" w:rsidRPr="00317646" w:rsidRDefault="00BD0E47" w:rsidP="003555B4">
      <w:pPr>
        <w:pStyle w:val="textenumeration"/>
        <w:numPr>
          <w:ilvl w:val="1"/>
          <w:numId w:val="33"/>
        </w:numPr>
        <w:rPr>
          <w:lang w:val="en-GB" w:eastAsia="en-US"/>
        </w:rPr>
      </w:pPr>
      <w:r w:rsidRPr="00317646">
        <w:rPr>
          <w:lang w:val="en-GB" w:eastAsia="en-US"/>
        </w:rPr>
        <w:t>an assessment and proper consideration of stakeholders’ responses.</w:t>
      </w:r>
    </w:p>
    <w:p w14:paraId="5FA2280F" w14:textId="77777777" w:rsidR="004B39E1" w:rsidRPr="00317646" w:rsidRDefault="004B39E1" w:rsidP="003555B4">
      <w:pPr>
        <w:pStyle w:val="textenumeration"/>
        <w:numPr>
          <w:ilvl w:val="1"/>
          <w:numId w:val="13"/>
        </w:numPr>
        <w:rPr>
          <w:lang w:val="en-GB" w:eastAsia="en-US"/>
        </w:rPr>
      </w:pPr>
      <w:r w:rsidRPr="00317646">
        <w:rPr>
          <w:lang w:val="en-GB" w:eastAsia="en-US"/>
        </w:rPr>
        <w:t>Six months after the approval of this proposal, all TSOs performing the RR process shall designate the proposed entity supported by this RRIF (</w:t>
      </w:r>
      <w:r w:rsidR="00BC2B52" w:rsidRPr="00317646">
        <w:rPr>
          <w:lang w:val="en-GB" w:eastAsia="en-US"/>
        </w:rPr>
        <w:t>Article</w:t>
      </w:r>
      <w:r w:rsidR="00141F75" w:rsidRPr="00317646">
        <w:rPr>
          <w:lang w:val="en-GB" w:eastAsia="en-US"/>
        </w:rPr>
        <w:t xml:space="preserve"> 19(</w:t>
      </w:r>
      <w:r w:rsidRPr="00317646">
        <w:rPr>
          <w:lang w:val="en-GB" w:eastAsia="en-US"/>
        </w:rPr>
        <w:t>4</w:t>
      </w:r>
      <w:r w:rsidR="00141F75" w:rsidRPr="00317646">
        <w:rPr>
          <w:lang w:val="en-GB" w:eastAsia="en-US"/>
        </w:rPr>
        <w:t>)</w:t>
      </w:r>
      <w:r w:rsidR="00045B26" w:rsidRPr="00317646">
        <w:rPr>
          <w:lang w:val="en-GB" w:eastAsia="en-US"/>
        </w:rPr>
        <w:t xml:space="preserve"> of </w:t>
      </w:r>
      <w:r w:rsidR="00547B2A" w:rsidRPr="00317646">
        <w:rPr>
          <w:lang w:val="en-GB" w:eastAsia="en-US"/>
        </w:rPr>
        <w:t>EBGL</w:t>
      </w:r>
      <w:r w:rsidR="00BC2B52" w:rsidRPr="00317646">
        <w:rPr>
          <w:lang w:val="en-GB" w:eastAsia="en-US"/>
        </w:rPr>
        <w:t>).</w:t>
      </w:r>
      <w:r w:rsidRPr="00317646">
        <w:rPr>
          <w:lang w:val="en-GB" w:eastAsia="en-US"/>
        </w:rPr>
        <w:t xml:space="preserve"> </w:t>
      </w:r>
    </w:p>
    <w:p w14:paraId="6AE7A721" w14:textId="77777777" w:rsidR="00D02B4B" w:rsidRPr="00317646" w:rsidRDefault="00D02B4B" w:rsidP="003555B4">
      <w:pPr>
        <w:pStyle w:val="ListParagraph"/>
        <w:numPr>
          <w:ilvl w:val="1"/>
          <w:numId w:val="13"/>
        </w:numPr>
        <w:rPr>
          <w:rFonts w:ascii="Times New Roman" w:hAnsi="Times New Roman" w:cs="Times New Roman"/>
          <w:lang w:eastAsia="en-US"/>
        </w:rPr>
      </w:pPr>
      <w:r w:rsidRPr="00317646">
        <w:rPr>
          <w:rFonts w:ascii="Times New Roman" w:hAnsi="Times New Roman" w:cs="Times New Roman"/>
          <w:lang w:eastAsia="en-US"/>
        </w:rPr>
        <w:t xml:space="preserve">All </w:t>
      </w:r>
      <w:r w:rsidR="00C4712F" w:rsidRPr="00317646">
        <w:rPr>
          <w:rFonts w:ascii="Times New Roman" w:hAnsi="Times New Roman" w:cs="Times New Roman"/>
          <w:lang w:eastAsia="en-US"/>
        </w:rPr>
        <w:t xml:space="preserve">RR </w:t>
      </w:r>
      <w:r w:rsidRPr="00317646">
        <w:rPr>
          <w:rFonts w:ascii="Times New Roman" w:hAnsi="Times New Roman" w:cs="Times New Roman"/>
          <w:lang w:eastAsia="en-US"/>
        </w:rPr>
        <w:t xml:space="preserve">TSOs which have at least one interconnected neighbouring </w:t>
      </w:r>
      <w:r w:rsidR="00C4712F" w:rsidRPr="00317646">
        <w:rPr>
          <w:rFonts w:ascii="Times New Roman" w:hAnsi="Times New Roman" w:cs="Times New Roman"/>
          <w:lang w:eastAsia="en-US"/>
        </w:rPr>
        <w:t xml:space="preserve">RR </w:t>
      </w:r>
      <w:r w:rsidRPr="00317646">
        <w:rPr>
          <w:rFonts w:ascii="Times New Roman" w:hAnsi="Times New Roman" w:cs="Times New Roman"/>
          <w:lang w:eastAsia="en-US"/>
        </w:rPr>
        <w:t>TSO</w:t>
      </w:r>
      <w:r w:rsidR="00723ACE" w:rsidRPr="00317646">
        <w:rPr>
          <w:rFonts w:ascii="Times New Roman" w:hAnsi="Times New Roman" w:cs="Times New Roman"/>
          <w:lang w:eastAsia="en-US"/>
        </w:rPr>
        <w:t xml:space="preserve"> </w:t>
      </w:r>
      <w:r w:rsidRPr="00317646">
        <w:rPr>
          <w:rFonts w:ascii="Times New Roman" w:hAnsi="Times New Roman" w:cs="Times New Roman"/>
          <w:lang w:eastAsia="en-US"/>
        </w:rPr>
        <w:t xml:space="preserve">shall implement and make operational the </w:t>
      </w:r>
      <w:r w:rsidR="00DE76CC" w:rsidRPr="00317646">
        <w:rPr>
          <w:rFonts w:ascii="Times New Roman" w:hAnsi="Times New Roman" w:cs="Times New Roman"/>
          <w:lang w:eastAsia="en-US"/>
        </w:rPr>
        <w:t>RR-Platform</w:t>
      </w:r>
      <w:r w:rsidRPr="00317646">
        <w:rPr>
          <w:rFonts w:ascii="Times New Roman" w:hAnsi="Times New Roman" w:cs="Times New Roman"/>
          <w:lang w:eastAsia="en-US"/>
        </w:rPr>
        <w:t xml:space="preserve"> for the exchange of balancing energy for RR</w:t>
      </w:r>
      <w:r w:rsidR="004B39E1" w:rsidRPr="00317646">
        <w:rPr>
          <w:rFonts w:ascii="Times New Roman" w:hAnsi="Times New Roman" w:cs="Times New Roman"/>
          <w:lang w:eastAsia="en-US"/>
        </w:rPr>
        <w:t xml:space="preserve"> no later than </w:t>
      </w:r>
      <w:r w:rsidRPr="00317646">
        <w:rPr>
          <w:rFonts w:ascii="Times New Roman" w:hAnsi="Times New Roman" w:cs="Times New Roman"/>
          <w:lang w:eastAsia="en-US"/>
        </w:rPr>
        <w:t xml:space="preserve">one year after the approval of the proposal for the RRIF for </w:t>
      </w:r>
      <w:r w:rsidR="00DE76CC" w:rsidRPr="00317646">
        <w:rPr>
          <w:rFonts w:ascii="Times New Roman" w:hAnsi="Times New Roman" w:cs="Times New Roman"/>
          <w:lang w:eastAsia="en-US"/>
        </w:rPr>
        <w:t>RR-Platform</w:t>
      </w:r>
      <w:r w:rsidRPr="00317646">
        <w:rPr>
          <w:rFonts w:ascii="Times New Roman" w:hAnsi="Times New Roman" w:cs="Times New Roman"/>
          <w:lang w:eastAsia="en-US"/>
        </w:rPr>
        <w:t xml:space="preserve">. </w:t>
      </w:r>
      <w:r w:rsidR="00AC4707" w:rsidRPr="00317646">
        <w:rPr>
          <w:rFonts w:ascii="Times New Roman" w:hAnsi="Times New Roman" w:cs="Times New Roman"/>
          <w:lang w:eastAsia="en-US"/>
        </w:rPr>
        <w:t xml:space="preserve">A TSO may request a derogation from this requirement to its regulatory authority (Article 62 </w:t>
      </w:r>
      <w:r w:rsidR="00983B05" w:rsidRPr="00317646">
        <w:rPr>
          <w:rFonts w:ascii="Times New Roman" w:hAnsi="Times New Roman" w:cs="Times New Roman"/>
          <w:lang w:eastAsia="en-US"/>
        </w:rPr>
        <w:t>of</w:t>
      </w:r>
      <w:r w:rsidR="00D36CD6" w:rsidRPr="00317646">
        <w:rPr>
          <w:rFonts w:ascii="Times New Roman" w:hAnsi="Times New Roman" w:cs="Times New Roman"/>
          <w:lang w:eastAsia="en-US"/>
        </w:rPr>
        <w:t xml:space="preserve"> the</w:t>
      </w:r>
      <w:r w:rsidR="00983B05" w:rsidRPr="00317646">
        <w:rPr>
          <w:rFonts w:ascii="Times New Roman" w:hAnsi="Times New Roman" w:cs="Times New Roman"/>
          <w:lang w:eastAsia="en-US"/>
        </w:rPr>
        <w:t xml:space="preserve"> </w:t>
      </w:r>
      <w:r w:rsidR="00547B2A" w:rsidRPr="00317646">
        <w:rPr>
          <w:rFonts w:ascii="Times New Roman" w:hAnsi="Times New Roman" w:cs="Times New Roman"/>
          <w:lang w:eastAsia="en-US"/>
        </w:rPr>
        <w:t>EBGL</w:t>
      </w:r>
      <w:r w:rsidR="00AC4707" w:rsidRPr="00317646">
        <w:rPr>
          <w:rFonts w:ascii="Times New Roman" w:hAnsi="Times New Roman" w:cs="Times New Roman"/>
          <w:lang w:eastAsia="en-US"/>
        </w:rPr>
        <w:t xml:space="preserve">). The request shall be duly justified according to </w:t>
      </w:r>
      <w:r w:rsidR="001C19C7" w:rsidRPr="00317646">
        <w:rPr>
          <w:rFonts w:ascii="Times New Roman" w:hAnsi="Times New Roman" w:cs="Times New Roman"/>
          <w:lang w:eastAsia="en-US"/>
        </w:rPr>
        <w:t>A</w:t>
      </w:r>
      <w:r w:rsidR="00AC4707" w:rsidRPr="00317646">
        <w:rPr>
          <w:rFonts w:ascii="Times New Roman" w:hAnsi="Times New Roman" w:cs="Times New Roman"/>
          <w:lang w:eastAsia="en-US"/>
        </w:rPr>
        <w:t>rticle 62</w:t>
      </w:r>
      <w:r w:rsidR="001C19C7" w:rsidRPr="00317646">
        <w:rPr>
          <w:rFonts w:ascii="Times New Roman" w:hAnsi="Times New Roman" w:cs="Times New Roman"/>
          <w:lang w:eastAsia="en-US"/>
        </w:rPr>
        <w:t>(</w:t>
      </w:r>
      <w:r w:rsidR="00AC4707" w:rsidRPr="00317646">
        <w:rPr>
          <w:rFonts w:ascii="Times New Roman" w:hAnsi="Times New Roman" w:cs="Times New Roman"/>
          <w:lang w:eastAsia="en-US"/>
        </w:rPr>
        <w:t>5</w:t>
      </w:r>
      <w:r w:rsidR="001C19C7" w:rsidRPr="00317646">
        <w:rPr>
          <w:rFonts w:ascii="Times New Roman" w:hAnsi="Times New Roman" w:cs="Times New Roman"/>
          <w:lang w:eastAsia="en-US"/>
        </w:rPr>
        <w:t>) of the</w:t>
      </w:r>
      <w:r w:rsidR="00AC4707" w:rsidRPr="00317646">
        <w:rPr>
          <w:rFonts w:ascii="Times New Roman" w:hAnsi="Times New Roman" w:cs="Times New Roman"/>
          <w:lang w:eastAsia="en-US"/>
        </w:rPr>
        <w:t xml:space="preserve"> </w:t>
      </w:r>
      <w:r w:rsidR="00547B2A" w:rsidRPr="00317646">
        <w:rPr>
          <w:rFonts w:ascii="Times New Roman" w:hAnsi="Times New Roman" w:cs="Times New Roman"/>
          <w:lang w:eastAsia="en-US"/>
        </w:rPr>
        <w:t>EBGL</w:t>
      </w:r>
      <w:r w:rsidR="00AC4707" w:rsidRPr="00317646">
        <w:rPr>
          <w:rFonts w:ascii="Times New Roman" w:hAnsi="Times New Roman" w:cs="Times New Roman"/>
          <w:lang w:eastAsia="en-US"/>
        </w:rPr>
        <w:t>.</w:t>
      </w:r>
      <w:r w:rsidR="002D3808" w:rsidRPr="00317646" w:rsidDel="002D3808">
        <w:rPr>
          <w:rFonts w:ascii="Times New Roman" w:hAnsi="Times New Roman" w:cs="Times New Roman"/>
          <w:lang w:eastAsia="en-US"/>
        </w:rPr>
        <w:t xml:space="preserve"> </w:t>
      </w:r>
    </w:p>
    <w:p w14:paraId="54039B77" w14:textId="77777777" w:rsidR="002C56DE" w:rsidRPr="00317646" w:rsidRDefault="00594ACE" w:rsidP="003555B4">
      <w:pPr>
        <w:pStyle w:val="ListParagraph"/>
        <w:numPr>
          <w:ilvl w:val="1"/>
          <w:numId w:val="13"/>
        </w:numPr>
        <w:rPr>
          <w:lang w:eastAsia="en-US"/>
        </w:rPr>
      </w:pPr>
      <w:r w:rsidRPr="00317646">
        <w:rPr>
          <w:lang w:eastAsia="en-US"/>
        </w:rPr>
        <w:t xml:space="preserve"> </w:t>
      </w:r>
      <w:r w:rsidR="002C56DE" w:rsidRPr="00317646">
        <w:rPr>
          <w:lang w:eastAsia="en-US"/>
        </w:rPr>
        <w:t xml:space="preserve">The </w:t>
      </w:r>
      <w:r w:rsidR="0053119D" w:rsidRPr="00317646">
        <w:t xml:space="preserve">Implementation </w:t>
      </w:r>
      <w:r w:rsidR="002C56DE" w:rsidRPr="00317646">
        <w:rPr>
          <w:lang w:eastAsia="en-US"/>
        </w:rPr>
        <w:t xml:space="preserve">project aims </w:t>
      </w:r>
      <w:r w:rsidR="00D36CD6" w:rsidRPr="00317646">
        <w:rPr>
          <w:lang w:eastAsia="en-US"/>
        </w:rPr>
        <w:t>at</w:t>
      </w:r>
      <w:r w:rsidR="002C56DE" w:rsidRPr="00317646">
        <w:rPr>
          <w:lang w:eastAsia="en-US"/>
        </w:rPr>
        <w:t xml:space="preserve"> establish</w:t>
      </w:r>
      <w:r w:rsidR="00D36CD6" w:rsidRPr="00317646">
        <w:rPr>
          <w:lang w:eastAsia="en-US"/>
        </w:rPr>
        <w:t>ing</w:t>
      </w:r>
      <w:r w:rsidR="002C56DE" w:rsidRPr="00317646">
        <w:rPr>
          <w:lang w:eastAsia="en-US"/>
        </w:rPr>
        <w:t xml:space="preserve"> the functioning of the</w:t>
      </w:r>
      <w:r w:rsidR="0031447D" w:rsidRPr="00317646">
        <w:rPr>
          <w:lang w:eastAsia="en-US"/>
        </w:rPr>
        <w:t xml:space="preserve"> </w:t>
      </w:r>
      <w:r w:rsidR="00DE76CC" w:rsidRPr="00317646">
        <w:rPr>
          <w:lang w:eastAsia="en-US"/>
        </w:rPr>
        <w:t>RR-Platform</w:t>
      </w:r>
      <w:r w:rsidR="00E3764E" w:rsidRPr="00317646">
        <w:rPr>
          <w:lang w:eastAsia="en-US"/>
        </w:rPr>
        <w:t xml:space="preserve"> following Article 5 </w:t>
      </w:r>
      <w:r w:rsidR="001A3F6C" w:rsidRPr="00317646">
        <w:rPr>
          <w:lang w:eastAsia="en-US"/>
        </w:rPr>
        <w:t>of this RRIF</w:t>
      </w:r>
      <w:r w:rsidR="002C56DE" w:rsidRPr="00317646">
        <w:rPr>
          <w:lang w:eastAsia="en-US"/>
        </w:rPr>
        <w:t xml:space="preserve">. </w:t>
      </w:r>
    </w:p>
    <w:p w14:paraId="29701573" w14:textId="77777777" w:rsidR="004E27D2" w:rsidRPr="00317646" w:rsidRDefault="004E27D2" w:rsidP="003555B4">
      <w:pPr>
        <w:pStyle w:val="textenumeration"/>
        <w:numPr>
          <w:ilvl w:val="1"/>
          <w:numId w:val="34"/>
        </w:numPr>
        <w:rPr>
          <w:lang w:val="en-GB" w:eastAsia="en-US"/>
        </w:rPr>
      </w:pPr>
      <w:r w:rsidRPr="00317646">
        <w:rPr>
          <w:lang w:val="en-GB" w:eastAsia="en-US"/>
        </w:rPr>
        <w:t>In parallel to the central platform development, the local implementation will take place, to ensure readiness for the exchange with the</w:t>
      </w:r>
      <w:r w:rsidR="0031447D" w:rsidRPr="00317646">
        <w:rPr>
          <w:lang w:val="en-GB" w:eastAsia="en-US"/>
        </w:rPr>
        <w:t xml:space="preserve"> </w:t>
      </w:r>
      <w:r w:rsidR="00DE76CC" w:rsidRPr="00317646">
        <w:rPr>
          <w:lang w:val="en-GB" w:eastAsia="en-US"/>
        </w:rPr>
        <w:t>RR-Platform</w:t>
      </w:r>
      <w:r w:rsidRPr="00317646">
        <w:rPr>
          <w:lang w:val="en-GB" w:eastAsia="en-US"/>
        </w:rPr>
        <w:t xml:space="preserve">, once operational. The </w:t>
      </w:r>
      <w:r w:rsidR="004023D9" w:rsidRPr="00317646">
        <w:rPr>
          <w:lang w:val="en-GB" w:eastAsia="en-US"/>
        </w:rPr>
        <w:t xml:space="preserve">adjustment </w:t>
      </w:r>
      <w:r w:rsidR="00146226" w:rsidRPr="00317646">
        <w:rPr>
          <w:lang w:val="en-GB" w:eastAsia="en-US"/>
        </w:rPr>
        <w:t xml:space="preserve">of the national RR processes to integrate with the RR-Platform </w:t>
      </w:r>
      <w:r w:rsidRPr="00317646">
        <w:rPr>
          <w:lang w:val="en-GB" w:eastAsia="en-US"/>
        </w:rPr>
        <w:t>are not in scope of this</w:t>
      </w:r>
      <w:r w:rsidR="00C25EBA" w:rsidRPr="00317646">
        <w:rPr>
          <w:lang w:val="en-GB" w:eastAsia="en-US"/>
        </w:rPr>
        <w:t xml:space="preserve"> RRIF </w:t>
      </w:r>
      <w:r w:rsidRPr="00317646">
        <w:rPr>
          <w:lang w:val="en-GB" w:eastAsia="en-US"/>
        </w:rPr>
        <w:t xml:space="preserve">and are </w:t>
      </w:r>
      <w:r w:rsidR="004B39E1" w:rsidRPr="00317646">
        <w:rPr>
          <w:lang w:val="en-GB" w:eastAsia="en-US"/>
        </w:rPr>
        <w:t>implemented</w:t>
      </w:r>
      <w:r w:rsidRPr="00317646">
        <w:rPr>
          <w:lang w:val="en-GB" w:eastAsia="en-US"/>
        </w:rPr>
        <w:t xml:space="preserve"> at a local level.</w:t>
      </w:r>
    </w:p>
    <w:p w14:paraId="4BF3A1DC" w14:textId="77777777" w:rsidR="002C56DE" w:rsidRPr="00317646" w:rsidRDefault="002C56DE" w:rsidP="003555B4">
      <w:pPr>
        <w:pStyle w:val="textenumeration"/>
        <w:numPr>
          <w:ilvl w:val="1"/>
          <w:numId w:val="34"/>
        </w:numPr>
        <w:rPr>
          <w:lang w:val="en-GB" w:eastAsia="en-US"/>
        </w:rPr>
      </w:pPr>
      <w:r w:rsidRPr="00317646">
        <w:rPr>
          <w:lang w:val="en-GB" w:eastAsia="en-US"/>
        </w:rPr>
        <w:t xml:space="preserve">The </w:t>
      </w:r>
      <w:r w:rsidR="0053119D" w:rsidRPr="00317646">
        <w:rPr>
          <w:lang w:val="en-GB"/>
        </w:rPr>
        <w:t>Implementation</w:t>
      </w:r>
      <w:r w:rsidRPr="00317646">
        <w:rPr>
          <w:lang w:val="en-GB" w:eastAsia="en-US"/>
        </w:rPr>
        <w:t xml:space="preserve"> project includes the main aspects of the RR market harmonization, in order to establish a </w:t>
      </w:r>
      <w:r w:rsidR="004023D9" w:rsidRPr="00317646">
        <w:rPr>
          <w:lang w:val="en-GB" w:eastAsia="en-US"/>
        </w:rPr>
        <w:t>level</w:t>
      </w:r>
      <w:r w:rsidRPr="00317646">
        <w:rPr>
          <w:lang w:val="en-GB" w:eastAsia="en-US"/>
        </w:rPr>
        <w:t xml:space="preserve"> playing field for the market participants</w:t>
      </w:r>
      <w:r w:rsidR="006830CC" w:rsidRPr="00317646">
        <w:rPr>
          <w:lang w:val="en-GB" w:eastAsia="en-US"/>
        </w:rPr>
        <w:t xml:space="preserve"> in the Region</w:t>
      </w:r>
      <w:r w:rsidRPr="00317646">
        <w:rPr>
          <w:lang w:val="en-GB" w:eastAsia="en-US"/>
        </w:rPr>
        <w:t>. The details of the harmonization</w:t>
      </w:r>
      <w:r w:rsidR="006830CC" w:rsidRPr="00317646">
        <w:rPr>
          <w:lang w:val="en-GB" w:eastAsia="en-US"/>
        </w:rPr>
        <w:t xml:space="preserve"> in the Region</w:t>
      </w:r>
      <w:r w:rsidRPr="00317646">
        <w:rPr>
          <w:lang w:val="en-GB" w:eastAsia="en-US"/>
        </w:rPr>
        <w:t xml:space="preserve"> will be elaborated in </w:t>
      </w:r>
      <w:r w:rsidR="000A4ACE" w:rsidRPr="00317646">
        <w:rPr>
          <w:lang w:val="en-GB" w:eastAsia="en-US"/>
        </w:rPr>
        <w:t xml:space="preserve">Article 11 of </w:t>
      </w:r>
      <w:r w:rsidR="00067985" w:rsidRPr="00317646">
        <w:rPr>
          <w:lang w:val="en-GB" w:eastAsia="en-US"/>
        </w:rPr>
        <w:t>this RRIF</w:t>
      </w:r>
      <w:r w:rsidR="000A4ACE" w:rsidRPr="00317646">
        <w:rPr>
          <w:lang w:val="en-GB" w:eastAsia="en-US"/>
        </w:rPr>
        <w:t>.</w:t>
      </w:r>
      <w:r w:rsidR="00067985" w:rsidRPr="00317646">
        <w:rPr>
          <w:lang w:val="en-GB" w:eastAsia="en-US"/>
        </w:rPr>
        <w:t xml:space="preserve"> </w:t>
      </w:r>
    </w:p>
    <w:p w14:paraId="5C9560E4" w14:textId="77777777" w:rsidR="00A80FF5" w:rsidRPr="00317646" w:rsidRDefault="002C56DE" w:rsidP="003555B4">
      <w:pPr>
        <w:pStyle w:val="textenumeration"/>
        <w:numPr>
          <w:ilvl w:val="1"/>
          <w:numId w:val="34"/>
        </w:numPr>
        <w:rPr>
          <w:lang w:val="en-GB" w:eastAsia="en-US"/>
        </w:rPr>
      </w:pPr>
      <w:r w:rsidRPr="00317646">
        <w:rPr>
          <w:lang w:val="en-GB" w:eastAsia="en-US"/>
        </w:rPr>
        <w:t xml:space="preserve">The </w:t>
      </w:r>
      <w:r w:rsidR="007E774C" w:rsidRPr="00317646">
        <w:rPr>
          <w:lang w:val="en-GB" w:eastAsia="en-US"/>
        </w:rPr>
        <w:t>p</w:t>
      </w:r>
      <w:r w:rsidRPr="00317646">
        <w:rPr>
          <w:lang w:val="en-GB" w:eastAsia="en-US"/>
        </w:rPr>
        <w:t xml:space="preserve">arallel run phase will encompass the participation of the RR </w:t>
      </w:r>
      <w:r w:rsidR="00B92915" w:rsidRPr="00317646">
        <w:rPr>
          <w:lang w:val="en-GB" w:eastAsia="en-US"/>
        </w:rPr>
        <w:t>TSOs</w:t>
      </w:r>
      <w:r w:rsidRPr="00317646">
        <w:rPr>
          <w:lang w:val="en-GB" w:eastAsia="en-US"/>
        </w:rPr>
        <w:t xml:space="preserve"> </w:t>
      </w:r>
      <w:r w:rsidR="00B92915" w:rsidRPr="00317646">
        <w:rPr>
          <w:lang w:val="en-GB" w:eastAsia="en-US"/>
        </w:rPr>
        <w:t>and</w:t>
      </w:r>
      <w:r w:rsidRPr="00317646">
        <w:rPr>
          <w:lang w:val="en-GB" w:eastAsia="en-US"/>
        </w:rPr>
        <w:t xml:space="preserve"> the national BSPs</w:t>
      </w:r>
      <w:r w:rsidR="00236051" w:rsidRPr="00317646">
        <w:rPr>
          <w:lang w:val="en-GB" w:eastAsia="en-US"/>
        </w:rPr>
        <w:t xml:space="preserve"> if needed</w:t>
      </w:r>
      <w:r w:rsidR="005167E4" w:rsidRPr="00317646">
        <w:rPr>
          <w:rStyle w:val="FootnoteReference"/>
          <w:lang w:val="en-GB" w:eastAsia="en-US"/>
        </w:rPr>
        <w:footnoteReference w:id="2"/>
      </w:r>
      <w:r w:rsidRPr="00317646">
        <w:rPr>
          <w:lang w:val="en-GB" w:eastAsia="en-US"/>
        </w:rPr>
        <w:t xml:space="preserve">. This phase is the </w:t>
      </w:r>
      <w:r w:rsidR="009C2F28" w:rsidRPr="00317646">
        <w:rPr>
          <w:lang w:val="en-GB" w:eastAsia="en-US"/>
        </w:rPr>
        <w:t>“</w:t>
      </w:r>
      <w:r w:rsidRPr="00317646">
        <w:rPr>
          <w:lang w:val="en-GB" w:eastAsia="en-US"/>
        </w:rPr>
        <w:t>end to end testing</w:t>
      </w:r>
      <w:r w:rsidR="009C2F28" w:rsidRPr="00317646">
        <w:rPr>
          <w:lang w:val="en-GB" w:eastAsia="en-US"/>
        </w:rPr>
        <w:t>”</w:t>
      </w:r>
      <w:r w:rsidRPr="00317646">
        <w:rPr>
          <w:lang w:val="en-GB" w:eastAsia="en-US"/>
        </w:rPr>
        <w:t xml:space="preserve"> which will challenge the readiness of the</w:t>
      </w:r>
      <w:r w:rsidR="0031447D" w:rsidRPr="00317646">
        <w:rPr>
          <w:lang w:val="en-GB" w:eastAsia="en-US"/>
        </w:rPr>
        <w:t xml:space="preserve"> </w:t>
      </w:r>
      <w:r w:rsidR="00DE76CC" w:rsidRPr="00317646">
        <w:rPr>
          <w:lang w:val="en-GB" w:eastAsia="en-US"/>
        </w:rPr>
        <w:t>RR-Platform</w:t>
      </w:r>
      <w:r w:rsidRPr="00317646">
        <w:rPr>
          <w:lang w:val="en-GB" w:eastAsia="en-US"/>
        </w:rPr>
        <w:t>, the TSOs and the local BSPs.</w:t>
      </w:r>
      <w:r w:rsidR="007C3CF5" w:rsidRPr="00317646">
        <w:rPr>
          <w:lang w:val="en-GB" w:eastAsia="en-US"/>
        </w:rPr>
        <w:t xml:space="preserve"> The communication, exchange of information, </w:t>
      </w:r>
      <w:r w:rsidR="006C1DE9" w:rsidRPr="00317646">
        <w:rPr>
          <w:lang w:val="en-GB" w:eastAsia="en-US"/>
        </w:rPr>
        <w:t>fall-back</w:t>
      </w:r>
      <w:r w:rsidR="007C3CF5" w:rsidRPr="00317646">
        <w:rPr>
          <w:lang w:val="en-GB" w:eastAsia="en-US"/>
        </w:rPr>
        <w:t xml:space="preserve"> procedures and incidental processes will be verified.</w:t>
      </w:r>
      <w:r w:rsidR="008A4521" w:rsidRPr="00317646">
        <w:rPr>
          <w:lang w:val="en-GB" w:eastAsia="en-US"/>
        </w:rPr>
        <w:t xml:space="preserve"> </w:t>
      </w:r>
    </w:p>
    <w:p w14:paraId="69B30136" w14:textId="77777777" w:rsidR="00ED36F8" w:rsidRPr="00317646" w:rsidRDefault="007E774C" w:rsidP="003555B4">
      <w:pPr>
        <w:pStyle w:val="textenumeration"/>
        <w:numPr>
          <w:ilvl w:val="1"/>
          <w:numId w:val="34"/>
        </w:numPr>
        <w:rPr>
          <w:lang w:val="en-GB" w:eastAsia="en-US"/>
        </w:rPr>
      </w:pPr>
      <w:r w:rsidRPr="00317646">
        <w:rPr>
          <w:lang w:val="en-GB" w:eastAsia="en-US"/>
        </w:rPr>
        <w:t xml:space="preserve">This </w:t>
      </w:r>
      <w:r w:rsidR="007C3CF5" w:rsidRPr="00317646">
        <w:rPr>
          <w:lang w:val="en-GB" w:eastAsia="en-US"/>
        </w:rPr>
        <w:t>parallel run</w:t>
      </w:r>
      <w:r w:rsidRPr="00317646">
        <w:rPr>
          <w:lang w:val="en-GB" w:eastAsia="en-US"/>
        </w:rPr>
        <w:t xml:space="preserve"> phase</w:t>
      </w:r>
      <w:r w:rsidR="007C3CF5" w:rsidRPr="00317646">
        <w:rPr>
          <w:lang w:val="en-GB" w:eastAsia="en-US"/>
        </w:rPr>
        <w:t xml:space="preserve"> is foreseen to take place </w:t>
      </w:r>
      <w:r w:rsidR="00116B1D" w:rsidRPr="00317646">
        <w:rPr>
          <w:lang w:val="en-GB" w:eastAsia="en-US"/>
        </w:rPr>
        <w:t xml:space="preserve">in </w:t>
      </w:r>
      <w:r w:rsidR="007C3CF5" w:rsidRPr="00317646">
        <w:rPr>
          <w:lang w:val="en-GB" w:eastAsia="en-US"/>
        </w:rPr>
        <w:t>the 2</w:t>
      </w:r>
      <w:r w:rsidR="007C3CF5" w:rsidRPr="00317646">
        <w:rPr>
          <w:vertAlign w:val="superscript"/>
          <w:lang w:val="en-GB" w:eastAsia="en-US"/>
        </w:rPr>
        <w:t>nd</w:t>
      </w:r>
      <w:r w:rsidR="00067985" w:rsidRPr="00317646">
        <w:rPr>
          <w:lang w:val="en-GB" w:eastAsia="en-US"/>
        </w:rPr>
        <w:t xml:space="preserve"> </w:t>
      </w:r>
      <w:r w:rsidR="007C3CF5" w:rsidRPr="00317646">
        <w:rPr>
          <w:lang w:val="en-GB" w:eastAsia="en-US"/>
        </w:rPr>
        <w:t>half of 2019.</w:t>
      </w:r>
    </w:p>
    <w:p w14:paraId="13427486" w14:textId="77777777" w:rsidR="005F6CBE" w:rsidRPr="00317646" w:rsidRDefault="008A4521" w:rsidP="003555B4">
      <w:pPr>
        <w:pStyle w:val="textenumeration"/>
        <w:numPr>
          <w:ilvl w:val="1"/>
          <w:numId w:val="34"/>
        </w:numPr>
        <w:rPr>
          <w:lang w:val="en-GB" w:eastAsia="en-US"/>
        </w:rPr>
      </w:pPr>
      <w:r w:rsidRPr="00317646">
        <w:rPr>
          <w:lang w:val="en-GB" w:eastAsia="en-US"/>
        </w:rPr>
        <w:t xml:space="preserve">The go-live of the </w:t>
      </w:r>
      <w:r w:rsidR="00DE76CC" w:rsidRPr="00317646">
        <w:rPr>
          <w:lang w:val="en-GB" w:eastAsia="en-US"/>
        </w:rPr>
        <w:t>RR-Platform</w:t>
      </w:r>
      <w:r w:rsidRPr="00317646">
        <w:rPr>
          <w:lang w:val="en-GB" w:eastAsia="en-US"/>
        </w:rPr>
        <w:t xml:space="preserve"> </w:t>
      </w:r>
      <w:r w:rsidR="001C19C7" w:rsidRPr="00317646">
        <w:rPr>
          <w:lang w:val="en-GB" w:eastAsia="en-US"/>
        </w:rPr>
        <w:t xml:space="preserve">shall </w:t>
      </w:r>
      <w:r w:rsidRPr="00317646">
        <w:rPr>
          <w:lang w:val="en-GB" w:eastAsia="en-US"/>
        </w:rPr>
        <w:t>take place</w:t>
      </w:r>
      <w:r w:rsidR="001C19C7" w:rsidRPr="00317646">
        <w:rPr>
          <w:lang w:val="en-GB" w:eastAsia="en-US"/>
        </w:rPr>
        <w:t xml:space="preserve"> no later than</w:t>
      </w:r>
      <w:r w:rsidRPr="00317646">
        <w:rPr>
          <w:lang w:val="en-GB" w:eastAsia="en-US"/>
        </w:rPr>
        <w:t xml:space="preserve"> one year after the approval of the RRIF</w:t>
      </w:r>
      <w:r w:rsidR="00116B1D" w:rsidRPr="00317646">
        <w:rPr>
          <w:lang w:val="en-GB" w:eastAsia="en-US"/>
        </w:rPr>
        <w:t xml:space="preserve">. </w:t>
      </w:r>
    </w:p>
    <w:p w14:paraId="777CEE7A" w14:textId="77777777" w:rsidR="00B63261" w:rsidRPr="00317646" w:rsidRDefault="00D36CD6" w:rsidP="003555B4">
      <w:pPr>
        <w:pStyle w:val="textenumeration"/>
        <w:numPr>
          <w:ilvl w:val="1"/>
          <w:numId w:val="34"/>
        </w:numPr>
        <w:rPr>
          <w:lang w:val="en-GB" w:eastAsia="en-US"/>
        </w:rPr>
      </w:pPr>
      <w:r w:rsidRPr="00317646">
        <w:rPr>
          <w:lang w:val="en-GB" w:eastAsia="en-US"/>
        </w:rPr>
        <w:t>F</w:t>
      </w:r>
      <w:r w:rsidR="00B63261" w:rsidRPr="00317646">
        <w:rPr>
          <w:lang w:val="en-GB" w:eastAsia="en-US"/>
        </w:rPr>
        <w:t>uture evolutions of the RR-Platform are described in Articles 7, 11(5) and 13(3) of this RRIF.</w:t>
      </w:r>
    </w:p>
    <w:p w14:paraId="0ED5A833" w14:textId="77777777" w:rsidR="00B2603D" w:rsidRPr="00317646" w:rsidRDefault="00D26FFC" w:rsidP="00297F75">
      <w:pPr>
        <w:spacing w:after="120" w:line="260" w:lineRule="exact"/>
        <w:jc w:val="center"/>
        <w:outlineLvl w:val="1"/>
        <w:rPr>
          <w:lang w:val="en-GB" w:eastAsia="en-US"/>
        </w:rPr>
      </w:pPr>
      <w:bookmarkStart w:id="32" w:name="_Toc445298918"/>
      <w:bookmarkStart w:id="33" w:name="_Toc445299180"/>
      <w:bookmarkStart w:id="34" w:name="_Toc445825436"/>
      <w:bookmarkStart w:id="35" w:name="_Toc51082152"/>
      <w:r w:rsidRPr="00317646">
        <w:rPr>
          <w:rFonts w:ascii="Times New Roman" w:hAnsi="Times New Roman" w:cs="Arial"/>
          <w:b/>
          <w:color w:val="23236E"/>
          <w:sz w:val="24"/>
          <w:lang w:val="en-GB" w:eastAsia="en-US"/>
        </w:rPr>
        <w:lastRenderedPageBreak/>
        <w:t xml:space="preserve">Article </w:t>
      </w:r>
      <w:r w:rsidR="001A5ACF" w:rsidRPr="00317646">
        <w:rPr>
          <w:rFonts w:ascii="Times New Roman" w:hAnsi="Times New Roman" w:cs="Arial"/>
          <w:b/>
          <w:color w:val="23236E"/>
          <w:sz w:val="24"/>
          <w:lang w:val="en-GB" w:eastAsia="en-US"/>
        </w:rPr>
        <w:t>5</w:t>
      </w:r>
      <w:r w:rsidRPr="00317646">
        <w:rPr>
          <w:rFonts w:ascii="Times New Roman" w:hAnsi="Times New Roman" w:cs="Arial"/>
          <w:b/>
          <w:color w:val="23236E"/>
          <w:sz w:val="24"/>
          <w:lang w:val="en-GB" w:eastAsia="en-US"/>
        </w:rPr>
        <w:br/>
      </w:r>
      <w:bookmarkEnd w:id="32"/>
      <w:bookmarkEnd w:id="33"/>
      <w:bookmarkEnd w:id="34"/>
      <w:r w:rsidRPr="00317646">
        <w:rPr>
          <w:rFonts w:ascii="Times New Roman" w:hAnsi="Times New Roman" w:cs="Arial"/>
          <w:b/>
          <w:color w:val="23236E"/>
          <w:sz w:val="24"/>
          <w:lang w:val="en-GB" w:eastAsia="en-US"/>
        </w:rPr>
        <w:t xml:space="preserve">Functions of the </w:t>
      </w:r>
      <w:r w:rsidR="00DE76CC" w:rsidRPr="00317646">
        <w:rPr>
          <w:rFonts w:ascii="Times New Roman" w:hAnsi="Times New Roman" w:cs="Arial"/>
          <w:b/>
          <w:color w:val="23236E"/>
          <w:sz w:val="24"/>
          <w:lang w:val="en-GB" w:eastAsia="en-US"/>
        </w:rPr>
        <w:t>RR-Platform</w:t>
      </w:r>
      <w:bookmarkEnd w:id="35"/>
    </w:p>
    <w:p w14:paraId="35A252F7" w14:textId="77777777" w:rsidR="00D26FFC" w:rsidRPr="00317646" w:rsidRDefault="00D26FFC" w:rsidP="00B13FF4">
      <w:pPr>
        <w:pStyle w:val="textenumeration"/>
        <w:numPr>
          <w:ilvl w:val="0"/>
          <w:numId w:val="29"/>
        </w:numPr>
        <w:rPr>
          <w:lang w:val="en-GB" w:eastAsia="en-US"/>
        </w:rPr>
      </w:pPr>
      <w:r w:rsidRPr="00317646">
        <w:rPr>
          <w:lang w:val="en-GB" w:eastAsia="en-US"/>
        </w:rPr>
        <w:t xml:space="preserve">The </w:t>
      </w:r>
      <w:r w:rsidR="00DE76CC" w:rsidRPr="00317646">
        <w:rPr>
          <w:lang w:val="en-GB" w:eastAsia="en-US"/>
        </w:rPr>
        <w:t>RR-Platform</w:t>
      </w:r>
      <w:r w:rsidRPr="00317646">
        <w:rPr>
          <w:lang w:val="en-GB" w:eastAsia="en-US"/>
        </w:rPr>
        <w:t xml:space="preserve"> shall consist of the following functions:</w:t>
      </w:r>
    </w:p>
    <w:p w14:paraId="2F55AE8A" w14:textId="77777777" w:rsidR="00D26FFC" w:rsidRPr="00317646" w:rsidRDefault="001C7772" w:rsidP="00B13FF4">
      <w:pPr>
        <w:pStyle w:val="textenumeration"/>
        <w:numPr>
          <w:ilvl w:val="1"/>
          <w:numId w:val="31"/>
        </w:numPr>
        <w:rPr>
          <w:lang w:val="en-GB" w:eastAsia="en-US"/>
        </w:rPr>
      </w:pPr>
      <w:r w:rsidRPr="00317646">
        <w:rPr>
          <w:lang w:val="en-GB" w:eastAsia="en-US"/>
        </w:rPr>
        <w:t>AOF</w:t>
      </w:r>
      <w:r w:rsidR="009C2F28" w:rsidRPr="00317646">
        <w:rPr>
          <w:lang w:val="en-GB" w:eastAsia="en-US"/>
        </w:rPr>
        <w:t xml:space="preserve"> (</w:t>
      </w:r>
      <w:r w:rsidR="009C2F28" w:rsidRPr="00317646">
        <w:rPr>
          <w:szCs w:val="22"/>
          <w:lang w:val="en-GB" w:eastAsia="en-US"/>
        </w:rPr>
        <w:t>Activation optimization function)</w:t>
      </w:r>
      <w:r w:rsidR="007B58A8" w:rsidRPr="00317646">
        <w:rPr>
          <w:szCs w:val="22"/>
          <w:lang w:val="en-GB" w:eastAsia="en-US"/>
        </w:rPr>
        <w:t>: T</w:t>
      </w:r>
      <w:r w:rsidR="00BD0E47" w:rsidRPr="00317646">
        <w:rPr>
          <w:szCs w:val="22"/>
          <w:lang w:val="en-GB" w:eastAsia="en-US"/>
        </w:rPr>
        <w:t>he</w:t>
      </w:r>
      <w:r w:rsidR="007B58A8" w:rsidRPr="00317646">
        <w:rPr>
          <w:szCs w:val="22"/>
          <w:lang w:val="en-GB" w:eastAsia="en-US"/>
        </w:rPr>
        <w:t xml:space="preserve"> purpose of the</w:t>
      </w:r>
      <w:r w:rsidR="00BD0E47" w:rsidRPr="00317646">
        <w:rPr>
          <w:szCs w:val="22"/>
          <w:lang w:val="en-GB" w:eastAsia="en-US"/>
        </w:rPr>
        <w:t xml:space="preserve"> AOF is described in </w:t>
      </w:r>
      <w:r w:rsidR="007B58A8" w:rsidRPr="00317646">
        <w:rPr>
          <w:szCs w:val="22"/>
          <w:lang w:val="en-GB" w:eastAsia="en-US"/>
        </w:rPr>
        <w:t>Article 13 of the RRIF</w:t>
      </w:r>
      <w:r w:rsidR="00BC3FD1" w:rsidRPr="00317646">
        <w:rPr>
          <w:szCs w:val="22"/>
          <w:lang w:val="en-GB" w:eastAsia="en-US"/>
        </w:rPr>
        <w:t>.</w:t>
      </w:r>
    </w:p>
    <w:p w14:paraId="0515B1B0" w14:textId="77777777" w:rsidR="00BF283A" w:rsidRPr="00BF283A" w:rsidRDefault="005A74E6" w:rsidP="00B13FF4">
      <w:pPr>
        <w:pStyle w:val="ListParagraph"/>
        <w:numPr>
          <w:ilvl w:val="1"/>
          <w:numId w:val="31"/>
        </w:numPr>
      </w:pPr>
      <w:r w:rsidRPr="00654A7E">
        <w:t>C</w:t>
      </w:r>
      <w:r w:rsidR="005F6CBE" w:rsidRPr="00654A7E">
        <w:t>ross</w:t>
      </w:r>
      <w:r w:rsidR="00010959" w:rsidRPr="00654A7E">
        <w:t>-</w:t>
      </w:r>
      <w:r w:rsidR="00BC2B52" w:rsidRPr="00654A7E">
        <w:t>zonal capacity</w:t>
      </w:r>
      <w:r w:rsidR="00BC3FD1" w:rsidRPr="00654A7E">
        <w:t xml:space="preserve">: </w:t>
      </w:r>
      <w:r w:rsidR="00045B26" w:rsidRPr="00654A7E">
        <w:t>The purpose of this function</w:t>
      </w:r>
      <w:r w:rsidR="000E2F74" w:rsidRPr="00654A7E">
        <w:t xml:space="preserve"> is to </w:t>
      </w:r>
      <w:r w:rsidRPr="00654A7E">
        <w:t>compute, under the TSOs control, the Cross</w:t>
      </w:r>
      <w:r w:rsidR="00BF283A">
        <w:t>-</w:t>
      </w:r>
      <w:r w:rsidRPr="00654A7E">
        <w:t>zonal capacity parameters</w:t>
      </w:r>
      <w:r w:rsidR="00654A7E">
        <w:t xml:space="preserve">, </w:t>
      </w:r>
      <w:proofErr w:type="spellStart"/>
      <w:r w:rsidR="00654A7E">
        <w:t>i</w:t>
      </w:r>
      <w:proofErr w:type="spellEnd"/>
      <w:r w:rsidR="00F07304" w:rsidRPr="00654A7E">
        <w:rPr>
          <w:lang w:val="en-US"/>
        </w:rPr>
        <w:t>f deemed efficient when implementing the methodology for CZC calculation</w:t>
      </w:r>
      <w:r w:rsidR="00654A7E" w:rsidRPr="00654A7E">
        <w:rPr>
          <w:lang w:val="en-US"/>
        </w:rPr>
        <w:t xml:space="preserve">. </w:t>
      </w:r>
    </w:p>
    <w:p w14:paraId="2C4E6057" w14:textId="77777777" w:rsidR="00654A7E" w:rsidRPr="00BF283A" w:rsidRDefault="00654A7E" w:rsidP="00B13FF4">
      <w:pPr>
        <w:ind w:left="567"/>
        <w:jc w:val="both"/>
        <w:rPr>
          <w:rFonts w:asciiTheme="minorHAnsi" w:hAnsiTheme="minorHAnsi" w:cstheme="minorHAnsi"/>
          <w:lang w:val="en-GB"/>
        </w:rPr>
      </w:pPr>
      <w:r w:rsidRPr="00BF283A">
        <w:rPr>
          <w:rFonts w:asciiTheme="minorHAnsi" w:hAnsiTheme="minorHAnsi" w:cstheme="minorHAnsi"/>
          <w:lang w:val="en-GB"/>
        </w:rPr>
        <w:t>If and when relevant, the purpose of the Cross-zonal capacity function shall be to implement the methodology for CZC calculation within the balancing timeframe in accordance with Article 37(3) of the EBGL.</w:t>
      </w:r>
    </w:p>
    <w:p w14:paraId="55D2B44F" w14:textId="77777777" w:rsidR="00BF283A" w:rsidRPr="00BF283A" w:rsidRDefault="00BF283A" w:rsidP="00B13FF4">
      <w:pPr>
        <w:ind w:left="567"/>
        <w:jc w:val="both"/>
        <w:rPr>
          <w:rFonts w:asciiTheme="minorHAnsi" w:hAnsiTheme="minorHAnsi" w:cstheme="minorHAnsi"/>
        </w:rPr>
      </w:pPr>
    </w:p>
    <w:p w14:paraId="0F5C1837" w14:textId="77777777" w:rsidR="00B2603D" w:rsidRPr="00317646" w:rsidRDefault="00B2603D" w:rsidP="00B13FF4">
      <w:pPr>
        <w:pStyle w:val="ListParagraph"/>
        <w:numPr>
          <w:ilvl w:val="1"/>
          <w:numId w:val="31"/>
        </w:numPr>
      </w:pPr>
      <w:r w:rsidRPr="00317646">
        <w:t>TSO-TSO settlement</w:t>
      </w:r>
      <w:r w:rsidR="007B58A8" w:rsidRPr="00317646">
        <w:t xml:space="preserve">: </w:t>
      </w:r>
      <w:r w:rsidR="007B58A8" w:rsidRPr="00317646">
        <w:rPr>
          <w:szCs w:val="22"/>
          <w:lang w:eastAsia="en-US"/>
        </w:rPr>
        <w:t xml:space="preserve">The purpose of the TSO-TSO settlement shall be the </w:t>
      </w:r>
      <w:r w:rsidR="007B58A8" w:rsidRPr="00317646">
        <w:t>calculation of the settlement amount that each RR TSO connected to the RR-Platform has to bear for the exchange of energy from the RR process;</w:t>
      </w:r>
    </w:p>
    <w:p w14:paraId="5B199D77" w14:textId="77777777" w:rsidR="00C746AF" w:rsidRPr="00317646" w:rsidRDefault="00C746AF" w:rsidP="00B13FF4">
      <w:pPr>
        <w:pStyle w:val="Numbering2"/>
        <w:numPr>
          <w:ilvl w:val="1"/>
          <w:numId w:val="36"/>
        </w:numPr>
        <w:spacing w:line="256" w:lineRule="auto"/>
      </w:pPr>
      <w:r w:rsidRPr="00317646">
        <w:t>The input to the TSO-TSO settlement function shall be at least the RR energy exchanged between the LFC areas and the prices determined in accordance with the methodology proposed in accordance with Article 30 of EBGL. Further input may be defined in accordance with Article 50 of EBGL.</w:t>
      </w:r>
    </w:p>
    <w:p w14:paraId="00BAD3DF" w14:textId="77777777" w:rsidR="00C746AF" w:rsidRPr="00317646" w:rsidRDefault="00C746AF" w:rsidP="00B13FF4">
      <w:pPr>
        <w:pStyle w:val="Numbering2"/>
        <w:numPr>
          <w:ilvl w:val="1"/>
          <w:numId w:val="36"/>
        </w:numPr>
        <w:spacing w:line="256" w:lineRule="auto"/>
      </w:pPr>
      <w:r w:rsidRPr="00317646">
        <w:t>The outputs of the TSO-TSO settlement function shall be</w:t>
      </w:r>
      <w:r w:rsidR="00480337" w:rsidRPr="00317646">
        <w:t xml:space="preserve"> at least</w:t>
      </w:r>
      <w:r w:rsidRPr="00317646">
        <w:t>:</w:t>
      </w:r>
    </w:p>
    <w:p w14:paraId="1A5ECC3C" w14:textId="77777777" w:rsidR="00C746AF" w:rsidRPr="00317646" w:rsidRDefault="00C746AF" w:rsidP="00B13FF4">
      <w:pPr>
        <w:pStyle w:val="Numbering2"/>
        <w:numPr>
          <w:ilvl w:val="2"/>
          <w:numId w:val="36"/>
        </w:numPr>
        <w:spacing w:line="256" w:lineRule="auto"/>
      </w:pPr>
      <w:r w:rsidRPr="00317646">
        <w:t>the calculation of the intended exchange of balancing energy and the related settlement amount resulting from the Cross-zonal RR activation process for each RR-Platform Member in accordance with the methodology proposed in accordance with Article 50 of EBGL;</w:t>
      </w:r>
    </w:p>
    <w:p w14:paraId="41CDD272" w14:textId="77777777" w:rsidR="00C746AF" w:rsidRPr="00317646" w:rsidRDefault="00C746AF" w:rsidP="00B13FF4">
      <w:pPr>
        <w:pStyle w:val="Numbering2"/>
        <w:numPr>
          <w:ilvl w:val="2"/>
          <w:numId w:val="36"/>
        </w:numPr>
        <w:spacing w:line="256" w:lineRule="auto"/>
      </w:pPr>
      <w:r w:rsidRPr="00317646">
        <w:t>calculation and distribution of congestion rent incurred in accordance with the methodology proposed in accordance with Article 50 of EBGL.</w:t>
      </w:r>
    </w:p>
    <w:p w14:paraId="100F2AAF" w14:textId="77777777" w:rsidR="00C746AF" w:rsidRPr="00317646" w:rsidRDefault="00C746AF" w:rsidP="00B13FF4">
      <w:pPr>
        <w:pStyle w:val="Numbering2"/>
        <w:numPr>
          <w:ilvl w:val="1"/>
          <w:numId w:val="36"/>
        </w:numPr>
        <w:spacing w:line="256" w:lineRule="auto"/>
      </w:pPr>
      <w:r w:rsidRPr="00317646">
        <w:t>Each Member shall actively cooperate with all other Members in order to:</w:t>
      </w:r>
    </w:p>
    <w:p w14:paraId="30E52D7A" w14:textId="77777777" w:rsidR="00C746AF" w:rsidRPr="00317646" w:rsidRDefault="00C746AF" w:rsidP="00B13FF4">
      <w:pPr>
        <w:pStyle w:val="Numbering2"/>
        <w:numPr>
          <w:ilvl w:val="2"/>
          <w:numId w:val="36"/>
        </w:numPr>
        <w:spacing w:line="256" w:lineRule="auto"/>
      </w:pPr>
      <w:r w:rsidRPr="00317646">
        <w:t>create and revise concepts related to the settlement of intended exchange of energy resulting from the RR-Platform;</w:t>
      </w:r>
    </w:p>
    <w:p w14:paraId="630E7A1C" w14:textId="77777777" w:rsidR="00C746AF" w:rsidRPr="00317646" w:rsidRDefault="00C746AF" w:rsidP="00B13FF4">
      <w:pPr>
        <w:pStyle w:val="Numbering2"/>
        <w:numPr>
          <w:ilvl w:val="2"/>
          <w:numId w:val="36"/>
        </w:numPr>
        <w:spacing w:line="256" w:lineRule="auto"/>
      </w:pPr>
      <w:r w:rsidRPr="00317646">
        <w:t>monitor the correct implementation and execution of the settlement of intended exchange of energy resulting from the RR-</w:t>
      </w:r>
      <w:r w:rsidR="001C1AED" w:rsidRPr="00317646">
        <w:t>Platform</w:t>
      </w:r>
      <w:r w:rsidR="001C1AED" w:rsidRPr="00317646" w:rsidDel="00BA3ABC">
        <w:t>.</w:t>
      </w:r>
    </w:p>
    <w:p w14:paraId="3D6F6761" w14:textId="77777777" w:rsidR="00D26FFC" w:rsidRPr="00317646" w:rsidRDefault="00B2603D" w:rsidP="00B13FF4">
      <w:pPr>
        <w:pStyle w:val="ListParagraph"/>
        <w:numPr>
          <w:ilvl w:val="0"/>
          <w:numId w:val="31"/>
        </w:numPr>
      </w:pPr>
      <w:r w:rsidRPr="00317646">
        <w:t>It</w:t>
      </w:r>
      <w:r w:rsidR="00D96347" w:rsidRPr="00317646">
        <w:t xml:space="preserve"> i</w:t>
      </w:r>
      <w:r w:rsidRPr="00317646">
        <w:t xml:space="preserve">s the responsibility of the </w:t>
      </w:r>
      <w:r w:rsidR="00914591" w:rsidRPr="00317646">
        <w:t xml:space="preserve">Appointed </w:t>
      </w:r>
      <w:r w:rsidRPr="00317646">
        <w:t>entity as described in Article 10</w:t>
      </w:r>
      <w:r w:rsidR="00564F7E" w:rsidRPr="00317646">
        <w:t xml:space="preserve"> of this </w:t>
      </w:r>
      <w:r w:rsidR="00380E9E" w:rsidRPr="00317646">
        <w:t>RRIF</w:t>
      </w:r>
      <w:r w:rsidRPr="00317646">
        <w:t xml:space="preserve"> to operate and monitor the </w:t>
      </w:r>
      <w:r w:rsidR="00DE76CC" w:rsidRPr="00317646">
        <w:t>RR-Platform</w:t>
      </w:r>
      <w:r w:rsidRPr="00317646">
        <w:t xml:space="preserve"> and to provide adequate hosting facilities</w:t>
      </w:r>
      <w:r w:rsidR="00BF3052" w:rsidRPr="00317646">
        <w:t>.</w:t>
      </w:r>
      <w:r w:rsidR="00D26FFC" w:rsidRPr="00317646">
        <w:t xml:space="preserve"> </w:t>
      </w:r>
    </w:p>
    <w:p w14:paraId="75DDBA98" w14:textId="77777777" w:rsidR="00EE4CBA" w:rsidRPr="00317646" w:rsidRDefault="00EE4CBA">
      <w:pPr>
        <w:rPr>
          <w:rFonts w:ascii="Times New Roman" w:hAnsi="Times New Roman" w:cs="Arial"/>
          <w:b/>
          <w:color w:val="23236E"/>
          <w:sz w:val="24"/>
          <w:lang w:val="en-GB" w:eastAsia="en-US"/>
        </w:rPr>
      </w:pPr>
    </w:p>
    <w:p w14:paraId="564C4890" w14:textId="77777777" w:rsidR="0006659F" w:rsidRPr="00317646" w:rsidRDefault="0006659F">
      <w:pPr>
        <w:rPr>
          <w:rFonts w:ascii="Times New Roman" w:hAnsi="Times New Roman" w:cs="Arial"/>
          <w:b/>
          <w:color w:val="23236E"/>
          <w:sz w:val="24"/>
          <w:lang w:val="en-GB" w:eastAsia="en-US"/>
        </w:rPr>
      </w:pPr>
      <w:bookmarkStart w:id="36" w:name="_Hlk503300125"/>
      <w:r w:rsidRPr="00317646">
        <w:rPr>
          <w:rFonts w:ascii="Times New Roman" w:hAnsi="Times New Roman" w:cs="Arial"/>
          <w:b/>
          <w:color w:val="23236E"/>
          <w:sz w:val="24"/>
          <w:lang w:val="en-GB" w:eastAsia="en-US"/>
        </w:rPr>
        <w:br w:type="page"/>
      </w:r>
    </w:p>
    <w:p w14:paraId="47889327" w14:textId="77777777" w:rsidR="00CF2EEB" w:rsidRPr="00317646" w:rsidRDefault="00CF2EEB" w:rsidP="00CF2EEB">
      <w:pPr>
        <w:spacing w:after="120" w:line="260" w:lineRule="exact"/>
        <w:jc w:val="center"/>
        <w:outlineLvl w:val="1"/>
        <w:rPr>
          <w:rFonts w:ascii="Times New Roman" w:hAnsi="Times New Roman" w:cs="Arial"/>
          <w:b/>
          <w:color w:val="23236E"/>
          <w:sz w:val="24"/>
          <w:lang w:val="en-GB" w:eastAsia="en-US"/>
        </w:rPr>
      </w:pPr>
      <w:bookmarkStart w:id="37" w:name="_Toc51082153"/>
      <w:r w:rsidRPr="00317646">
        <w:rPr>
          <w:rFonts w:ascii="Times New Roman" w:hAnsi="Times New Roman" w:cs="Arial"/>
          <w:b/>
          <w:color w:val="23236E"/>
          <w:sz w:val="24"/>
          <w:lang w:val="en-GB" w:eastAsia="en-US"/>
        </w:rPr>
        <w:lastRenderedPageBreak/>
        <w:t xml:space="preserve">Article </w:t>
      </w:r>
      <w:r w:rsidR="001A5ACF" w:rsidRPr="00317646">
        <w:rPr>
          <w:rFonts w:ascii="Times New Roman" w:hAnsi="Times New Roman" w:cs="Arial"/>
          <w:b/>
          <w:color w:val="23236E"/>
          <w:sz w:val="24"/>
          <w:lang w:val="en-GB" w:eastAsia="en-US"/>
        </w:rPr>
        <w:t>6</w:t>
      </w:r>
      <w:r w:rsidRPr="00317646">
        <w:rPr>
          <w:rFonts w:ascii="Times New Roman" w:hAnsi="Times New Roman" w:cs="Arial"/>
          <w:b/>
          <w:color w:val="23236E"/>
          <w:sz w:val="24"/>
          <w:lang w:val="en-GB" w:eastAsia="en-US"/>
        </w:rPr>
        <w:br/>
        <w:t>Defini</w:t>
      </w:r>
      <w:r w:rsidR="00E3764E" w:rsidRPr="00317646">
        <w:rPr>
          <w:rFonts w:ascii="Times New Roman" w:hAnsi="Times New Roman" w:cs="Arial"/>
          <w:b/>
          <w:color w:val="23236E"/>
          <w:sz w:val="24"/>
          <w:lang w:val="en-GB" w:eastAsia="en-US"/>
        </w:rPr>
        <w:t>tion of the RR Standard Product</w:t>
      </w:r>
      <w:bookmarkEnd w:id="37"/>
    </w:p>
    <w:bookmarkEnd w:id="36"/>
    <w:p w14:paraId="5D822D03" w14:textId="77777777" w:rsidR="00052C9C" w:rsidRPr="00B13FF4" w:rsidRDefault="00052C9C" w:rsidP="003555B4">
      <w:pPr>
        <w:pStyle w:val="textenumeration"/>
        <w:numPr>
          <w:ilvl w:val="0"/>
          <w:numId w:val="14"/>
        </w:numPr>
        <w:rPr>
          <w:rFonts w:asciiTheme="minorHAnsi" w:hAnsiTheme="minorHAnsi" w:cstheme="minorHAnsi"/>
          <w:szCs w:val="22"/>
          <w:lang w:val="en-GB" w:eastAsia="en-US"/>
        </w:rPr>
      </w:pPr>
      <w:r w:rsidRPr="00B13FF4">
        <w:rPr>
          <w:rFonts w:asciiTheme="minorHAnsi" w:hAnsiTheme="minorHAnsi" w:cstheme="minorHAnsi"/>
          <w:szCs w:val="22"/>
          <w:lang w:val="en-GB" w:eastAsia="en-US"/>
        </w:rPr>
        <w:t xml:space="preserve">The product exchanged in </w:t>
      </w:r>
      <w:r w:rsidR="00DE76CC" w:rsidRPr="00B13FF4">
        <w:rPr>
          <w:rFonts w:asciiTheme="minorHAnsi" w:hAnsiTheme="minorHAnsi" w:cstheme="minorHAnsi"/>
          <w:szCs w:val="22"/>
          <w:lang w:val="en-GB" w:eastAsia="en-US"/>
        </w:rPr>
        <w:t>RR-Platform</w:t>
      </w:r>
      <w:r w:rsidRPr="00B13FF4">
        <w:rPr>
          <w:rFonts w:asciiTheme="minorHAnsi" w:hAnsiTheme="minorHAnsi" w:cstheme="minorHAnsi"/>
          <w:szCs w:val="22"/>
          <w:lang w:val="en-GB" w:eastAsia="en-US"/>
        </w:rPr>
        <w:t xml:space="preserve"> is</w:t>
      </w:r>
      <w:r w:rsidR="00AC0BC2" w:rsidRPr="00B13FF4">
        <w:rPr>
          <w:rFonts w:asciiTheme="minorHAnsi" w:hAnsiTheme="minorHAnsi" w:cstheme="minorHAnsi"/>
          <w:szCs w:val="22"/>
          <w:lang w:val="en-GB" w:eastAsia="en-US"/>
        </w:rPr>
        <w:t xml:space="preserve"> </w:t>
      </w:r>
      <w:r w:rsidRPr="00B13FF4">
        <w:rPr>
          <w:rFonts w:asciiTheme="minorHAnsi" w:hAnsiTheme="minorHAnsi" w:cstheme="minorHAnsi"/>
          <w:szCs w:val="22"/>
          <w:lang w:val="en-GB" w:eastAsia="en-US"/>
        </w:rPr>
        <w:t>the standard product for balancing energy from RR (hereafter referred to as “</w:t>
      </w:r>
      <w:r w:rsidRPr="00B13FF4">
        <w:rPr>
          <w:rFonts w:asciiTheme="minorHAnsi" w:hAnsiTheme="minorHAnsi" w:cstheme="minorHAnsi"/>
          <w:b/>
          <w:szCs w:val="22"/>
          <w:lang w:val="en-GB" w:eastAsia="en-US"/>
        </w:rPr>
        <w:t>RR standard product</w:t>
      </w:r>
      <w:r w:rsidRPr="00B13FF4">
        <w:rPr>
          <w:rFonts w:asciiTheme="minorHAnsi" w:hAnsiTheme="minorHAnsi" w:cstheme="minorHAnsi"/>
          <w:szCs w:val="22"/>
          <w:lang w:val="en-GB" w:eastAsia="en-US"/>
        </w:rPr>
        <w:t xml:space="preserve">”). </w:t>
      </w:r>
    </w:p>
    <w:p w14:paraId="6605B0DE" w14:textId="77777777" w:rsidR="00CF2EEB" w:rsidRPr="00B13FF4" w:rsidRDefault="00CF2EEB" w:rsidP="003555B4">
      <w:pPr>
        <w:pStyle w:val="textenumeration"/>
        <w:numPr>
          <w:ilvl w:val="0"/>
          <w:numId w:val="14"/>
        </w:numPr>
        <w:rPr>
          <w:rFonts w:asciiTheme="minorHAnsi" w:hAnsiTheme="minorHAnsi" w:cstheme="minorHAnsi"/>
          <w:szCs w:val="22"/>
          <w:lang w:val="en-GB" w:eastAsia="en-US"/>
        </w:rPr>
      </w:pPr>
      <w:bookmarkStart w:id="38" w:name="_Hlk503300135"/>
      <w:r w:rsidRPr="00B13FF4">
        <w:rPr>
          <w:rFonts w:asciiTheme="minorHAnsi" w:hAnsiTheme="minorHAnsi" w:cstheme="minorHAnsi"/>
          <w:szCs w:val="22"/>
          <w:lang w:val="en-GB" w:eastAsia="en-US"/>
        </w:rPr>
        <w:t>From a commercial point of view</w:t>
      </w:r>
      <w:r w:rsidR="00BF3052" w:rsidRPr="00B13FF4">
        <w:rPr>
          <w:rFonts w:asciiTheme="minorHAnsi" w:hAnsiTheme="minorHAnsi" w:cstheme="minorHAnsi"/>
          <w:szCs w:val="22"/>
          <w:lang w:val="en-GB" w:eastAsia="en-US"/>
        </w:rPr>
        <w:t>,</w:t>
      </w:r>
      <w:r w:rsidRPr="00B13FF4">
        <w:rPr>
          <w:rFonts w:asciiTheme="minorHAnsi" w:hAnsiTheme="minorHAnsi" w:cstheme="minorHAnsi"/>
          <w:szCs w:val="22"/>
          <w:lang w:val="en-GB" w:eastAsia="en-US"/>
        </w:rPr>
        <w:t xml:space="preserve"> the </w:t>
      </w:r>
      <w:r w:rsidR="00A638D5" w:rsidRPr="00B13FF4">
        <w:rPr>
          <w:rFonts w:asciiTheme="minorHAnsi" w:hAnsiTheme="minorHAnsi" w:cstheme="minorHAnsi"/>
          <w:szCs w:val="22"/>
          <w:lang w:val="en-GB" w:eastAsia="en-US"/>
        </w:rPr>
        <w:t xml:space="preserve">RR standard </w:t>
      </w:r>
      <w:r w:rsidRPr="00B13FF4">
        <w:rPr>
          <w:rFonts w:asciiTheme="minorHAnsi" w:hAnsiTheme="minorHAnsi" w:cstheme="minorHAnsi"/>
          <w:szCs w:val="22"/>
          <w:lang w:val="en-GB" w:eastAsia="en-US"/>
        </w:rPr>
        <w:t>product is a scheduled block product that can be activated for a fixed quarter hour</w:t>
      </w:r>
      <w:r w:rsidR="00420375" w:rsidRPr="00B13FF4">
        <w:rPr>
          <w:rFonts w:asciiTheme="minorHAnsi" w:hAnsiTheme="minorHAnsi" w:cstheme="minorHAnsi"/>
          <w:szCs w:val="22"/>
          <w:lang w:val="en-GB" w:eastAsia="en-US"/>
        </w:rPr>
        <w:t xml:space="preserve"> </w:t>
      </w:r>
      <w:r w:rsidRPr="00B13FF4">
        <w:rPr>
          <w:rFonts w:asciiTheme="minorHAnsi" w:hAnsiTheme="minorHAnsi" w:cstheme="minorHAnsi"/>
          <w:szCs w:val="22"/>
          <w:lang w:val="en-GB" w:eastAsia="en-US"/>
        </w:rPr>
        <w:t>or a multiple of a fixed quarter hour</w:t>
      </w:r>
      <w:r w:rsidR="00D61DE8" w:rsidRPr="00B13FF4">
        <w:rPr>
          <w:rFonts w:asciiTheme="minorHAnsi" w:hAnsiTheme="minorHAnsi" w:cstheme="minorHAnsi"/>
          <w:szCs w:val="22"/>
          <w:lang w:val="en-GB" w:eastAsia="en-US"/>
        </w:rPr>
        <w:t xml:space="preserve"> respecting the minimum and maximum duration of the delivery period</w:t>
      </w:r>
      <w:r w:rsidR="00076EEB" w:rsidRPr="00B13FF4">
        <w:rPr>
          <w:rFonts w:asciiTheme="minorHAnsi" w:hAnsiTheme="minorHAnsi" w:cstheme="minorHAnsi"/>
          <w:szCs w:val="22"/>
          <w:lang w:val="en-GB" w:eastAsia="en-US"/>
        </w:rPr>
        <w:t>.</w:t>
      </w:r>
    </w:p>
    <w:bookmarkEnd w:id="38"/>
    <w:p w14:paraId="035F1A41" w14:textId="77777777" w:rsidR="00B24092" w:rsidRPr="00B13FF4" w:rsidRDefault="00CF2EEB" w:rsidP="003555B4">
      <w:pPr>
        <w:pStyle w:val="textenumeration"/>
        <w:numPr>
          <w:ilvl w:val="0"/>
          <w:numId w:val="14"/>
        </w:numPr>
        <w:rPr>
          <w:rFonts w:asciiTheme="minorHAnsi" w:hAnsiTheme="minorHAnsi" w:cstheme="minorHAnsi"/>
          <w:szCs w:val="22"/>
          <w:lang w:val="en-GB" w:eastAsia="en-US"/>
        </w:rPr>
      </w:pPr>
      <w:r w:rsidRPr="00B13FF4">
        <w:rPr>
          <w:rFonts w:asciiTheme="minorHAnsi" w:hAnsiTheme="minorHAnsi" w:cstheme="minorHAnsi"/>
          <w:szCs w:val="22"/>
          <w:lang w:val="en-GB" w:eastAsia="en-US"/>
        </w:rPr>
        <w:t xml:space="preserve">The </w:t>
      </w:r>
      <w:r w:rsidR="00957644" w:rsidRPr="00B13FF4">
        <w:rPr>
          <w:rFonts w:asciiTheme="minorHAnsi" w:hAnsiTheme="minorHAnsi" w:cstheme="minorHAnsi"/>
          <w:szCs w:val="22"/>
          <w:lang w:val="en-GB" w:eastAsia="en-US"/>
        </w:rPr>
        <w:t>f</w:t>
      </w:r>
      <w:r w:rsidRPr="00B13FF4">
        <w:rPr>
          <w:rFonts w:asciiTheme="minorHAnsi" w:hAnsiTheme="minorHAnsi" w:cstheme="minorHAnsi"/>
          <w:szCs w:val="22"/>
          <w:lang w:val="en-GB" w:eastAsia="en-US"/>
        </w:rPr>
        <w:t xml:space="preserve">ull </w:t>
      </w:r>
      <w:r w:rsidR="00957644" w:rsidRPr="00B13FF4">
        <w:rPr>
          <w:rFonts w:asciiTheme="minorHAnsi" w:hAnsiTheme="minorHAnsi" w:cstheme="minorHAnsi"/>
          <w:szCs w:val="22"/>
          <w:lang w:val="en-GB" w:eastAsia="en-US"/>
        </w:rPr>
        <w:t>a</w:t>
      </w:r>
      <w:r w:rsidRPr="00B13FF4">
        <w:rPr>
          <w:rFonts w:asciiTheme="minorHAnsi" w:hAnsiTheme="minorHAnsi" w:cstheme="minorHAnsi"/>
          <w:szCs w:val="22"/>
          <w:lang w:val="en-GB" w:eastAsia="en-US"/>
        </w:rPr>
        <w:t xml:space="preserve">ctivation </w:t>
      </w:r>
      <w:r w:rsidR="00957644" w:rsidRPr="00B13FF4">
        <w:rPr>
          <w:rFonts w:asciiTheme="minorHAnsi" w:hAnsiTheme="minorHAnsi" w:cstheme="minorHAnsi"/>
          <w:szCs w:val="22"/>
          <w:lang w:val="en-GB" w:eastAsia="en-US"/>
        </w:rPr>
        <w:t>ti</w:t>
      </w:r>
      <w:r w:rsidRPr="00B13FF4">
        <w:rPr>
          <w:rFonts w:asciiTheme="minorHAnsi" w:hAnsiTheme="minorHAnsi" w:cstheme="minorHAnsi"/>
          <w:szCs w:val="22"/>
          <w:lang w:val="en-GB" w:eastAsia="en-US"/>
        </w:rPr>
        <w:t xml:space="preserve">me </w:t>
      </w:r>
      <w:r w:rsidR="00116B1D" w:rsidRPr="00B13FF4">
        <w:rPr>
          <w:rFonts w:asciiTheme="minorHAnsi" w:hAnsiTheme="minorHAnsi" w:cstheme="minorHAnsi"/>
          <w:szCs w:val="22"/>
          <w:lang w:val="en-GB" w:eastAsia="en-US"/>
        </w:rPr>
        <w:t xml:space="preserve">(FAT) </w:t>
      </w:r>
      <w:r w:rsidRPr="00B13FF4">
        <w:rPr>
          <w:rFonts w:asciiTheme="minorHAnsi" w:hAnsiTheme="minorHAnsi" w:cstheme="minorHAnsi"/>
          <w:szCs w:val="22"/>
          <w:lang w:val="en-GB" w:eastAsia="en-US"/>
        </w:rPr>
        <w:t xml:space="preserve">of the </w:t>
      </w:r>
      <w:r w:rsidR="00A638D5" w:rsidRPr="00B13FF4">
        <w:rPr>
          <w:rFonts w:asciiTheme="minorHAnsi" w:hAnsiTheme="minorHAnsi" w:cstheme="minorHAnsi"/>
          <w:szCs w:val="22"/>
          <w:lang w:val="en-GB" w:eastAsia="en-US"/>
        </w:rPr>
        <w:t xml:space="preserve">RR standard </w:t>
      </w:r>
      <w:r w:rsidRPr="00B13FF4">
        <w:rPr>
          <w:rFonts w:asciiTheme="minorHAnsi" w:hAnsiTheme="minorHAnsi" w:cstheme="minorHAnsi"/>
          <w:szCs w:val="22"/>
          <w:lang w:val="en-GB" w:eastAsia="en-US"/>
        </w:rPr>
        <w:t xml:space="preserve">product is 30 minutes. The </w:t>
      </w:r>
      <w:r w:rsidR="00957644" w:rsidRPr="00B13FF4">
        <w:rPr>
          <w:rFonts w:asciiTheme="minorHAnsi" w:hAnsiTheme="minorHAnsi" w:cstheme="minorHAnsi"/>
          <w:szCs w:val="22"/>
          <w:lang w:val="en-GB" w:eastAsia="en-US"/>
        </w:rPr>
        <w:t>r</w:t>
      </w:r>
      <w:r w:rsidRPr="00B13FF4">
        <w:rPr>
          <w:rFonts w:asciiTheme="minorHAnsi" w:hAnsiTheme="minorHAnsi" w:cstheme="minorHAnsi"/>
          <w:szCs w:val="22"/>
          <w:lang w:val="en-GB" w:eastAsia="en-US"/>
        </w:rPr>
        <w:t xml:space="preserve">amping </w:t>
      </w:r>
      <w:r w:rsidR="004023D9" w:rsidRPr="00B13FF4">
        <w:rPr>
          <w:rFonts w:asciiTheme="minorHAnsi" w:hAnsiTheme="minorHAnsi" w:cstheme="minorHAnsi"/>
          <w:szCs w:val="22"/>
          <w:lang w:val="en-GB" w:eastAsia="en-US"/>
        </w:rPr>
        <w:t xml:space="preserve">period </w:t>
      </w:r>
      <w:r w:rsidRPr="00B13FF4">
        <w:rPr>
          <w:rFonts w:asciiTheme="minorHAnsi" w:hAnsiTheme="minorHAnsi" w:cstheme="minorHAnsi"/>
          <w:szCs w:val="22"/>
          <w:lang w:val="en-GB" w:eastAsia="en-US"/>
        </w:rPr>
        <w:t>can be from 0 to 30 minutes.</w:t>
      </w:r>
    </w:p>
    <w:p w14:paraId="727EEEC6" w14:textId="77777777" w:rsidR="00E30F29" w:rsidRPr="00B13FF4" w:rsidRDefault="00E30F29" w:rsidP="00F36773">
      <w:pPr>
        <w:pStyle w:val="textenumeration"/>
        <w:numPr>
          <w:ilvl w:val="0"/>
          <w:numId w:val="14"/>
        </w:numPr>
        <w:rPr>
          <w:rFonts w:asciiTheme="minorHAnsi" w:hAnsiTheme="minorHAnsi" w:cstheme="minorHAnsi"/>
          <w:szCs w:val="22"/>
          <w:lang w:val="en-GB" w:eastAsia="en-US"/>
        </w:rPr>
      </w:pPr>
      <w:r w:rsidRPr="00B13FF4">
        <w:rPr>
          <w:rFonts w:asciiTheme="minorHAnsi" w:hAnsiTheme="minorHAnsi" w:cstheme="minorHAnsi"/>
          <w:szCs w:val="22"/>
          <w:lang w:val="en-GB" w:eastAsia="en-US"/>
        </w:rPr>
        <w:t>The following table contains the main characteristics of the RR standard product:</w:t>
      </w:r>
    </w:p>
    <w:tbl>
      <w:tblPr>
        <w:tblStyle w:val="GridTable1Light1"/>
        <w:tblW w:w="9514" w:type="dxa"/>
        <w:tblLook w:val="0620" w:firstRow="1" w:lastRow="0" w:firstColumn="0" w:lastColumn="0" w:noHBand="1" w:noVBand="1"/>
      </w:tblPr>
      <w:tblGrid>
        <w:gridCol w:w="5359"/>
        <w:gridCol w:w="4155"/>
      </w:tblGrid>
      <w:tr w:rsidR="00881C10" w:rsidRPr="00B13FF4" w14:paraId="768D426B" w14:textId="77777777" w:rsidTr="00C579C1">
        <w:trPr>
          <w:cnfStyle w:val="100000000000" w:firstRow="1" w:lastRow="0" w:firstColumn="0" w:lastColumn="0" w:oddVBand="0" w:evenVBand="0" w:oddHBand="0" w:evenHBand="0" w:firstRowFirstColumn="0" w:firstRowLastColumn="0" w:lastRowFirstColumn="0" w:lastRowLastColumn="0"/>
          <w:trHeight w:val="299"/>
        </w:trPr>
        <w:tc>
          <w:tcPr>
            <w:tcW w:w="0" w:type="auto"/>
            <w:tcBorders>
              <w:top w:val="single" w:sz="4" w:space="0" w:color="auto"/>
              <w:left w:val="single" w:sz="4" w:space="0" w:color="auto"/>
              <w:bottom w:val="single" w:sz="4" w:space="0" w:color="auto"/>
              <w:right w:val="single" w:sz="4" w:space="0" w:color="auto"/>
            </w:tcBorders>
            <w:noWrap/>
            <w:hideMark/>
          </w:tcPr>
          <w:p w14:paraId="0A9B26DB" w14:textId="77777777" w:rsidR="00CF2EEB" w:rsidRPr="00B13FF4" w:rsidRDefault="00D35B95" w:rsidP="00D26FFC">
            <w:pPr>
              <w:jc w:val="center"/>
              <w:rPr>
                <w:rFonts w:asciiTheme="minorHAnsi" w:hAnsiTheme="minorHAnsi" w:cstheme="minorHAnsi"/>
                <w:b w:val="0"/>
                <w:szCs w:val="22"/>
                <w:lang w:val="en-GB"/>
              </w:rPr>
            </w:pPr>
            <w:bookmarkStart w:id="39" w:name="_Hlk504400410"/>
            <w:r w:rsidRPr="00B13FF4">
              <w:rPr>
                <w:rFonts w:asciiTheme="minorHAnsi" w:hAnsiTheme="minorHAnsi" w:cstheme="minorHAnsi"/>
                <w:b w:val="0"/>
                <w:szCs w:val="22"/>
                <w:lang w:val="en-GB"/>
              </w:rPr>
              <w:t>Mode of activation</w:t>
            </w:r>
          </w:p>
        </w:tc>
        <w:tc>
          <w:tcPr>
            <w:tcW w:w="0" w:type="auto"/>
            <w:tcBorders>
              <w:top w:val="single" w:sz="4" w:space="0" w:color="auto"/>
              <w:left w:val="single" w:sz="4" w:space="0" w:color="auto"/>
              <w:bottom w:val="single" w:sz="4" w:space="0" w:color="auto"/>
              <w:right w:val="single" w:sz="4" w:space="0" w:color="auto"/>
            </w:tcBorders>
            <w:noWrap/>
            <w:hideMark/>
          </w:tcPr>
          <w:p w14:paraId="7D2E5C06" w14:textId="77777777" w:rsidR="00CF2EEB" w:rsidRPr="00B13FF4" w:rsidRDefault="00C579C1" w:rsidP="00D26FFC">
            <w:pPr>
              <w:jc w:val="center"/>
              <w:rPr>
                <w:rFonts w:asciiTheme="minorHAnsi" w:hAnsiTheme="minorHAnsi" w:cstheme="minorHAnsi"/>
                <w:b w:val="0"/>
                <w:szCs w:val="22"/>
                <w:lang w:val="en-GB"/>
              </w:rPr>
            </w:pPr>
            <w:r w:rsidRPr="00B13FF4">
              <w:rPr>
                <w:rFonts w:asciiTheme="minorHAnsi" w:hAnsiTheme="minorHAnsi" w:cstheme="minorHAnsi"/>
                <w:b w:val="0"/>
                <w:bCs w:val="0"/>
                <w:szCs w:val="22"/>
                <w:lang w:val="en-GB"/>
              </w:rPr>
              <w:t>Scheduled with manual activation</w:t>
            </w:r>
          </w:p>
        </w:tc>
      </w:tr>
      <w:tr w:rsidR="00E30F29" w:rsidRPr="00B13FF4" w14:paraId="2C235FFA" w14:textId="77777777" w:rsidTr="00F36773">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243A06F9" w14:textId="77777777" w:rsidR="00E30F29" w:rsidRPr="00B13FF4" w:rsidRDefault="00E30F29"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Preparation Period</w:t>
            </w:r>
          </w:p>
        </w:tc>
        <w:tc>
          <w:tcPr>
            <w:tcW w:w="4155" w:type="dxa"/>
            <w:tcBorders>
              <w:top w:val="single" w:sz="4" w:space="0" w:color="auto"/>
              <w:left w:val="single" w:sz="4" w:space="0" w:color="auto"/>
              <w:bottom w:val="single" w:sz="4" w:space="0" w:color="auto"/>
              <w:right w:val="single" w:sz="4" w:space="0" w:color="auto"/>
            </w:tcBorders>
            <w:noWrap/>
          </w:tcPr>
          <w:p w14:paraId="612A3AEC" w14:textId="77777777" w:rsidR="00E30F29" w:rsidRPr="00B13FF4" w:rsidRDefault="00E30F29"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From 0 to 30 min</w:t>
            </w:r>
          </w:p>
        </w:tc>
      </w:tr>
      <w:tr w:rsidR="00E30F29" w:rsidRPr="00B13FF4" w14:paraId="26A3301A" w14:textId="77777777" w:rsidTr="00F36773">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6425D767" w14:textId="77777777" w:rsidR="00E30F29" w:rsidRPr="00B13FF4" w:rsidRDefault="00E30F29"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Ramping Period</w:t>
            </w:r>
          </w:p>
        </w:tc>
        <w:tc>
          <w:tcPr>
            <w:tcW w:w="4155" w:type="dxa"/>
            <w:tcBorders>
              <w:top w:val="single" w:sz="4" w:space="0" w:color="auto"/>
              <w:left w:val="single" w:sz="4" w:space="0" w:color="auto"/>
              <w:bottom w:val="single" w:sz="4" w:space="0" w:color="auto"/>
              <w:right w:val="single" w:sz="4" w:space="0" w:color="auto"/>
            </w:tcBorders>
            <w:noWrap/>
          </w:tcPr>
          <w:p w14:paraId="1AC5859A" w14:textId="77777777" w:rsidR="00E30F29" w:rsidRPr="00B13FF4" w:rsidRDefault="00E30F29"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From 0 to 30 min</w:t>
            </w:r>
          </w:p>
        </w:tc>
      </w:tr>
      <w:tr w:rsidR="00881C10" w:rsidRPr="00B13FF4" w14:paraId="45A815C9" w14:textId="77777777" w:rsidTr="00C579C1">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5D79100A" w14:textId="77777777" w:rsidR="00CF2EEB" w:rsidRPr="00B13FF4" w:rsidRDefault="00CF2EEB"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FAT</w:t>
            </w:r>
          </w:p>
        </w:tc>
        <w:tc>
          <w:tcPr>
            <w:tcW w:w="0" w:type="auto"/>
            <w:tcBorders>
              <w:top w:val="single" w:sz="4" w:space="0" w:color="auto"/>
              <w:left w:val="single" w:sz="4" w:space="0" w:color="auto"/>
              <w:bottom w:val="single" w:sz="4" w:space="0" w:color="auto"/>
              <w:right w:val="single" w:sz="4" w:space="0" w:color="auto"/>
            </w:tcBorders>
            <w:noWrap/>
            <w:hideMark/>
          </w:tcPr>
          <w:p w14:paraId="08692B20" w14:textId="77777777" w:rsidR="00CF2EEB" w:rsidRPr="00B13FF4" w:rsidRDefault="00CF2EEB"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30 min</w:t>
            </w:r>
          </w:p>
        </w:tc>
      </w:tr>
      <w:tr w:rsidR="00E30F29" w:rsidRPr="00B13FF4" w14:paraId="23515B9A" w14:textId="77777777" w:rsidTr="00F36773">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5C588B79" w14:textId="77777777" w:rsidR="00E30F29" w:rsidRPr="00B13FF4" w:rsidRDefault="00E30F29" w:rsidP="005C6E29">
            <w:pPr>
              <w:jc w:val="center"/>
              <w:rPr>
                <w:rFonts w:asciiTheme="minorHAnsi" w:hAnsiTheme="minorHAnsi" w:cstheme="minorHAnsi"/>
                <w:szCs w:val="22"/>
                <w:lang w:val="en-GB"/>
              </w:rPr>
            </w:pPr>
            <w:r w:rsidRPr="00B13FF4">
              <w:rPr>
                <w:rFonts w:asciiTheme="minorHAnsi" w:hAnsiTheme="minorHAnsi" w:cstheme="minorHAnsi"/>
                <w:szCs w:val="22"/>
                <w:lang w:val="en-GB"/>
              </w:rPr>
              <w:t>Deactivation Period</w:t>
            </w:r>
          </w:p>
        </w:tc>
        <w:tc>
          <w:tcPr>
            <w:tcW w:w="4155" w:type="dxa"/>
            <w:tcBorders>
              <w:top w:val="single" w:sz="4" w:space="0" w:color="auto"/>
              <w:left w:val="single" w:sz="4" w:space="0" w:color="auto"/>
              <w:bottom w:val="single" w:sz="4" w:space="0" w:color="auto"/>
              <w:right w:val="single" w:sz="4" w:space="0" w:color="auto"/>
            </w:tcBorders>
            <w:noWrap/>
          </w:tcPr>
          <w:p w14:paraId="4BEB776D" w14:textId="77777777" w:rsidR="00E30F29" w:rsidRPr="00B13FF4" w:rsidRDefault="00E30F29" w:rsidP="00F55828">
            <w:pPr>
              <w:jc w:val="center"/>
              <w:rPr>
                <w:rFonts w:asciiTheme="minorHAnsi" w:hAnsiTheme="minorHAnsi" w:cstheme="minorHAnsi"/>
                <w:szCs w:val="22"/>
                <w:lang w:val="en-GB"/>
              </w:rPr>
            </w:pPr>
            <w:r w:rsidRPr="00B13FF4">
              <w:rPr>
                <w:rFonts w:asciiTheme="minorHAnsi" w:hAnsiTheme="minorHAnsi" w:cstheme="minorHAnsi"/>
                <w:szCs w:val="22"/>
                <w:lang w:val="en-GB"/>
              </w:rPr>
              <w:t>Under national responsibility</w:t>
            </w:r>
          </w:p>
        </w:tc>
      </w:tr>
      <w:tr w:rsidR="00881C10" w:rsidRPr="00B13FF4" w14:paraId="0F35C7A5" w14:textId="77777777" w:rsidTr="00C579C1">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0333F5F8" w14:textId="77777777" w:rsidR="00CF2EEB" w:rsidRPr="00B13FF4" w:rsidRDefault="00CF2EEB"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Minimum quantity</w:t>
            </w:r>
          </w:p>
        </w:tc>
        <w:tc>
          <w:tcPr>
            <w:tcW w:w="0" w:type="auto"/>
            <w:tcBorders>
              <w:top w:val="single" w:sz="4" w:space="0" w:color="auto"/>
              <w:left w:val="single" w:sz="4" w:space="0" w:color="auto"/>
              <w:bottom w:val="single" w:sz="4" w:space="0" w:color="auto"/>
              <w:right w:val="single" w:sz="4" w:space="0" w:color="auto"/>
            </w:tcBorders>
            <w:noWrap/>
            <w:hideMark/>
          </w:tcPr>
          <w:p w14:paraId="7B6FE875" w14:textId="77777777" w:rsidR="00CF2EEB" w:rsidRPr="00B13FF4" w:rsidRDefault="00CF2EEB"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1 MW</w:t>
            </w:r>
          </w:p>
        </w:tc>
      </w:tr>
      <w:tr w:rsidR="00B16AC4" w:rsidRPr="00B13FF4" w14:paraId="71273845" w14:textId="77777777" w:rsidTr="00F36773">
        <w:trPr>
          <w:trHeight w:val="299"/>
        </w:trPr>
        <w:tc>
          <w:tcPr>
            <w:tcW w:w="0" w:type="auto"/>
            <w:tcBorders>
              <w:top w:val="single" w:sz="4" w:space="0" w:color="auto"/>
              <w:left w:val="single" w:sz="4" w:space="0" w:color="auto"/>
              <w:bottom w:val="single" w:sz="4" w:space="0" w:color="auto"/>
              <w:right w:val="single" w:sz="4" w:space="0" w:color="auto"/>
            </w:tcBorders>
            <w:noWrap/>
          </w:tcPr>
          <w:p w14:paraId="1D38C828" w14:textId="77777777" w:rsidR="00B16AC4" w:rsidRPr="00B13FF4" w:rsidRDefault="00B16AC4"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Maximum quantity</w:t>
            </w:r>
          </w:p>
        </w:tc>
        <w:tc>
          <w:tcPr>
            <w:tcW w:w="4155" w:type="dxa"/>
            <w:tcBorders>
              <w:top w:val="single" w:sz="4" w:space="0" w:color="auto"/>
              <w:left w:val="single" w:sz="4" w:space="0" w:color="auto"/>
              <w:bottom w:val="single" w:sz="4" w:space="0" w:color="auto"/>
              <w:right w:val="single" w:sz="4" w:space="0" w:color="auto"/>
            </w:tcBorders>
            <w:noWrap/>
          </w:tcPr>
          <w:p w14:paraId="26635763" w14:textId="77777777" w:rsidR="00581809" w:rsidRPr="00B13FF4" w:rsidRDefault="00581809" w:rsidP="00E30F29">
            <w:pPr>
              <w:jc w:val="center"/>
              <w:rPr>
                <w:rFonts w:asciiTheme="minorHAnsi" w:hAnsiTheme="minorHAnsi" w:cstheme="minorHAnsi"/>
                <w:szCs w:val="22"/>
                <w:lang w:val="en-GB"/>
              </w:rPr>
            </w:pPr>
            <w:r w:rsidRPr="00B13FF4">
              <w:rPr>
                <w:rFonts w:asciiTheme="minorHAnsi" w:hAnsiTheme="minorHAnsi" w:cstheme="minorHAnsi"/>
                <w:szCs w:val="22"/>
                <w:lang w:val="en-GB"/>
              </w:rPr>
              <w:t xml:space="preserve">In case of divisible </w:t>
            </w:r>
            <w:r w:rsidR="00D355AB" w:rsidRPr="00B13FF4">
              <w:rPr>
                <w:rFonts w:asciiTheme="minorHAnsi" w:hAnsiTheme="minorHAnsi" w:cstheme="minorHAnsi"/>
                <w:szCs w:val="22"/>
                <w:lang w:val="en-GB"/>
              </w:rPr>
              <w:t>bid</w:t>
            </w:r>
            <w:r w:rsidRPr="00B13FF4">
              <w:rPr>
                <w:rFonts w:asciiTheme="minorHAnsi" w:hAnsiTheme="minorHAnsi" w:cstheme="minorHAnsi"/>
                <w:szCs w:val="22"/>
                <w:lang w:val="en-GB"/>
              </w:rPr>
              <w:t>, no max is requested only t</w:t>
            </w:r>
            <w:r w:rsidR="00B24C25" w:rsidRPr="00B13FF4">
              <w:rPr>
                <w:rFonts w:asciiTheme="minorHAnsi" w:hAnsiTheme="minorHAnsi" w:cstheme="minorHAnsi"/>
                <w:szCs w:val="22"/>
                <w:lang w:val="en-GB"/>
              </w:rPr>
              <w:t xml:space="preserve">echnical limit </w:t>
            </w:r>
            <w:r w:rsidR="00791CF0" w:rsidRPr="00B13FF4">
              <w:rPr>
                <w:rFonts w:asciiTheme="minorHAnsi" w:hAnsiTheme="minorHAnsi" w:cstheme="minorHAnsi"/>
                <w:szCs w:val="22"/>
                <w:lang w:val="en-GB"/>
              </w:rPr>
              <w:t>(IT limit)</w:t>
            </w:r>
            <w:r w:rsidRPr="00B13FF4">
              <w:rPr>
                <w:rFonts w:asciiTheme="minorHAnsi" w:hAnsiTheme="minorHAnsi" w:cstheme="minorHAnsi"/>
                <w:szCs w:val="22"/>
                <w:lang w:val="en-GB"/>
              </w:rPr>
              <w:t>.</w:t>
            </w:r>
          </w:p>
          <w:p w14:paraId="4C1C34ED" w14:textId="77777777" w:rsidR="00B16AC4" w:rsidRPr="00B13FF4" w:rsidRDefault="00581809" w:rsidP="00D355AB">
            <w:pPr>
              <w:jc w:val="center"/>
              <w:rPr>
                <w:rFonts w:asciiTheme="minorHAnsi" w:hAnsiTheme="minorHAnsi" w:cstheme="minorHAnsi"/>
                <w:szCs w:val="22"/>
                <w:lang w:val="en-GB"/>
              </w:rPr>
            </w:pPr>
            <w:r w:rsidRPr="00B13FF4">
              <w:rPr>
                <w:rFonts w:asciiTheme="minorHAnsi" w:hAnsiTheme="minorHAnsi" w:cstheme="minorHAnsi"/>
                <w:szCs w:val="22"/>
                <w:lang w:val="en-GB"/>
              </w:rPr>
              <w:t xml:space="preserve">In case of indivisible </w:t>
            </w:r>
            <w:r w:rsidR="00D355AB" w:rsidRPr="00B13FF4">
              <w:rPr>
                <w:rFonts w:asciiTheme="minorHAnsi" w:hAnsiTheme="minorHAnsi" w:cstheme="minorHAnsi"/>
                <w:szCs w:val="22"/>
                <w:lang w:val="en-GB"/>
              </w:rPr>
              <w:t>bid</w:t>
            </w:r>
            <w:r w:rsidRPr="00B13FF4">
              <w:rPr>
                <w:rFonts w:asciiTheme="minorHAnsi" w:hAnsiTheme="minorHAnsi" w:cstheme="minorHAnsi"/>
                <w:szCs w:val="22"/>
                <w:lang w:val="en-GB"/>
              </w:rPr>
              <w:t>, national rules will be implemented</w:t>
            </w:r>
          </w:p>
        </w:tc>
      </w:tr>
      <w:tr w:rsidR="00E30F29" w:rsidRPr="00B13FF4" w14:paraId="26D37B01" w14:textId="77777777" w:rsidTr="00F36773">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08A6968C" w14:textId="77777777" w:rsidR="00E30F29" w:rsidRPr="00B13FF4" w:rsidRDefault="00E30F29"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Minimum</w:t>
            </w:r>
            <w:r w:rsidR="00D35B95" w:rsidRPr="00B13FF4">
              <w:rPr>
                <w:rFonts w:asciiTheme="minorHAnsi" w:hAnsiTheme="minorHAnsi" w:cstheme="minorHAnsi"/>
                <w:szCs w:val="22"/>
                <w:lang w:val="en-GB"/>
              </w:rPr>
              <w:t xml:space="preserve"> duration of</w:t>
            </w:r>
            <w:r w:rsidR="001C1AED" w:rsidRPr="00B13FF4">
              <w:rPr>
                <w:rFonts w:asciiTheme="minorHAnsi" w:hAnsiTheme="minorHAnsi" w:cstheme="minorHAnsi"/>
                <w:szCs w:val="22"/>
                <w:lang w:val="en-GB"/>
              </w:rPr>
              <w:t xml:space="preserve"> </w:t>
            </w:r>
            <w:r w:rsidRPr="00B13FF4">
              <w:rPr>
                <w:rFonts w:asciiTheme="minorHAnsi" w:hAnsiTheme="minorHAnsi" w:cstheme="minorHAnsi"/>
                <w:szCs w:val="22"/>
                <w:lang w:val="en-GB"/>
              </w:rPr>
              <w:t>delivery period</w:t>
            </w:r>
          </w:p>
        </w:tc>
        <w:tc>
          <w:tcPr>
            <w:tcW w:w="4155" w:type="dxa"/>
            <w:tcBorders>
              <w:top w:val="single" w:sz="4" w:space="0" w:color="auto"/>
              <w:left w:val="single" w:sz="4" w:space="0" w:color="auto"/>
              <w:bottom w:val="single" w:sz="4" w:space="0" w:color="auto"/>
              <w:right w:val="single" w:sz="4" w:space="0" w:color="auto"/>
            </w:tcBorders>
            <w:noWrap/>
            <w:hideMark/>
          </w:tcPr>
          <w:p w14:paraId="79EA267D" w14:textId="77777777" w:rsidR="00E30F29" w:rsidRPr="00B13FF4" w:rsidRDefault="00E30F29"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15 min</w:t>
            </w:r>
          </w:p>
        </w:tc>
      </w:tr>
      <w:tr w:rsidR="00E30F29" w:rsidRPr="00B13FF4" w14:paraId="21177C21" w14:textId="77777777" w:rsidTr="00F36773">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1A2296EE" w14:textId="77777777" w:rsidR="00E30F29" w:rsidRPr="00B13FF4" w:rsidRDefault="00E30F29"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Max</w:t>
            </w:r>
            <w:r w:rsidR="00211758" w:rsidRPr="00B13FF4">
              <w:rPr>
                <w:rFonts w:asciiTheme="minorHAnsi" w:hAnsiTheme="minorHAnsi" w:cstheme="minorHAnsi"/>
                <w:szCs w:val="22"/>
                <w:lang w:val="en-GB"/>
              </w:rPr>
              <w:t>imum</w:t>
            </w:r>
            <w:r w:rsidR="00D35B95" w:rsidRPr="00B13FF4">
              <w:rPr>
                <w:rFonts w:asciiTheme="minorHAnsi" w:hAnsiTheme="minorHAnsi" w:cstheme="minorHAnsi"/>
                <w:szCs w:val="22"/>
                <w:lang w:val="en-GB"/>
              </w:rPr>
              <w:t xml:space="preserve"> duration of</w:t>
            </w:r>
            <w:r w:rsidRPr="00B13FF4">
              <w:rPr>
                <w:rFonts w:asciiTheme="minorHAnsi" w:hAnsiTheme="minorHAnsi" w:cstheme="minorHAnsi"/>
                <w:szCs w:val="22"/>
                <w:lang w:val="en-GB"/>
              </w:rPr>
              <w:t xml:space="preserve"> delivery period</w:t>
            </w:r>
          </w:p>
        </w:tc>
        <w:tc>
          <w:tcPr>
            <w:tcW w:w="4155" w:type="dxa"/>
            <w:tcBorders>
              <w:top w:val="single" w:sz="4" w:space="0" w:color="auto"/>
              <w:left w:val="single" w:sz="4" w:space="0" w:color="auto"/>
              <w:bottom w:val="single" w:sz="4" w:space="0" w:color="auto"/>
              <w:right w:val="single" w:sz="4" w:space="0" w:color="auto"/>
            </w:tcBorders>
            <w:noWrap/>
            <w:hideMark/>
          </w:tcPr>
          <w:p w14:paraId="3C04D977" w14:textId="77777777" w:rsidR="00E30F29" w:rsidRPr="00B13FF4" w:rsidRDefault="00E30F29" w:rsidP="00791CF0">
            <w:pPr>
              <w:jc w:val="center"/>
              <w:rPr>
                <w:rFonts w:asciiTheme="minorHAnsi" w:hAnsiTheme="minorHAnsi" w:cstheme="minorHAnsi"/>
                <w:szCs w:val="22"/>
                <w:lang w:val="en-GB"/>
              </w:rPr>
            </w:pPr>
            <w:r w:rsidRPr="00B13FF4">
              <w:rPr>
                <w:rFonts w:asciiTheme="minorHAnsi" w:hAnsiTheme="minorHAnsi" w:cstheme="minorHAnsi"/>
                <w:szCs w:val="22"/>
                <w:lang w:val="en-GB"/>
              </w:rPr>
              <w:t>60 min</w:t>
            </w:r>
            <w:r w:rsidR="00211758" w:rsidRPr="00B13FF4">
              <w:rPr>
                <w:rStyle w:val="FootnoteReference"/>
                <w:rFonts w:asciiTheme="minorHAnsi" w:hAnsiTheme="minorHAnsi" w:cstheme="minorHAnsi"/>
                <w:szCs w:val="22"/>
                <w:lang w:val="en-GB"/>
              </w:rPr>
              <w:footnoteReference w:id="3"/>
            </w:r>
          </w:p>
        </w:tc>
      </w:tr>
      <w:tr w:rsidR="00881C10" w:rsidRPr="00B13FF4" w14:paraId="17513248" w14:textId="77777777" w:rsidTr="00C579C1">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1D01C5EC" w14:textId="77777777" w:rsidR="00CF2EEB" w:rsidRPr="00B13FF4" w:rsidRDefault="00CF2EEB"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Location</w:t>
            </w:r>
          </w:p>
        </w:tc>
        <w:tc>
          <w:tcPr>
            <w:tcW w:w="0" w:type="auto"/>
            <w:tcBorders>
              <w:top w:val="single" w:sz="4" w:space="0" w:color="auto"/>
              <w:left w:val="single" w:sz="4" w:space="0" w:color="auto"/>
              <w:bottom w:val="single" w:sz="4" w:space="0" w:color="auto"/>
              <w:right w:val="single" w:sz="4" w:space="0" w:color="auto"/>
            </w:tcBorders>
            <w:noWrap/>
            <w:hideMark/>
          </w:tcPr>
          <w:p w14:paraId="6812B098" w14:textId="77777777" w:rsidR="00B2256C" w:rsidRPr="00B13FF4" w:rsidRDefault="00B2256C" w:rsidP="00B2256C">
            <w:pPr>
              <w:jc w:val="center"/>
              <w:rPr>
                <w:rFonts w:asciiTheme="minorHAnsi" w:hAnsiTheme="minorHAnsi" w:cstheme="minorHAnsi"/>
                <w:szCs w:val="22"/>
                <w:lang w:val="en-GB"/>
              </w:rPr>
            </w:pPr>
            <w:r w:rsidRPr="00B13FF4">
              <w:rPr>
                <w:rFonts w:asciiTheme="minorHAnsi" w:hAnsiTheme="minorHAnsi" w:cstheme="minorHAnsi"/>
                <w:szCs w:val="22"/>
                <w:lang w:val="en-GB"/>
              </w:rPr>
              <w:t>At least the smallest of LFC area or bidding zone.</w:t>
            </w:r>
          </w:p>
          <w:p w14:paraId="300DAA76" w14:textId="77777777" w:rsidR="00CF2EEB" w:rsidRPr="00B13FF4" w:rsidRDefault="00B2256C" w:rsidP="00B2256C">
            <w:pPr>
              <w:jc w:val="center"/>
              <w:rPr>
                <w:rFonts w:asciiTheme="minorHAnsi" w:hAnsiTheme="minorHAnsi" w:cstheme="minorHAnsi"/>
                <w:szCs w:val="22"/>
                <w:lang w:val="en-GB"/>
              </w:rPr>
            </w:pPr>
            <w:r w:rsidRPr="00B13FF4">
              <w:rPr>
                <w:rFonts w:asciiTheme="minorHAnsi" w:hAnsiTheme="minorHAnsi" w:cstheme="minorHAnsi"/>
                <w:szCs w:val="22"/>
                <w:lang w:val="en-GB"/>
              </w:rPr>
              <w:t>More detailed locational information under national responsibility.</w:t>
            </w:r>
          </w:p>
        </w:tc>
      </w:tr>
      <w:tr w:rsidR="00881C10" w:rsidRPr="00B13FF4" w14:paraId="2921F709" w14:textId="77777777" w:rsidTr="00C579C1">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2102BD97" w14:textId="77777777" w:rsidR="00CF2EEB" w:rsidRPr="00B13FF4" w:rsidRDefault="00CF2EEB"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Validity Period</w:t>
            </w:r>
          </w:p>
        </w:tc>
        <w:tc>
          <w:tcPr>
            <w:tcW w:w="0" w:type="auto"/>
            <w:tcBorders>
              <w:top w:val="single" w:sz="4" w:space="0" w:color="auto"/>
              <w:left w:val="single" w:sz="4" w:space="0" w:color="auto"/>
              <w:bottom w:val="single" w:sz="4" w:space="0" w:color="auto"/>
              <w:right w:val="single" w:sz="4" w:space="0" w:color="auto"/>
            </w:tcBorders>
            <w:noWrap/>
            <w:hideMark/>
          </w:tcPr>
          <w:p w14:paraId="012FFDA3" w14:textId="77777777" w:rsidR="00CF2EEB" w:rsidRPr="00B13FF4" w:rsidRDefault="00CF2EEB" w:rsidP="00F55828">
            <w:pPr>
              <w:jc w:val="center"/>
              <w:rPr>
                <w:rFonts w:asciiTheme="minorHAnsi" w:hAnsiTheme="minorHAnsi" w:cstheme="minorHAnsi"/>
                <w:szCs w:val="22"/>
                <w:lang w:val="en-GB"/>
              </w:rPr>
            </w:pPr>
            <w:r w:rsidRPr="00B13FF4">
              <w:rPr>
                <w:rFonts w:asciiTheme="minorHAnsi" w:hAnsiTheme="minorHAnsi" w:cstheme="minorHAnsi"/>
                <w:szCs w:val="22"/>
                <w:lang w:val="en-GB"/>
              </w:rPr>
              <w:t>Defined by BSP</w:t>
            </w:r>
            <w:r w:rsidR="00F55828" w:rsidRPr="00B13FF4">
              <w:rPr>
                <w:rFonts w:asciiTheme="minorHAnsi" w:hAnsiTheme="minorHAnsi" w:cstheme="minorHAnsi"/>
                <w:szCs w:val="22"/>
                <w:lang w:val="en-GB"/>
              </w:rPr>
              <w:t xml:space="preserve"> and respecting the min and max delivery period</w:t>
            </w:r>
          </w:p>
        </w:tc>
      </w:tr>
      <w:tr w:rsidR="00881C10" w:rsidRPr="00B13FF4" w14:paraId="50CBEDB7" w14:textId="77777777" w:rsidTr="00C579C1">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170EDD2E" w14:textId="77777777" w:rsidR="00CF2EEB" w:rsidRPr="00B13FF4" w:rsidRDefault="00D35B95" w:rsidP="00D35B95">
            <w:pPr>
              <w:jc w:val="center"/>
              <w:rPr>
                <w:rFonts w:asciiTheme="minorHAnsi" w:hAnsiTheme="minorHAnsi" w:cstheme="minorHAnsi"/>
                <w:szCs w:val="22"/>
                <w:lang w:val="en-GB"/>
              </w:rPr>
            </w:pPr>
            <w:r w:rsidRPr="00B13FF4">
              <w:rPr>
                <w:rFonts w:asciiTheme="minorHAnsi" w:hAnsiTheme="minorHAnsi" w:cstheme="minorHAnsi"/>
                <w:szCs w:val="22"/>
                <w:lang w:val="en-GB"/>
              </w:rPr>
              <w:t xml:space="preserve">Minimum duration between the end of deactivation period and the following activation </w:t>
            </w:r>
          </w:p>
        </w:tc>
        <w:tc>
          <w:tcPr>
            <w:tcW w:w="0" w:type="auto"/>
            <w:tcBorders>
              <w:top w:val="single" w:sz="4" w:space="0" w:color="auto"/>
              <w:left w:val="single" w:sz="4" w:space="0" w:color="auto"/>
              <w:bottom w:val="single" w:sz="4" w:space="0" w:color="auto"/>
              <w:right w:val="single" w:sz="4" w:space="0" w:color="auto"/>
            </w:tcBorders>
            <w:noWrap/>
            <w:hideMark/>
          </w:tcPr>
          <w:p w14:paraId="3047E293" w14:textId="77777777" w:rsidR="00CF2EEB" w:rsidRPr="00B13FF4" w:rsidRDefault="00D35B95" w:rsidP="00791CF0">
            <w:pPr>
              <w:pStyle w:val="Default"/>
              <w:jc w:val="center"/>
              <w:rPr>
                <w:rFonts w:asciiTheme="minorHAnsi" w:eastAsia="Times New Roman" w:hAnsiTheme="minorHAnsi" w:cstheme="minorHAnsi"/>
                <w:color w:val="auto"/>
                <w:sz w:val="22"/>
                <w:szCs w:val="22"/>
                <w:lang w:val="en-GB" w:eastAsia="de-DE"/>
              </w:rPr>
            </w:pPr>
            <w:r w:rsidRPr="00B13FF4">
              <w:rPr>
                <w:rFonts w:asciiTheme="minorHAnsi" w:eastAsia="Times New Roman" w:hAnsiTheme="minorHAnsi" w:cstheme="minorHAnsi"/>
                <w:color w:val="auto"/>
                <w:sz w:val="22"/>
                <w:szCs w:val="22"/>
                <w:lang w:val="en-GB" w:eastAsia="de-DE"/>
              </w:rPr>
              <w:t xml:space="preserve">Recovery Period </w:t>
            </w:r>
            <w:r w:rsidR="00791CF0" w:rsidRPr="00B13FF4">
              <w:rPr>
                <w:rFonts w:asciiTheme="minorHAnsi" w:eastAsia="Times New Roman" w:hAnsiTheme="minorHAnsi" w:cstheme="minorHAnsi"/>
                <w:color w:val="auto"/>
                <w:sz w:val="22"/>
                <w:szCs w:val="22"/>
                <w:lang w:val="en-GB" w:eastAsia="de-DE"/>
              </w:rPr>
              <w:t>= d</w:t>
            </w:r>
            <w:r w:rsidR="00181D6D" w:rsidRPr="00B13FF4">
              <w:rPr>
                <w:rFonts w:asciiTheme="minorHAnsi" w:eastAsia="Times New Roman" w:hAnsiTheme="minorHAnsi" w:cstheme="minorHAnsi"/>
                <w:color w:val="auto"/>
                <w:sz w:val="22"/>
                <w:szCs w:val="22"/>
                <w:lang w:val="en-GB" w:eastAsia="de-DE"/>
              </w:rPr>
              <w:t xml:space="preserve">etermined </w:t>
            </w:r>
            <w:r w:rsidR="00CF2EEB" w:rsidRPr="00B13FF4">
              <w:rPr>
                <w:rFonts w:asciiTheme="minorHAnsi" w:eastAsia="Times New Roman" w:hAnsiTheme="minorHAnsi" w:cstheme="minorHAnsi"/>
                <w:color w:val="auto"/>
                <w:sz w:val="22"/>
                <w:szCs w:val="22"/>
                <w:lang w:val="en-GB" w:eastAsia="de-DE"/>
              </w:rPr>
              <w:t>by BSP</w:t>
            </w:r>
          </w:p>
        </w:tc>
      </w:tr>
      <w:tr w:rsidR="00881C10" w:rsidRPr="00B13FF4" w14:paraId="2F3B9747" w14:textId="77777777" w:rsidTr="00C579C1">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3A6B728A" w14:textId="77777777" w:rsidR="00CF2EEB" w:rsidRPr="00B13FF4" w:rsidRDefault="004A2945" w:rsidP="004A2945">
            <w:pPr>
              <w:jc w:val="center"/>
              <w:rPr>
                <w:rFonts w:asciiTheme="minorHAnsi" w:hAnsiTheme="minorHAnsi" w:cstheme="minorHAnsi"/>
                <w:szCs w:val="22"/>
                <w:lang w:val="en-GB"/>
              </w:rPr>
            </w:pPr>
            <w:r w:rsidRPr="00B13FF4">
              <w:rPr>
                <w:rFonts w:asciiTheme="minorHAnsi" w:hAnsiTheme="minorHAnsi" w:cstheme="minorHAnsi"/>
                <w:szCs w:val="22"/>
                <w:lang w:val="en-GB"/>
              </w:rPr>
              <w:t>Divisibility</w:t>
            </w:r>
          </w:p>
        </w:tc>
        <w:tc>
          <w:tcPr>
            <w:tcW w:w="0" w:type="auto"/>
            <w:tcBorders>
              <w:top w:val="single" w:sz="4" w:space="0" w:color="auto"/>
              <w:left w:val="single" w:sz="4" w:space="0" w:color="auto"/>
              <w:bottom w:val="single" w:sz="4" w:space="0" w:color="auto"/>
              <w:right w:val="single" w:sz="4" w:space="0" w:color="auto"/>
            </w:tcBorders>
            <w:noWrap/>
            <w:hideMark/>
          </w:tcPr>
          <w:p w14:paraId="4715ED40" w14:textId="77777777" w:rsidR="00CF2EEB" w:rsidRPr="00B13FF4" w:rsidRDefault="004A2945" w:rsidP="00A56624">
            <w:pPr>
              <w:jc w:val="center"/>
              <w:rPr>
                <w:rFonts w:asciiTheme="minorHAnsi" w:hAnsiTheme="minorHAnsi" w:cstheme="minorHAnsi"/>
                <w:szCs w:val="22"/>
                <w:lang w:val="en-GB"/>
              </w:rPr>
            </w:pPr>
            <w:r w:rsidRPr="00B13FF4">
              <w:rPr>
                <w:rFonts w:asciiTheme="minorHAnsi" w:hAnsiTheme="minorHAnsi" w:cstheme="minorHAnsi"/>
                <w:szCs w:val="22"/>
                <w:lang w:val="en-GB"/>
              </w:rPr>
              <w:t>Divisible and</w:t>
            </w:r>
            <w:r w:rsidR="004E2069" w:rsidRPr="00B13FF4">
              <w:rPr>
                <w:rFonts w:asciiTheme="minorHAnsi" w:hAnsiTheme="minorHAnsi" w:cstheme="minorHAnsi"/>
                <w:szCs w:val="22"/>
                <w:lang w:val="en-GB"/>
              </w:rPr>
              <w:t>/or</w:t>
            </w:r>
            <w:r w:rsidRPr="00B13FF4">
              <w:rPr>
                <w:rFonts w:asciiTheme="minorHAnsi" w:hAnsiTheme="minorHAnsi" w:cstheme="minorHAnsi"/>
                <w:szCs w:val="22"/>
                <w:lang w:val="en-GB"/>
              </w:rPr>
              <w:t xml:space="preserve"> indivisible bids allowed</w:t>
            </w:r>
          </w:p>
        </w:tc>
      </w:tr>
      <w:tr w:rsidR="00881C10" w:rsidRPr="00B13FF4" w14:paraId="29735D6C" w14:textId="77777777" w:rsidTr="00C579C1">
        <w:trPr>
          <w:trHeight w:val="299"/>
        </w:trPr>
        <w:tc>
          <w:tcPr>
            <w:tcW w:w="0" w:type="auto"/>
            <w:tcBorders>
              <w:top w:val="single" w:sz="4" w:space="0" w:color="auto"/>
              <w:left w:val="single" w:sz="4" w:space="0" w:color="auto"/>
              <w:bottom w:val="single" w:sz="4" w:space="0" w:color="auto"/>
              <w:right w:val="single" w:sz="4" w:space="0" w:color="auto"/>
            </w:tcBorders>
            <w:noWrap/>
            <w:hideMark/>
          </w:tcPr>
          <w:p w14:paraId="1C274F45" w14:textId="77777777" w:rsidR="00CF2EEB" w:rsidRPr="00B13FF4" w:rsidRDefault="00CF2EEB" w:rsidP="00D26FFC">
            <w:pPr>
              <w:jc w:val="center"/>
              <w:rPr>
                <w:rFonts w:asciiTheme="minorHAnsi" w:hAnsiTheme="minorHAnsi" w:cstheme="minorHAnsi"/>
                <w:szCs w:val="22"/>
                <w:lang w:val="en-GB"/>
              </w:rPr>
            </w:pPr>
            <w:r w:rsidRPr="00B13FF4">
              <w:rPr>
                <w:rFonts w:asciiTheme="minorHAnsi" w:hAnsiTheme="minorHAnsi" w:cstheme="minorHAnsi"/>
                <w:szCs w:val="22"/>
                <w:lang w:val="en-GB"/>
              </w:rPr>
              <w:t>Price</w:t>
            </w:r>
            <w:r w:rsidR="00AC4707" w:rsidRPr="00B13FF4">
              <w:rPr>
                <w:rFonts w:asciiTheme="minorHAnsi" w:hAnsiTheme="minorHAnsi" w:cstheme="minorHAnsi"/>
                <w:szCs w:val="22"/>
                <w:lang w:val="en-GB"/>
              </w:rPr>
              <w:t xml:space="preserve"> and resolution</w:t>
            </w:r>
            <w:r w:rsidR="00D35B95" w:rsidRPr="00B13FF4">
              <w:rPr>
                <w:rFonts w:asciiTheme="minorHAnsi" w:hAnsiTheme="minorHAnsi" w:cstheme="minorHAnsi"/>
                <w:szCs w:val="22"/>
                <w:lang w:val="en-GB"/>
              </w:rPr>
              <w:t xml:space="preserve"> of the bid</w:t>
            </w:r>
          </w:p>
        </w:tc>
        <w:tc>
          <w:tcPr>
            <w:tcW w:w="0" w:type="auto"/>
            <w:tcBorders>
              <w:top w:val="single" w:sz="4" w:space="0" w:color="auto"/>
              <w:left w:val="single" w:sz="4" w:space="0" w:color="auto"/>
              <w:bottom w:val="single" w:sz="4" w:space="0" w:color="auto"/>
              <w:right w:val="single" w:sz="4" w:space="0" w:color="auto"/>
            </w:tcBorders>
            <w:noWrap/>
            <w:hideMark/>
          </w:tcPr>
          <w:p w14:paraId="2B18C0B1" w14:textId="77777777" w:rsidR="001A2F3F" w:rsidRPr="00B13FF4" w:rsidRDefault="001A2F3F" w:rsidP="00F55828">
            <w:pPr>
              <w:jc w:val="center"/>
              <w:rPr>
                <w:rFonts w:asciiTheme="minorHAnsi" w:hAnsiTheme="minorHAnsi" w:cstheme="minorHAnsi"/>
                <w:szCs w:val="22"/>
                <w:lang w:val="en-GB"/>
              </w:rPr>
            </w:pPr>
            <w:r w:rsidRPr="00B13FF4">
              <w:rPr>
                <w:rFonts w:asciiTheme="minorHAnsi" w:hAnsiTheme="minorHAnsi" w:cstheme="minorHAnsi"/>
                <w:szCs w:val="22"/>
                <w:lang w:val="en-GB"/>
              </w:rPr>
              <w:t>Defined by the BSPs</w:t>
            </w:r>
          </w:p>
          <w:p w14:paraId="6FA509BC" w14:textId="77777777" w:rsidR="00CF2EEB" w:rsidRPr="00B13FF4" w:rsidRDefault="00AC4707" w:rsidP="00F55828">
            <w:pPr>
              <w:jc w:val="center"/>
              <w:rPr>
                <w:rFonts w:asciiTheme="minorHAnsi" w:hAnsiTheme="minorHAnsi" w:cstheme="minorHAnsi"/>
                <w:szCs w:val="22"/>
                <w:lang w:val="en-GB"/>
              </w:rPr>
            </w:pPr>
            <w:r w:rsidRPr="00B13FF4">
              <w:rPr>
                <w:rFonts w:asciiTheme="minorHAnsi" w:hAnsiTheme="minorHAnsi" w:cstheme="minorHAnsi"/>
                <w:szCs w:val="22"/>
                <w:lang w:val="en-GB"/>
              </w:rPr>
              <w:t>Its resolution is 0.01€/MWh.</w:t>
            </w:r>
          </w:p>
        </w:tc>
      </w:tr>
      <w:tr w:rsidR="00E30F29" w:rsidRPr="00B13FF4" w14:paraId="5CFCE6A6" w14:textId="77777777" w:rsidTr="00F36773">
        <w:trPr>
          <w:trHeight w:val="299"/>
        </w:trPr>
        <w:tc>
          <w:tcPr>
            <w:tcW w:w="0" w:type="auto"/>
            <w:tcBorders>
              <w:top w:val="single" w:sz="4" w:space="0" w:color="auto"/>
              <w:left w:val="single" w:sz="4" w:space="0" w:color="auto"/>
              <w:bottom w:val="single" w:sz="4" w:space="0" w:color="auto"/>
              <w:right w:val="single" w:sz="4" w:space="0" w:color="auto"/>
            </w:tcBorders>
            <w:noWrap/>
          </w:tcPr>
          <w:p w14:paraId="49D3AFE8" w14:textId="77777777" w:rsidR="00E30F29" w:rsidRPr="00B13FF4" w:rsidRDefault="00E30F29" w:rsidP="0009421F">
            <w:pPr>
              <w:jc w:val="center"/>
              <w:rPr>
                <w:rFonts w:asciiTheme="minorHAnsi" w:hAnsiTheme="minorHAnsi" w:cstheme="minorHAnsi"/>
                <w:szCs w:val="22"/>
                <w:lang w:val="en-GB"/>
              </w:rPr>
            </w:pPr>
            <w:r w:rsidRPr="00B13FF4">
              <w:rPr>
                <w:rFonts w:asciiTheme="minorHAnsi" w:hAnsiTheme="minorHAnsi" w:cstheme="minorHAnsi"/>
                <w:szCs w:val="22"/>
                <w:lang w:val="en-GB"/>
              </w:rPr>
              <w:t>Time</w:t>
            </w:r>
            <w:r w:rsidR="0009421F" w:rsidRPr="00B13FF4">
              <w:rPr>
                <w:rFonts w:asciiTheme="minorHAnsi" w:hAnsiTheme="minorHAnsi" w:cstheme="minorHAnsi"/>
                <w:szCs w:val="22"/>
                <w:lang w:val="en-GB"/>
              </w:rPr>
              <w:t>frame</w:t>
            </w:r>
            <w:r w:rsidRPr="00B13FF4">
              <w:rPr>
                <w:rFonts w:asciiTheme="minorHAnsi" w:hAnsiTheme="minorHAnsi" w:cstheme="minorHAnsi"/>
                <w:szCs w:val="22"/>
                <w:lang w:val="en-GB"/>
              </w:rPr>
              <w:t xml:space="preserve"> </w:t>
            </w:r>
            <w:r w:rsidR="0009421F" w:rsidRPr="00B13FF4">
              <w:rPr>
                <w:rFonts w:asciiTheme="minorHAnsi" w:hAnsiTheme="minorHAnsi" w:cstheme="minorHAnsi"/>
                <w:szCs w:val="22"/>
                <w:lang w:val="en-GB"/>
              </w:rPr>
              <w:t>r</w:t>
            </w:r>
            <w:r w:rsidRPr="00B13FF4">
              <w:rPr>
                <w:rFonts w:asciiTheme="minorHAnsi" w:hAnsiTheme="minorHAnsi" w:cstheme="minorHAnsi"/>
                <w:szCs w:val="22"/>
                <w:lang w:val="en-GB"/>
              </w:rPr>
              <w:t>esolution</w:t>
            </w:r>
          </w:p>
        </w:tc>
        <w:tc>
          <w:tcPr>
            <w:tcW w:w="4155" w:type="dxa"/>
            <w:tcBorders>
              <w:top w:val="single" w:sz="4" w:space="0" w:color="auto"/>
              <w:left w:val="single" w:sz="4" w:space="0" w:color="auto"/>
              <w:bottom w:val="single" w:sz="4" w:space="0" w:color="auto"/>
              <w:right w:val="single" w:sz="4" w:space="0" w:color="auto"/>
            </w:tcBorders>
            <w:noWrap/>
          </w:tcPr>
          <w:p w14:paraId="59102F8C" w14:textId="77777777" w:rsidR="00E30F29" w:rsidRPr="00B13FF4" w:rsidRDefault="00E30F29" w:rsidP="00D26FFC">
            <w:pPr>
              <w:keepNext/>
              <w:jc w:val="center"/>
              <w:rPr>
                <w:rFonts w:asciiTheme="minorHAnsi" w:hAnsiTheme="minorHAnsi" w:cstheme="minorHAnsi"/>
                <w:szCs w:val="22"/>
                <w:lang w:val="en-GB"/>
              </w:rPr>
            </w:pPr>
            <w:r w:rsidRPr="00B13FF4">
              <w:rPr>
                <w:rFonts w:asciiTheme="minorHAnsi" w:hAnsiTheme="minorHAnsi" w:cstheme="minorHAnsi"/>
                <w:szCs w:val="22"/>
                <w:lang w:val="en-GB"/>
              </w:rPr>
              <w:t>15 min</w:t>
            </w:r>
          </w:p>
        </w:tc>
      </w:tr>
    </w:tbl>
    <w:bookmarkEnd w:id="39"/>
    <w:p w14:paraId="6D295182" w14:textId="77777777" w:rsidR="00A963FC" w:rsidRPr="00BD2A66" w:rsidRDefault="000C75F9" w:rsidP="00BD2A66">
      <w:pPr>
        <w:pStyle w:val="textregular"/>
        <w:numPr>
          <w:ilvl w:val="0"/>
          <w:numId w:val="14"/>
        </w:numPr>
        <w:rPr>
          <w:rFonts w:asciiTheme="minorHAnsi" w:hAnsiTheme="minorHAnsi" w:cstheme="minorHAnsi"/>
          <w:lang w:val="en-GB" w:eastAsia="en-US"/>
        </w:rPr>
      </w:pPr>
      <w:r>
        <w:rPr>
          <w:rFonts w:asciiTheme="minorHAnsi" w:hAnsiTheme="minorHAnsi" w:cstheme="minorHAnsi"/>
          <w:lang w:val="en-GB" w:eastAsia="en-US"/>
        </w:rPr>
        <w:t>W</w:t>
      </w:r>
      <w:r w:rsidR="00F36773">
        <w:rPr>
          <w:rFonts w:asciiTheme="minorHAnsi" w:hAnsiTheme="minorHAnsi" w:cstheme="minorHAnsi"/>
          <w:lang w:val="en-GB" w:eastAsia="en-US"/>
        </w:rPr>
        <w:t xml:space="preserve">henever the BSP is mentioned in the table </w:t>
      </w:r>
      <w:r w:rsidR="00BD2A66">
        <w:rPr>
          <w:rFonts w:asciiTheme="minorHAnsi" w:hAnsiTheme="minorHAnsi" w:cstheme="minorHAnsi"/>
          <w:lang w:val="en-GB" w:eastAsia="en-US"/>
        </w:rPr>
        <w:t xml:space="preserve">in paragraph </w:t>
      </w:r>
      <w:r w:rsidR="00F36773">
        <w:rPr>
          <w:rFonts w:asciiTheme="minorHAnsi" w:hAnsiTheme="minorHAnsi" w:cstheme="minorHAnsi"/>
          <w:lang w:val="en-GB" w:eastAsia="en-US"/>
        </w:rPr>
        <w:t xml:space="preserve">(4), </w:t>
      </w:r>
      <w:r>
        <w:rPr>
          <w:rFonts w:asciiTheme="minorHAnsi" w:hAnsiTheme="minorHAnsi" w:cstheme="minorHAnsi"/>
          <w:lang w:val="en-GB" w:eastAsia="en-US"/>
        </w:rPr>
        <w:t>in case of a</w:t>
      </w:r>
      <w:r w:rsidRPr="00F36773">
        <w:rPr>
          <w:rFonts w:asciiTheme="minorHAnsi" w:hAnsiTheme="minorHAnsi" w:cstheme="minorHAnsi"/>
          <w:lang w:val="en-GB" w:eastAsia="en-US"/>
        </w:rPr>
        <w:t xml:space="preserve"> central dispatching model</w:t>
      </w:r>
      <w:r>
        <w:rPr>
          <w:rFonts w:asciiTheme="minorHAnsi" w:hAnsiTheme="minorHAnsi" w:cstheme="minorHAnsi"/>
          <w:lang w:val="en-GB" w:eastAsia="en-US"/>
        </w:rPr>
        <w:t xml:space="preserve"> it means</w:t>
      </w:r>
      <w:r w:rsidRPr="00F36773">
        <w:rPr>
          <w:rFonts w:asciiTheme="minorHAnsi" w:hAnsiTheme="minorHAnsi" w:cstheme="minorHAnsi"/>
          <w:lang w:val="en-GB" w:eastAsia="en-US"/>
        </w:rPr>
        <w:t xml:space="preserve"> </w:t>
      </w:r>
      <w:r w:rsidR="00F36773">
        <w:rPr>
          <w:rFonts w:asciiTheme="minorHAnsi" w:hAnsiTheme="minorHAnsi" w:cstheme="minorHAnsi"/>
          <w:lang w:val="en-GB" w:eastAsia="en-US"/>
        </w:rPr>
        <w:t xml:space="preserve">that </w:t>
      </w:r>
      <w:r w:rsidR="00F36773" w:rsidRPr="00F36773">
        <w:rPr>
          <w:rFonts w:asciiTheme="minorHAnsi" w:hAnsiTheme="minorHAnsi" w:cstheme="minorHAnsi"/>
          <w:lang w:val="en-GB" w:eastAsia="en-US"/>
        </w:rPr>
        <w:t>the connecting TSO</w:t>
      </w:r>
      <w:r w:rsidR="00F36773">
        <w:rPr>
          <w:rFonts w:asciiTheme="minorHAnsi" w:hAnsiTheme="minorHAnsi" w:cstheme="minorHAnsi"/>
          <w:lang w:val="en-GB" w:eastAsia="en-US"/>
        </w:rPr>
        <w:t xml:space="preserve"> </w:t>
      </w:r>
      <w:r w:rsidR="00CD5E4C">
        <w:rPr>
          <w:rFonts w:asciiTheme="minorHAnsi" w:hAnsiTheme="minorHAnsi" w:cstheme="minorHAnsi"/>
          <w:lang w:val="en-GB" w:eastAsia="en-US"/>
        </w:rPr>
        <w:t xml:space="preserve">may </w:t>
      </w:r>
      <w:r w:rsidR="00F36773">
        <w:rPr>
          <w:rFonts w:asciiTheme="minorHAnsi" w:hAnsiTheme="minorHAnsi" w:cstheme="minorHAnsi"/>
          <w:lang w:val="en-GB" w:eastAsia="en-US"/>
        </w:rPr>
        <w:t xml:space="preserve">define or determine the relevant </w:t>
      </w:r>
      <w:r w:rsidR="00F36773" w:rsidRPr="00B13FF4">
        <w:rPr>
          <w:rFonts w:asciiTheme="minorHAnsi" w:hAnsiTheme="minorHAnsi" w:cstheme="minorHAnsi"/>
          <w:szCs w:val="22"/>
          <w:lang w:val="en-GB" w:eastAsia="en-US"/>
        </w:rPr>
        <w:t>RR standard product</w:t>
      </w:r>
      <w:r w:rsidR="00F36773">
        <w:rPr>
          <w:rFonts w:asciiTheme="minorHAnsi" w:hAnsiTheme="minorHAnsi" w:cstheme="minorHAnsi"/>
          <w:szCs w:val="22"/>
          <w:lang w:val="en-GB" w:eastAsia="en-US"/>
        </w:rPr>
        <w:t xml:space="preserve"> characteristic</w:t>
      </w:r>
      <w:r w:rsidR="009B53FD">
        <w:rPr>
          <w:rFonts w:asciiTheme="minorHAnsi" w:hAnsiTheme="minorHAnsi" w:cstheme="minorHAnsi"/>
          <w:szCs w:val="22"/>
          <w:lang w:val="en-GB" w:eastAsia="en-US"/>
        </w:rPr>
        <w:t xml:space="preserve"> based on</w:t>
      </w:r>
      <w:r w:rsidR="009B53FD" w:rsidRPr="009B53FD">
        <w:rPr>
          <w:rFonts w:asciiTheme="minorHAnsi" w:hAnsiTheme="minorHAnsi" w:cstheme="minorHAnsi"/>
          <w:lang w:val="en-GB" w:eastAsia="en-US"/>
        </w:rPr>
        <w:t xml:space="preserve"> </w:t>
      </w:r>
      <w:r w:rsidR="009B53FD" w:rsidRPr="00F36773">
        <w:rPr>
          <w:rFonts w:asciiTheme="minorHAnsi" w:hAnsiTheme="minorHAnsi" w:cstheme="minorHAnsi"/>
          <w:lang w:val="en-GB" w:eastAsia="en-US"/>
        </w:rPr>
        <w:t>integrated scheduling process bids</w:t>
      </w:r>
      <w:r w:rsidR="009B53FD">
        <w:rPr>
          <w:rFonts w:asciiTheme="minorHAnsi" w:hAnsiTheme="minorHAnsi" w:cstheme="minorHAnsi"/>
          <w:lang w:val="en-GB" w:eastAsia="en-US"/>
        </w:rPr>
        <w:t xml:space="preserve"> submitted by BSPs</w:t>
      </w:r>
      <w:r w:rsidR="009B53FD">
        <w:rPr>
          <w:rFonts w:asciiTheme="minorHAnsi" w:hAnsiTheme="minorHAnsi" w:cstheme="minorHAnsi"/>
          <w:szCs w:val="22"/>
          <w:lang w:val="en-GB" w:eastAsia="en-US"/>
        </w:rPr>
        <w:t xml:space="preserve"> following</w:t>
      </w:r>
      <w:r w:rsidR="00F36773" w:rsidRPr="00F36773">
        <w:rPr>
          <w:rFonts w:asciiTheme="minorHAnsi" w:hAnsiTheme="minorHAnsi" w:cstheme="minorHAnsi"/>
          <w:lang w:val="en-GB" w:eastAsia="en-US"/>
        </w:rPr>
        <w:t xml:space="preserve"> </w:t>
      </w:r>
      <w:r w:rsidR="009B53FD">
        <w:rPr>
          <w:rFonts w:asciiTheme="minorHAnsi" w:hAnsiTheme="minorHAnsi" w:cstheme="minorHAnsi"/>
          <w:lang w:val="en-GB" w:eastAsia="en-US"/>
        </w:rPr>
        <w:t xml:space="preserve">the </w:t>
      </w:r>
      <w:r w:rsidR="00F36773" w:rsidRPr="00F36773">
        <w:rPr>
          <w:rFonts w:asciiTheme="minorHAnsi" w:hAnsiTheme="minorHAnsi" w:cstheme="minorHAnsi"/>
          <w:lang w:val="en-GB" w:eastAsia="en-US"/>
        </w:rPr>
        <w:t xml:space="preserve">national </w:t>
      </w:r>
      <w:r w:rsidR="009B53FD">
        <w:rPr>
          <w:rFonts w:asciiTheme="minorHAnsi" w:hAnsiTheme="minorHAnsi" w:cstheme="minorHAnsi"/>
          <w:lang w:val="en-GB" w:eastAsia="en-US"/>
        </w:rPr>
        <w:t>rules for converting of bids in the central dispatching model pursuant to Article 27 of EBGL.</w:t>
      </w:r>
    </w:p>
    <w:p w14:paraId="6528D4F2" w14:textId="77777777" w:rsidR="0006659F" w:rsidRPr="00317646" w:rsidRDefault="0006659F">
      <w:pPr>
        <w:rPr>
          <w:rFonts w:ascii="Times New Roman" w:hAnsi="Times New Roman" w:cs="Arial"/>
          <w:b/>
          <w:color w:val="23236E"/>
          <w:sz w:val="24"/>
          <w:lang w:val="en-GB" w:eastAsia="en-US"/>
        </w:rPr>
      </w:pPr>
      <w:r w:rsidRPr="00317646">
        <w:rPr>
          <w:rFonts w:ascii="Times New Roman" w:hAnsi="Times New Roman" w:cs="Arial"/>
          <w:b/>
          <w:color w:val="23236E"/>
          <w:sz w:val="24"/>
          <w:lang w:val="en-GB" w:eastAsia="en-US"/>
        </w:rPr>
        <w:br w:type="page"/>
      </w:r>
    </w:p>
    <w:p w14:paraId="6A7E3755" w14:textId="77777777" w:rsidR="002F471A" w:rsidRPr="00317646" w:rsidRDefault="002F471A" w:rsidP="002F471A">
      <w:pPr>
        <w:spacing w:after="120" w:line="260" w:lineRule="exact"/>
        <w:jc w:val="center"/>
        <w:outlineLvl w:val="1"/>
        <w:rPr>
          <w:rFonts w:ascii="Times New Roman" w:hAnsi="Times New Roman" w:cs="Arial"/>
          <w:b/>
          <w:color w:val="23236E"/>
          <w:sz w:val="24"/>
          <w:lang w:val="en-GB" w:eastAsia="en-US"/>
        </w:rPr>
      </w:pPr>
      <w:bookmarkStart w:id="40" w:name="_Toc51082154"/>
      <w:r w:rsidRPr="00317646">
        <w:rPr>
          <w:rFonts w:ascii="Times New Roman" w:hAnsi="Times New Roman" w:cs="Arial"/>
          <w:b/>
          <w:color w:val="23236E"/>
          <w:sz w:val="24"/>
          <w:lang w:val="en-GB" w:eastAsia="en-US"/>
        </w:rPr>
        <w:lastRenderedPageBreak/>
        <w:t xml:space="preserve">Article </w:t>
      </w:r>
      <w:r w:rsidR="001A5ACF" w:rsidRPr="00317646">
        <w:rPr>
          <w:rFonts w:ascii="Times New Roman" w:hAnsi="Times New Roman" w:cs="Arial"/>
          <w:b/>
          <w:color w:val="23236E"/>
          <w:sz w:val="24"/>
          <w:lang w:val="en-GB" w:eastAsia="en-US"/>
        </w:rPr>
        <w:t>7</w:t>
      </w:r>
      <w:r w:rsidRPr="00317646">
        <w:rPr>
          <w:rFonts w:ascii="Times New Roman" w:hAnsi="Times New Roman" w:cs="Arial"/>
          <w:b/>
          <w:color w:val="23236E"/>
          <w:sz w:val="24"/>
          <w:lang w:val="en-GB" w:eastAsia="en-US"/>
        </w:rPr>
        <w:br/>
        <w:t xml:space="preserve">Gate closure time for </w:t>
      </w:r>
      <w:r w:rsidR="00DE76CC" w:rsidRPr="00317646">
        <w:rPr>
          <w:rFonts w:ascii="Times New Roman" w:hAnsi="Times New Roman" w:cs="Arial"/>
          <w:b/>
          <w:color w:val="23236E"/>
          <w:sz w:val="24"/>
          <w:lang w:val="en-GB" w:eastAsia="en-US"/>
        </w:rPr>
        <w:t>RR standard product energy bids</w:t>
      </w:r>
      <w:bookmarkEnd w:id="40"/>
    </w:p>
    <w:p w14:paraId="071D958B" w14:textId="77777777" w:rsidR="00FB7800" w:rsidRPr="00333072" w:rsidRDefault="00FB7800" w:rsidP="00FB7800">
      <w:pPr>
        <w:pStyle w:val="textenumeration"/>
        <w:rPr>
          <w:lang w:val="en-GB" w:eastAsia="en-US"/>
        </w:rPr>
      </w:pPr>
      <w:r>
        <w:rPr>
          <w:lang w:val="en-GB" w:eastAsia="en-US"/>
        </w:rPr>
        <w:t>T</w:t>
      </w:r>
      <w:r w:rsidRPr="00333072">
        <w:rPr>
          <w:lang w:val="en-GB" w:eastAsia="en-US"/>
        </w:rPr>
        <w:t xml:space="preserve">he </w:t>
      </w:r>
      <w:r w:rsidRPr="0033180F">
        <w:rPr>
          <w:lang w:val="en-GB" w:eastAsia="en-US"/>
        </w:rPr>
        <w:t xml:space="preserve">gate closure time </w:t>
      </w:r>
      <w:r>
        <w:rPr>
          <w:lang w:val="en-GB" w:eastAsia="en-US"/>
        </w:rPr>
        <w:t>(</w:t>
      </w:r>
      <w:r w:rsidRPr="00333072">
        <w:rPr>
          <w:lang w:val="en-GB" w:eastAsia="en-US"/>
        </w:rPr>
        <w:t>GCT</w:t>
      </w:r>
      <w:r>
        <w:rPr>
          <w:lang w:val="en-GB" w:eastAsia="en-US"/>
        </w:rPr>
        <w:t>) for the submission of</w:t>
      </w:r>
      <w:r w:rsidRPr="00333072">
        <w:rPr>
          <w:lang w:val="en-GB" w:eastAsia="en-US"/>
        </w:rPr>
        <w:t xml:space="preserve"> Bids </w:t>
      </w:r>
      <w:r w:rsidRPr="0033180F">
        <w:rPr>
          <w:lang w:val="en-GB" w:eastAsia="en-US"/>
        </w:rPr>
        <w:t xml:space="preserve">to the connecting TSOs by BSPs </w:t>
      </w:r>
      <w:r w:rsidRPr="00333072">
        <w:rPr>
          <w:lang w:val="en-GB" w:eastAsia="en-US"/>
        </w:rPr>
        <w:t xml:space="preserve">will be </w:t>
      </w:r>
      <w:r>
        <w:rPr>
          <w:lang w:val="en-GB" w:eastAsia="en-US"/>
        </w:rPr>
        <w:t>55</w:t>
      </w:r>
      <w:r w:rsidRPr="00333072">
        <w:rPr>
          <w:lang w:val="en-GB" w:eastAsia="en-US"/>
        </w:rPr>
        <w:t xml:space="preserve"> minutes before the period which is concerned by the activation of the RR standard product to satisfy the TSO balancing energy need.</w:t>
      </w:r>
    </w:p>
    <w:p w14:paraId="14FEAAEC" w14:textId="77777777" w:rsidR="00FB7800" w:rsidRPr="000542DC" w:rsidRDefault="00FB7800" w:rsidP="00FB7800">
      <w:pPr>
        <w:pStyle w:val="textenumeration"/>
        <w:rPr>
          <w:lang w:val="en-GB" w:eastAsia="en-US"/>
        </w:rPr>
      </w:pPr>
      <w:r>
        <w:rPr>
          <w:lang w:val="en-GB" w:eastAsia="en-US"/>
        </w:rPr>
        <w:t>For an interim period of no more</w:t>
      </w:r>
      <w:r w:rsidRPr="00333072">
        <w:rPr>
          <w:lang w:val="en-GB" w:eastAsia="en-US"/>
        </w:rPr>
        <w:t xml:space="preserve"> than twelve months after the entry into operation of the RR-Platform, the GCT for Bids will be </w:t>
      </w:r>
      <w:r>
        <w:rPr>
          <w:lang w:val="en-GB" w:eastAsia="en-US"/>
        </w:rPr>
        <w:t>60</w:t>
      </w:r>
      <w:r w:rsidRPr="00333072">
        <w:rPr>
          <w:lang w:val="en-GB" w:eastAsia="en-US"/>
        </w:rPr>
        <w:t xml:space="preserve"> minutes before the period which is concerned by the activation of the RR standard product to satisfy the TSO balancing energy need.</w:t>
      </w:r>
      <w:r>
        <w:rPr>
          <w:lang w:val="en-GB" w:eastAsia="en-US"/>
        </w:rPr>
        <w:t xml:space="preserve"> </w:t>
      </w:r>
    </w:p>
    <w:p w14:paraId="08EFE6C5" w14:textId="77777777" w:rsidR="00FB7800" w:rsidRPr="00333072" w:rsidRDefault="00FB7800" w:rsidP="00FB7800">
      <w:pPr>
        <w:pStyle w:val="textenumeration"/>
        <w:rPr>
          <w:lang w:val="en-GB"/>
        </w:rPr>
      </w:pPr>
      <w:r w:rsidRPr="00333072">
        <w:rPr>
          <w:lang w:val="en-GB" w:eastAsia="en-US"/>
        </w:rPr>
        <w:t>For TSOs applying central dispatching model, the GCT for integrated scheduling process bids shall be defined pursuant to Articles 24(5) and 24(6) of the EBGL.</w:t>
      </w:r>
    </w:p>
    <w:p w14:paraId="7674CE88" w14:textId="77777777" w:rsidR="00395911" w:rsidRPr="00317646" w:rsidRDefault="00F0657B" w:rsidP="00F0657B">
      <w:pPr>
        <w:pStyle w:val="textenumeration"/>
        <w:tabs>
          <w:tab w:val="left" w:pos="3260"/>
        </w:tabs>
        <w:rPr>
          <w:lang w:val="en-GB" w:eastAsia="en-US"/>
        </w:rPr>
      </w:pPr>
      <w:r>
        <w:rPr>
          <w:lang w:val="en-GB" w:eastAsia="en-US"/>
        </w:rPr>
        <w:tab/>
      </w:r>
    </w:p>
    <w:p w14:paraId="7A2435BB" w14:textId="77777777" w:rsidR="002F471A" w:rsidRPr="00317646" w:rsidRDefault="002F471A" w:rsidP="002F471A">
      <w:pPr>
        <w:spacing w:after="120" w:line="260" w:lineRule="exact"/>
        <w:jc w:val="center"/>
        <w:outlineLvl w:val="1"/>
        <w:rPr>
          <w:rFonts w:ascii="Times New Roman" w:hAnsi="Times New Roman" w:cs="Arial"/>
          <w:b/>
          <w:color w:val="23236E"/>
          <w:sz w:val="24"/>
          <w:lang w:val="en-GB" w:eastAsia="en-US"/>
        </w:rPr>
      </w:pPr>
      <w:bookmarkStart w:id="41" w:name="_Toc51082155"/>
      <w:r w:rsidRPr="00317646">
        <w:rPr>
          <w:rFonts w:ascii="Times New Roman" w:hAnsi="Times New Roman" w:cs="Arial"/>
          <w:b/>
          <w:color w:val="23236E"/>
          <w:sz w:val="24"/>
          <w:lang w:val="en-GB" w:eastAsia="en-US"/>
        </w:rPr>
        <w:t xml:space="preserve">Article </w:t>
      </w:r>
      <w:r w:rsidR="001A5ACF" w:rsidRPr="00317646">
        <w:rPr>
          <w:rFonts w:ascii="Times New Roman" w:hAnsi="Times New Roman" w:cs="Arial"/>
          <w:b/>
          <w:color w:val="23236E"/>
          <w:sz w:val="24"/>
          <w:lang w:val="en-GB" w:eastAsia="en-US"/>
        </w:rPr>
        <w:t>8</w:t>
      </w:r>
      <w:r w:rsidRPr="00317646">
        <w:rPr>
          <w:rFonts w:ascii="Times New Roman" w:hAnsi="Times New Roman" w:cs="Arial"/>
          <w:b/>
          <w:color w:val="23236E"/>
          <w:sz w:val="24"/>
          <w:lang w:val="en-GB" w:eastAsia="en-US"/>
        </w:rPr>
        <w:br/>
        <w:t>TSO energy bid submission gate closure time</w:t>
      </w:r>
      <w:r w:rsidR="00A94CA2" w:rsidRPr="00317646">
        <w:rPr>
          <w:rFonts w:ascii="Times New Roman" w:hAnsi="Times New Roman" w:cs="Arial"/>
          <w:b/>
          <w:color w:val="23236E"/>
          <w:sz w:val="24"/>
          <w:lang w:val="en-GB" w:eastAsia="en-US"/>
        </w:rPr>
        <w:t xml:space="preserve"> for RR</w:t>
      </w:r>
      <w:bookmarkEnd w:id="41"/>
    </w:p>
    <w:p w14:paraId="5A2E50BA" w14:textId="77777777" w:rsidR="00CD667F" w:rsidRPr="00317646" w:rsidRDefault="00CD667F" w:rsidP="00CD667F">
      <w:pPr>
        <w:pStyle w:val="textenumeration"/>
        <w:rPr>
          <w:szCs w:val="22"/>
          <w:lang w:val="en-GB"/>
        </w:rPr>
      </w:pPr>
      <w:r w:rsidRPr="00317646">
        <w:rPr>
          <w:lang w:val="en-GB" w:eastAsia="en-US"/>
        </w:rPr>
        <w:t xml:space="preserve">The gate closure time for the submission of the </w:t>
      </w:r>
      <w:r w:rsidR="0070764A" w:rsidRPr="00317646">
        <w:rPr>
          <w:lang w:val="en-GB" w:eastAsia="en-US"/>
        </w:rPr>
        <w:t>Bids</w:t>
      </w:r>
      <w:r w:rsidRPr="00317646">
        <w:rPr>
          <w:lang w:val="en-GB" w:eastAsia="en-US"/>
        </w:rPr>
        <w:t xml:space="preserve"> to the common merit order list</w:t>
      </w:r>
      <w:r w:rsidR="00580B45">
        <w:rPr>
          <w:lang w:val="en-GB" w:eastAsia="en-US"/>
        </w:rPr>
        <w:t>s</w:t>
      </w:r>
      <w:r w:rsidRPr="00317646">
        <w:rPr>
          <w:lang w:val="en-GB" w:eastAsia="en-US"/>
        </w:rPr>
        <w:t xml:space="preserve"> by the connecting TSO shall be </w:t>
      </w:r>
      <w:r w:rsidR="00E84F26" w:rsidRPr="00317646">
        <w:rPr>
          <w:lang w:val="en-GB" w:eastAsia="en-US"/>
        </w:rPr>
        <w:t xml:space="preserve">40 </w:t>
      </w:r>
      <w:r w:rsidRPr="00317646">
        <w:rPr>
          <w:lang w:val="en-GB" w:eastAsia="en-US"/>
        </w:rPr>
        <w:t xml:space="preserve">minutes </w:t>
      </w:r>
      <w:r w:rsidR="00F857B2" w:rsidRPr="00317646">
        <w:rPr>
          <w:lang w:val="en-GB" w:eastAsia="en-US"/>
        </w:rPr>
        <w:t xml:space="preserve">before the </w:t>
      </w:r>
      <w:r w:rsidR="00165BEC" w:rsidRPr="00317646">
        <w:rPr>
          <w:lang w:val="en-GB" w:eastAsia="en-US"/>
        </w:rPr>
        <w:t xml:space="preserve">period which is concerned by the activation of the RR </w:t>
      </w:r>
      <w:r w:rsidR="00A03951" w:rsidRPr="00317646">
        <w:rPr>
          <w:lang w:val="en-GB" w:eastAsia="en-US"/>
        </w:rPr>
        <w:t>standard product</w:t>
      </w:r>
      <w:r w:rsidR="00165BEC" w:rsidRPr="00317646">
        <w:rPr>
          <w:lang w:val="en-GB" w:eastAsia="en-US"/>
        </w:rPr>
        <w:t xml:space="preserve"> to satisfy the TSO balancing energy need.</w:t>
      </w:r>
    </w:p>
    <w:p w14:paraId="3DDBCAE9" w14:textId="77777777" w:rsidR="001D3AC8" w:rsidRPr="00317646" w:rsidRDefault="00CD667F" w:rsidP="00395911">
      <w:pPr>
        <w:pStyle w:val="textenumeration"/>
        <w:rPr>
          <w:lang w:val="en-GB"/>
        </w:rPr>
      </w:pPr>
      <w:r w:rsidRPr="00317646">
        <w:rPr>
          <w:lang w:val="en-GB" w:eastAsia="en-US"/>
        </w:rPr>
        <w:t>The TSOs will send the RR balancing energy need</w:t>
      </w:r>
      <w:r w:rsidR="004924AB" w:rsidRPr="00317646">
        <w:rPr>
          <w:lang w:val="en-GB" w:eastAsia="en-US"/>
        </w:rPr>
        <w:t xml:space="preserve"> to the RR-Platform</w:t>
      </w:r>
      <w:r w:rsidRPr="00317646">
        <w:rPr>
          <w:lang w:val="en-GB" w:eastAsia="en-US"/>
        </w:rPr>
        <w:t xml:space="preserve"> and cross-zonal capacities before the TSO energy bid submission gate closure time for RR.</w:t>
      </w:r>
    </w:p>
    <w:p w14:paraId="3404103B" w14:textId="77777777" w:rsidR="0006659F" w:rsidRPr="00317646" w:rsidRDefault="0006659F" w:rsidP="00395911">
      <w:pPr>
        <w:pStyle w:val="textenumeration"/>
        <w:rPr>
          <w:lang w:val="en-GB" w:eastAsia="en-US"/>
        </w:rPr>
      </w:pPr>
    </w:p>
    <w:p w14:paraId="1AEF7B22" w14:textId="77777777" w:rsidR="002F471A" w:rsidRPr="00317646" w:rsidRDefault="002F471A" w:rsidP="002F471A">
      <w:pPr>
        <w:spacing w:after="120" w:line="260" w:lineRule="exact"/>
        <w:jc w:val="center"/>
        <w:outlineLvl w:val="1"/>
        <w:rPr>
          <w:rFonts w:ascii="Times New Roman" w:hAnsi="Times New Roman" w:cs="Arial"/>
          <w:b/>
          <w:color w:val="23236E"/>
          <w:sz w:val="24"/>
          <w:lang w:val="en-GB" w:eastAsia="en-US"/>
        </w:rPr>
      </w:pPr>
      <w:bookmarkStart w:id="42" w:name="_Toc51082156"/>
      <w:r w:rsidRPr="00317646">
        <w:rPr>
          <w:rFonts w:ascii="Times New Roman" w:hAnsi="Times New Roman" w:cs="Arial"/>
          <w:b/>
          <w:color w:val="23236E"/>
          <w:sz w:val="24"/>
          <w:lang w:val="en-GB" w:eastAsia="en-US"/>
        </w:rPr>
        <w:t xml:space="preserve">Article </w:t>
      </w:r>
      <w:r w:rsidR="001A5ACF" w:rsidRPr="00317646">
        <w:rPr>
          <w:rFonts w:ascii="Times New Roman" w:hAnsi="Times New Roman" w:cs="Arial"/>
          <w:b/>
          <w:color w:val="23236E"/>
          <w:sz w:val="24"/>
          <w:lang w:val="en-GB" w:eastAsia="en-US"/>
        </w:rPr>
        <w:t>9</w:t>
      </w:r>
      <w:r w:rsidRPr="00317646">
        <w:rPr>
          <w:rFonts w:ascii="Times New Roman" w:hAnsi="Times New Roman" w:cs="Arial"/>
          <w:b/>
          <w:color w:val="23236E"/>
          <w:sz w:val="24"/>
          <w:lang w:val="en-GB" w:eastAsia="en-US"/>
        </w:rPr>
        <w:br/>
        <w:t>Common merit order lists to be organised by the activation optimisation function</w:t>
      </w:r>
      <w:bookmarkEnd w:id="42"/>
    </w:p>
    <w:p w14:paraId="705376B4" w14:textId="77777777" w:rsidR="001D3AC8" w:rsidRPr="00317646" w:rsidRDefault="001D3AC8" w:rsidP="003555B4">
      <w:pPr>
        <w:pStyle w:val="textenumeration"/>
        <w:numPr>
          <w:ilvl w:val="0"/>
          <w:numId w:val="15"/>
        </w:numPr>
        <w:rPr>
          <w:lang w:val="en-GB" w:eastAsia="en-US"/>
        </w:rPr>
      </w:pPr>
      <w:bookmarkStart w:id="43" w:name="_Toc479938566"/>
      <w:bookmarkStart w:id="44" w:name="_Toc480619303"/>
      <w:bookmarkStart w:id="45" w:name="_Toc480620480"/>
      <w:bookmarkStart w:id="46" w:name="_Toc480620928"/>
      <w:bookmarkEnd w:id="43"/>
      <w:bookmarkEnd w:id="44"/>
      <w:bookmarkEnd w:id="45"/>
      <w:bookmarkEnd w:id="46"/>
      <w:r w:rsidRPr="00317646">
        <w:rPr>
          <w:lang w:val="en-GB" w:eastAsia="en-US"/>
        </w:rPr>
        <w:t xml:space="preserve">Each BSP in self-dispatch system shall submit the </w:t>
      </w:r>
      <w:r w:rsidR="00E81CE6" w:rsidRPr="00317646">
        <w:rPr>
          <w:lang w:val="en-GB" w:eastAsia="en-US"/>
        </w:rPr>
        <w:t>Bids</w:t>
      </w:r>
      <w:r w:rsidRPr="00317646">
        <w:rPr>
          <w:lang w:val="en-GB" w:eastAsia="en-US"/>
        </w:rPr>
        <w:t xml:space="preserve"> to the connecting TSO.</w:t>
      </w:r>
    </w:p>
    <w:p w14:paraId="4CFDCFCD" w14:textId="77777777" w:rsidR="001D3AC8" w:rsidRPr="00317646" w:rsidRDefault="001D3AC8" w:rsidP="003555B4">
      <w:pPr>
        <w:pStyle w:val="ListParagraph"/>
        <w:numPr>
          <w:ilvl w:val="0"/>
          <w:numId w:val="15"/>
        </w:numPr>
        <w:rPr>
          <w:rFonts w:ascii="Times New Roman" w:hAnsi="Times New Roman" w:cs="Times New Roman"/>
          <w:lang w:eastAsia="en-US"/>
        </w:rPr>
      </w:pPr>
      <w:r w:rsidRPr="00317646">
        <w:rPr>
          <w:rFonts w:ascii="Times New Roman" w:hAnsi="Times New Roman" w:cs="Times New Roman"/>
          <w:lang w:eastAsia="en-US"/>
        </w:rPr>
        <w:t xml:space="preserve">Each BSP in central-dispatch system shall submit integrated scheduling process bids to the connecting TSO who </w:t>
      </w:r>
      <w:r w:rsidRPr="00317646">
        <w:rPr>
          <w:lang w:eastAsia="en-US"/>
        </w:rPr>
        <w:t>shall convert integrated scheduling</w:t>
      </w:r>
      <w:r w:rsidR="00383ED3" w:rsidRPr="00317646">
        <w:rPr>
          <w:lang w:eastAsia="en-US"/>
        </w:rPr>
        <w:t xml:space="preserve"> process</w:t>
      </w:r>
      <w:r w:rsidRPr="00317646">
        <w:rPr>
          <w:lang w:eastAsia="en-US"/>
        </w:rPr>
        <w:t xml:space="preserve"> bids received from BSPs into </w:t>
      </w:r>
      <w:r w:rsidR="002308D9" w:rsidRPr="00317646">
        <w:rPr>
          <w:lang w:eastAsia="en-US"/>
        </w:rPr>
        <w:t>Bids</w:t>
      </w:r>
      <w:r w:rsidRPr="00317646">
        <w:rPr>
          <w:lang w:eastAsia="en-US"/>
        </w:rPr>
        <w:t>.</w:t>
      </w:r>
    </w:p>
    <w:p w14:paraId="4019C16A" w14:textId="77777777" w:rsidR="001D3AC8" w:rsidRPr="00317646" w:rsidRDefault="001D3AC8" w:rsidP="003555B4">
      <w:pPr>
        <w:pStyle w:val="textenumeration"/>
        <w:numPr>
          <w:ilvl w:val="0"/>
          <w:numId w:val="15"/>
        </w:numPr>
        <w:rPr>
          <w:lang w:val="en-GB" w:eastAsia="en-US"/>
        </w:rPr>
      </w:pPr>
      <w:r w:rsidRPr="00317646">
        <w:rPr>
          <w:lang w:val="en-GB" w:eastAsia="en-US"/>
        </w:rPr>
        <w:t>The format</w:t>
      </w:r>
      <w:r w:rsidR="0099743F" w:rsidRPr="00317646">
        <w:rPr>
          <w:lang w:val="en-GB" w:eastAsia="en-US"/>
        </w:rPr>
        <w:t xml:space="preserve"> possibilities</w:t>
      </w:r>
      <w:r w:rsidRPr="00317646">
        <w:rPr>
          <w:lang w:val="en-GB" w:eastAsia="en-US"/>
        </w:rPr>
        <w:t xml:space="preserve"> of the </w:t>
      </w:r>
      <w:r w:rsidR="00E76062" w:rsidRPr="00317646">
        <w:rPr>
          <w:lang w:val="en-GB" w:eastAsia="en-US"/>
        </w:rPr>
        <w:t>Bids</w:t>
      </w:r>
      <w:r w:rsidRPr="00317646">
        <w:rPr>
          <w:lang w:val="en-GB" w:eastAsia="en-US"/>
        </w:rPr>
        <w:t xml:space="preserve"> are: </w:t>
      </w:r>
    </w:p>
    <w:p w14:paraId="371DE676" w14:textId="77777777" w:rsidR="001D3AC8" w:rsidRPr="00317646" w:rsidRDefault="00FA2C36" w:rsidP="003555B4">
      <w:pPr>
        <w:pStyle w:val="textenumeration"/>
        <w:numPr>
          <w:ilvl w:val="1"/>
          <w:numId w:val="15"/>
        </w:numPr>
        <w:rPr>
          <w:lang w:val="en-GB" w:eastAsia="en-US"/>
        </w:rPr>
      </w:pPr>
      <w:r w:rsidRPr="00317646">
        <w:rPr>
          <w:lang w:val="en-GB" w:eastAsia="en-US"/>
        </w:rPr>
        <w:t>Fully divisible, d</w:t>
      </w:r>
      <w:r w:rsidR="001D3AC8" w:rsidRPr="00317646">
        <w:rPr>
          <w:lang w:val="en-GB" w:eastAsia="en-US"/>
        </w:rPr>
        <w:t xml:space="preserve">ivisible </w:t>
      </w:r>
      <w:r w:rsidR="0099743F" w:rsidRPr="00317646">
        <w:rPr>
          <w:lang w:val="en-GB" w:eastAsia="en-US"/>
        </w:rPr>
        <w:t>or indivisible</w:t>
      </w:r>
      <w:r w:rsidR="00901986" w:rsidRPr="00317646">
        <w:rPr>
          <w:lang w:val="en-GB" w:eastAsia="en-US"/>
        </w:rPr>
        <w:t>;</w:t>
      </w:r>
    </w:p>
    <w:p w14:paraId="111F0660" w14:textId="77777777" w:rsidR="0099743F" w:rsidRPr="00317646" w:rsidRDefault="001D3AC8" w:rsidP="003555B4">
      <w:pPr>
        <w:pStyle w:val="textenumeration"/>
        <w:numPr>
          <w:ilvl w:val="1"/>
          <w:numId w:val="15"/>
        </w:numPr>
        <w:rPr>
          <w:lang w:val="en-GB" w:eastAsia="en-US"/>
        </w:rPr>
      </w:pPr>
      <w:r w:rsidRPr="00317646">
        <w:rPr>
          <w:lang w:val="en-GB" w:eastAsia="en-US"/>
        </w:rPr>
        <w:t>Exclusive in volume or time</w:t>
      </w:r>
      <w:r w:rsidR="0099743F" w:rsidRPr="00317646">
        <w:rPr>
          <w:lang w:val="en-GB" w:eastAsia="en-US"/>
        </w:rPr>
        <w:t xml:space="preserve"> and/or Multi-part in volume and price</w:t>
      </w:r>
      <w:r w:rsidR="00901986" w:rsidRPr="00317646">
        <w:rPr>
          <w:lang w:val="en-GB" w:eastAsia="en-US"/>
        </w:rPr>
        <w:t>;</w:t>
      </w:r>
    </w:p>
    <w:p w14:paraId="6E444B9E" w14:textId="77777777" w:rsidR="001D3AC8" w:rsidRPr="00317646" w:rsidRDefault="001D3AC8" w:rsidP="003555B4">
      <w:pPr>
        <w:pStyle w:val="textenumeration"/>
        <w:numPr>
          <w:ilvl w:val="1"/>
          <w:numId w:val="15"/>
        </w:numPr>
        <w:rPr>
          <w:lang w:val="en-GB" w:eastAsia="en-US"/>
        </w:rPr>
      </w:pPr>
      <w:r w:rsidRPr="00317646">
        <w:rPr>
          <w:lang w:val="en-GB" w:eastAsia="en-US"/>
        </w:rPr>
        <w:t>Linked in time</w:t>
      </w:r>
      <w:r w:rsidR="00901986" w:rsidRPr="00317646">
        <w:rPr>
          <w:lang w:val="en-GB" w:eastAsia="en-US"/>
        </w:rPr>
        <w:t>.</w:t>
      </w:r>
    </w:p>
    <w:p w14:paraId="4D15D5D2" w14:textId="77777777" w:rsidR="00BB4099" w:rsidRPr="00317646" w:rsidRDefault="00BB4099" w:rsidP="003555B4">
      <w:pPr>
        <w:pStyle w:val="textenumeration"/>
        <w:numPr>
          <w:ilvl w:val="0"/>
          <w:numId w:val="15"/>
        </w:numPr>
        <w:rPr>
          <w:lang w:val="en-GB" w:eastAsia="en-US"/>
        </w:rPr>
      </w:pPr>
      <w:r w:rsidRPr="00317646">
        <w:rPr>
          <w:lang w:val="en-GB" w:eastAsia="en-US"/>
        </w:rPr>
        <w:t>The format possibilities of the RR balancing energy needs are:</w:t>
      </w:r>
    </w:p>
    <w:p w14:paraId="59B8C902" w14:textId="77777777" w:rsidR="00BB4099" w:rsidRPr="00317646" w:rsidRDefault="00BB4099" w:rsidP="003555B4">
      <w:pPr>
        <w:pStyle w:val="textenumeration"/>
        <w:numPr>
          <w:ilvl w:val="1"/>
          <w:numId w:val="15"/>
        </w:numPr>
        <w:rPr>
          <w:lang w:val="en-GB" w:eastAsia="en-US"/>
        </w:rPr>
      </w:pPr>
      <w:r w:rsidRPr="00317646">
        <w:rPr>
          <w:rFonts w:asciiTheme="minorHAnsi" w:hAnsiTheme="minorHAnsi" w:cstheme="minorHAnsi"/>
          <w:bCs/>
          <w:lang w:val="en-GB"/>
        </w:rPr>
        <w:t>Fully divisible</w:t>
      </w:r>
      <w:r w:rsidR="00612380" w:rsidRPr="00317646">
        <w:rPr>
          <w:rFonts w:asciiTheme="minorHAnsi" w:hAnsiTheme="minorHAnsi" w:cstheme="minorHAnsi"/>
          <w:bCs/>
          <w:lang w:val="en-GB"/>
        </w:rPr>
        <w:t>;</w:t>
      </w:r>
    </w:p>
    <w:p w14:paraId="210424E6" w14:textId="77777777" w:rsidR="00BB4099" w:rsidRPr="00317646" w:rsidRDefault="00BB4099" w:rsidP="003555B4">
      <w:pPr>
        <w:pStyle w:val="textenumeration"/>
        <w:numPr>
          <w:ilvl w:val="1"/>
          <w:numId w:val="15"/>
        </w:numPr>
        <w:rPr>
          <w:rFonts w:asciiTheme="minorHAnsi" w:hAnsiTheme="minorHAnsi" w:cstheme="minorHAnsi"/>
          <w:bCs/>
          <w:lang w:val="en-GB"/>
        </w:rPr>
      </w:pPr>
      <w:r w:rsidRPr="00317646">
        <w:rPr>
          <w:rFonts w:asciiTheme="minorHAnsi" w:hAnsiTheme="minorHAnsi" w:cstheme="minorHAnsi"/>
          <w:bCs/>
          <w:lang w:val="en-GB"/>
        </w:rPr>
        <w:t>Linked in time</w:t>
      </w:r>
      <w:r w:rsidR="00612380" w:rsidRPr="00317646">
        <w:rPr>
          <w:rFonts w:asciiTheme="minorHAnsi" w:hAnsiTheme="minorHAnsi" w:cstheme="minorHAnsi"/>
          <w:bCs/>
          <w:lang w:val="en-GB"/>
        </w:rPr>
        <w:t>;</w:t>
      </w:r>
    </w:p>
    <w:p w14:paraId="370856DC" w14:textId="77777777" w:rsidR="00384082" w:rsidRPr="00317646" w:rsidRDefault="00384082" w:rsidP="003555B4">
      <w:pPr>
        <w:pStyle w:val="textenumeration"/>
        <w:numPr>
          <w:ilvl w:val="0"/>
          <w:numId w:val="15"/>
        </w:numPr>
        <w:rPr>
          <w:lang w:val="en-GB" w:eastAsia="en-US"/>
        </w:rPr>
      </w:pPr>
      <w:r w:rsidRPr="00317646">
        <w:rPr>
          <w:lang w:val="en-GB" w:eastAsia="en-US"/>
        </w:rPr>
        <w:t xml:space="preserve">The connecting TSO shall submit the </w:t>
      </w:r>
      <w:r w:rsidR="003D0DCC" w:rsidRPr="00317646">
        <w:rPr>
          <w:lang w:val="en-GB" w:eastAsia="en-US"/>
        </w:rPr>
        <w:t>B</w:t>
      </w:r>
      <w:r w:rsidRPr="00317646">
        <w:rPr>
          <w:lang w:val="en-GB" w:eastAsia="en-US"/>
        </w:rPr>
        <w:t>ids to the common merit order list</w:t>
      </w:r>
      <w:r w:rsidR="00580B45">
        <w:rPr>
          <w:lang w:val="en-GB" w:eastAsia="en-US"/>
        </w:rPr>
        <w:t>s</w:t>
      </w:r>
      <w:r w:rsidRPr="00317646">
        <w:rPr>
          <w:lang w:val="en-GB" w:eastAsia="en-US"/>
        </w:rPr>
        <w:t>.</w:t>
      </w:r>
    </w:p>
    <w:p w14:paraId="55F8FE74" w14:textId="77777777" w:rsidR="00FC2FA3" w:rsidRPr="00317646" w:rsidRDefault="00FC2FA3" w:rsidP="003555B4">
      <w:pPr>
        <w:pStyle w:val="textenumeration"/>
        <w:numPr>
          <w:ilvl w:val="0"/>
          <w:numId w:val="15"/>
        </w:numPr>
        <w:rPr>
          <w:lang w:val="en-GB" w:eastAsia="en-US"/>
        </w:rPr>
      </w:pPr>
      <w:r w:rsidRPr="00317646">
        <w:rPr>
          <w:lang w:val="en-GB" w:eastAsia="en-US"/>
        </w:rPr>
        <w:t>The common merit order list</w:t>
      </w:r>
      <w:r w:rsidR="00580B45">
        <w:rPr>
          <w:lang w:val="en-GB" w:eastAsia="en-US"/>
        </w:rPr>
        <w:t>s</w:t>
      </w:r>
      <w:r w:rsidRPr="00317646">
        <w:rPr>
          <w:lang w:val="en-GB" w:eastAsia="en-US"/>
        </w:rPr>
        <w:t xml:space="preserve"> shall </w:t>
      </w:r>
      <w:r w:rsidR="00C45AE9">
        <w:rPr>
          <w:lang w:val="en-GB" w:eastAsia="en-US"/>
        </w:rPr>
        <w:t>comprise</w:t>
      </w:r>
      <w:r w:rsidR="00C45AE9" w:rsidRPr="00317646">
        <w:rPr>
          <w:lang w:val="en-GB" w:eastAsia="en-US"/>
        </w:rPr>
        <w:t xml:space="preserve"> </w:t>
      </w:r>
      <w:r w:rsidR="009039FA" w:rsidRPr="00317646">
        <w:rPr>
          <w:lang w:val="en-GB" w:eastAsia="en-US"/>
        </w:rPr>
        <w:t>of</w:t>
      </w:r>
      <w:r w:rsidRPr="00317646">
        <w:rPr>
          <w:lang w:val="en-GB" w:eastAsia="en-US"/>
        </w:rPr>
        <w:t xml:space="preserve"> two </w:t>
      </w:r>
      <w:r w:rsidR="00C45AE9">
        <w:rPr>
          <w:lang w:val="en-GB" w:eastAsia="en-US"/>
        </w:rPr>
        <w:t xml:space="preserve">common </w:t>
      </w:r>
      <w:r w:rsidRPr="00317646">
        <w:rPr>
          <w:lang w:val="en-GB" w:eastAsia="en-US"/>
        </w:rPr>
        <w:t xml:space="preserve">merit order lists that shall contain all involved </w:t>
      </w:r>
      <w:r w:rsidR="00A616BA" w:rsidRPr="00317646">
        <w:rPr>
          <w:lang w:val="en-GB" w:eastAsia="en-US"/>
        </w:rPr>
        <w:t>Bids</w:t>
      </w:r>
      <w:r w:rsidRPr="00317646">
        <w:rPr>
          <w:lang w:val="en-GB" w:eastAsia="en-US"/>
        </w:rPr>
        <w:t xml:space="preserve"> and all the</w:t>
      </w:r>
      <w:r w:rsidR="000B1C34" w:rsidRPr="00317646">
        <w:rPr>
          <w:lang w:val="en-GB" w:eastAsia="en-US"/>
        </w:rPr>
        <w:t xml:space="preserve"> RR balancing energy</w:t>
      </w:r>
      <w:r w:rsidRPr="00317646">
        <w:rPr>
          <w:lang w:val="en-GB" w:eastAsia="en-US"/>
        </w:rPr>
        <w:t xml:space="preserve"> needs submitted by the TSOs</w:t>
      </w:r>
      <w:r w:rsidR="002019DF" w:rsidRPr="00317646">
        <w:rPr>
          <w:lang w:val="en-GB" w:eastAsia="en-US"/>
        </w:rPr>
        <w:t>:</w:t>
      </w:r>
    </w:p>
    <w:p w14:paraId="4C467B63" w14:textId="77777777" w:rsidR="00FC2FA3" w:rsidRPr="00317646" w:rsidRDefault="002019DF" w:rsidP="003555B4">
      <w:pPr>
        <w:pStyle w:val="textenumeration"/>
        <w:numPr>
          <w:ilvl w:val="1"/>
          <w:numId w:val="15"/>
        </w:numPr>
        <w:rPr>
          <w:lang w:val="en-GB" w:eastAsia="en-US"/>
        </w:rPr>
      </w:pPr>
      <w:r w:rsidRPr="00317646">
        <w:rPr>
          <w:lang w:val="en-GB" w:eastAsia="en-US"/>
        </w:rPr>
        <w:t>First</w:t>
      </w:r>
      <w:r w:rsidR="00FC2FA3" w:rsidRPr="00317646">
        <w:rPr>
          <w:lang w:val="en-GB" w:eastAsia="en-US"/>
        </w:rPr>
        <w:t xml:space="preserve"> merit order list</w:t>
      </w:r>
      <w:r w:rsidR="00580B45">
        <w:rPr>
          <w:lang w:val="en-GB" w:eastAsia="en-US"/>
        </w:rPr>
        <w:t>s</w:t>
      </w:r>
      <w:r w:rsidR="00FC2FA3" w:rsidRPr="00317646">
        <w:rPr>
          <w:lang w:val="en-GB" w:eastAsia="en-US"/>
        </w:rPr>
        <w:t xml:space="preserve"> shall include upward </w:t>
      </w:r>
      <w:r w:rsidR="00A342AF" w:rsidRPr="00317646">
        <w:rPr>
          <w:lang w:val="en-GB" w:eastAsia="en-US"/>
        </w:rPr>
        <w:t>B</w:t>
      </w:r>
      <w:r w:rsidR="00FC2FA3" w:rsidRPr="00317646">
        <w:rPr>
          <w:lang w:val="en-GB" w:eastAsia="en-US"/>
        </w:rPr>
        <w:t xml:space="preserve">ids and downward </w:t>
      </w:r>
      <w:r w:rsidR="00164BB6" w:rsidRPr="00317646">
        <w:rPr>
          <w:lang w:val="en-GB" w:eastAsia="en-US"/>
        </w:rPr>
        <w:t xml:space="preserve">RR balancing energy </w:t>
      </w:r>
      <w:r w:rsidR="00FC2FA3" w:rsidRPr="00317646">
        <w:rPr>
          <w:lang w:val="en-GB" w:eastAsia="en-US"/>
        </w:rPr>
        <w:t>needs sorted in ascending order of price</w:t>
      </w:r>
      <w:r w:rsidR="002C591D" w:rsidRPr="00317646">
        <w:rPr>
          <w:lang w:val="en-GB" w:eastAsia="en-US"/>
        </w:rPr>
        <w:t>;</w:t>
      </w:r>
      <w:r w:rsidR="001C1AED">
        <w:rPr>
          <w:lang w:val="en-GB" w:eastAsia="en-US"/>
        </w:rPr>
        <w:t xml:space="preserve"> </w:t>
      </w:r>
    </w:p>
    <w:p w14:paraId="46F8573C" w14:textId="77777777" w:rsidR="00FC2FA3" w:rsidRPr="00317646" w:rsidRDefault="002019DF" w:rsidP="003555B4">
      <w:pPr>
        <w:pStyle w:val="textenumeration"/>
        <w:numPr>
          <w:ilvl w:val="1"/>
          <w:numId w:val="15"/>
        </w:numPr>
        <w:rPr>
          <w:lang w:val="en-GB" w:eastAsia="en-US"/>
        </w:rPr>
      </w:pPr>
      <w:r w:rsidRPr="00317646">
        <w:rPr>
          <w:lang w:val="en-GB" w:eastAsia="en-US"/>
        </w:rPr>
        <w:t>Second</w:t>
      </w:r>
      <w:r w:rsidR="00FC2FA3" w:rsidRPr="00317646">
        <w:rPr>
          <w:lang w:val="en-GB" w:eastAsia="en-US"/>
        </w:rPr>
        <w:t xml:space="preserve"> merit order list</w:t>
      </w:r>
      <w:r w:rsidR="00580B45">
        <w:rPr>
          <w:lang w:val="en-GB" w:eastAsia="en-US"/>
        </w:rPr>
        <w:t>s</w:t>
      </w:r>
      <w:r w:rsidR="00FC2FA3" w:rsidRPr="00317646">
        <w:rPr>
          <w:lang w:val="en-GB" w:eastAsia="en-US"/>
        </w:rPr>
        <w:t xml:space="preserve"> shall include downward </w:t>
      </w:r>
      <w:r w:rsidR="00A342AF" w:rsidRPr="00317646">
        <w:rPr>
          <w:lang w:val="en-GB" w:eastAsia="en-US"/>
        </w:rPr>
        <w:t>B</w:t>
      </w:r>
      <w:r w:rsidR="00FC2FA3" w:rsidRPr="00317646">
        <w:rPr>
          <w:lang w:val="en-GB" w:eastAsia="en-US"/>
        </w:rPr>
        <w:t>ids and upward</w:t>
      </w:r>
      <w:r w:rsidR="00164BB6" w:rsidRPr="00317646">
        <w:rPr>
          <w:lang w:val="en-GB" w:eastAsia="en-US"/>
        </w:rPr>
        <w:t xml:space="preserve"> RR balancing energy</w:t>
      </w:r>
      <w:r w:rsidR="00FC2FA3" w:rsidRPr="00317646">
        <w:rPr>
          <w:lang w:val="en-GB" w:eastAsia="en-US"/>
        </w:rPr>
        <w:t xml:space="preserve"> needs sort</w:t>
      </w:r>
      <w:r w:rsidR="002C591D" w:rsidRPr="00317646">
        <w:rPr>
          <w:lang w:val="en-GB" w:eastAsia="en-US"/>
        </w:rPr>
        <w:t>ed in descending order of price.</w:t>
      </w:r>
    </w:p>
    <w:p w14:paraId="40378392" w14:textId="77777777" w:rsidR="003977E9" w:rsidRPr="00317646" w:rsidRDefault="00FC2FA3" w:rsidP="00FC2FA3">
      <w:pPr>
        <w:pStyle w:val="textenumeration"/>
        <w:rPr>
          <w:lang w:val="en-GB" w:eastAsia="en-US"/>
        </w:rPr>
      </w:pPr>
      <w:r w:rsidRPr="00317646">
        <w:rPr>
          <w:lang w:val="en-GB" w:eastAsia="en-US"/>
        </w:rPr>
        <w:lastRenderedPageBreak/>
        <w:t xml:space="preserve"> </w:t>
      </w:r>
    </w:p>
    <w:p w14:paraId="2CBF4BA9" w14:textId="77777777" w:rsidR="00476F93" w:rsidRPr="00317646" w:rsidRDefault="00476F93" w:rsidP="00476F93">
      <w:pPr>
        <w:spacing w:after="120" w:line="260" w:lineRule="exact"/>
        <w:jc w:val="center"/>
        <w:outlineLvl w:val="1"/>
        <w:rPr>
          <w:rFonts w:ascii="Times New Roman" w:hAnsi="Times New Roman" w:cs="Arial"/>
          <w:b/>
          <w:color w:val="23236E"/>
          <w:sz w:val="24"/>
          <w:lang w:val="en-GB" w:eastAsia="en-US"/>
        </w:rPr>
      </w:pPr>
      <w:bookmarkStart w:id="47" w:name="_Toc51082157"/>
      <w:bookmarkStart w:id="48" w:name="_Toc413748339"/>
      <w:r w:rsidRPr="00317646">
        <w:rPr>
          <w:rFonts w:ascii="Times New Roman" w:hAnsi="Times New Roman" w:cs="Arial"/>
          <w:b/>
          <w:color w:val="23236E"/>
          <w:sz w:val="24"/>
          <w:lang w:val="en-GB" w:eastAsia="en-US"/>
        </w:rPr>
        <w:t>Article 1</w:t>
      </w:r>
      <w:r w:rsidR="001A5ACF" w:rsidRPr="00317646">
        <w:rPr>
          <w:rFonts w:ascii="Times New Roman" w:hAnsi="Times New Roman" w:cs="Arial"/>
          <w:b/>
          <w:color w:val="23236E"/>
          <w:sz w:val="24"/>
          <w:lang w:val="en-GB" w:eastAsia="en-US"/>
        </w:rPr>
        <w:t>0</w:t>
      </w:r>
      <w:r w:rsidRPr="00317646">
        <w:rPr>
          <w:rFonts w:ascii="Times New Roman" w:hAnsi="Times New Roman" w:cs="Arial"/>
          <w:b/>
          <w:color w:val="23236E"/>
          <w:sz w:val="24"/>
          <w:lang w:val="en-GB" w:eastAsia="en-US"/>
        </w:rPr>
        <w:br/>
      </w:r>
      <w:bookmarkStart w:id="49" w:name="_Hlk502929127"/>
      <w:r w:rsidRPr="00317646">
        <w:rPr>
          <w:rFonts w:ascii="Times New Roman" w:hAnsi="Times New Roman" w:cs="Arial"/>
          <w:b/>
          <w:color w:val="23236E"/>
          <w:sz w:val="24"/>
          <w:lang w:val="en-GB" w:eastAsia="en-US"/>
        </w:rPr>
        <w:t>Rules for governance and operation of entity operating the platform and</w:t>
      </w:r>
      <w:r w:rsidR="00B71090" w:rsidRPr="00317646">
        <w:rPr>
          <w:rFonts w:ascii="Times New Roman" w:hAnsi="Times New Roman" w:cs="Arial"/>
          <w:b/>
          <w:color w:val="23236E"/>
          <w:sz w:val="24"/>
          <w:lang w:val="en-GB" w:eastAsia="en-US"/>
        </w:rPr>
        <w:t xml:space="preserve"> p</w:t>
      </w:r>
      <w:r w:rsidRPr="00317646">
        <w:rPr>
          <w:rFonts w:ascii="Times New Roman" w:hAnsi="Times New Roman" w:cs="Arial"/>
          <w:b/>
          <w:color w:val="23236E"/>
          <w:sz w:val="24"/>
          <w:lang w:val="en-GB" w:eastAsia="en-US"/>
        </w:rPr>
        <w:t xml:space="preserve">roposed </w:t>
      </w:r>
      <w:r w:rsidR="007B58A8" w:rsidRPr="00317646">
        <w:rPr>
          <w:rFonts w:ascii="Times New Roman" w:hAnsi="Times New Roman" w:cs="Arial"/>
          <w:b/>
          <w:color w:val="23236E"/>
          <w:sz w:val="24"/>
          <w:lang w:val="en-GB" w:eastAsia="en-US"/>
        </w:rPr>
        <w:t xml:space="preserve">appointed </w:t>
      </w:r>
      <w:r w:rsidRPr="00317646">
        <w:rPr>
          <w:rFonts w:ascii="Times New Roman" w:hAnsi="Times New Roman" w:cs="Arial"/>
          <w:b/>
          <w:color w:val="23236E"/>
          <w:sz w:val="24"/>
          <w:lang w:val="en-GB" w:eastAsia="en-US"/>
        </w:rPr>
        <w:t>entity</w:t>
      </w:r>
      <w:bookmarkEnd w:id="47"/>
      <w:bookmarkEnd w:id="49"/>
    </w:p>
    <w:p w14:paraId="72899E9B" w14:textId="7ECAE4C8" w:rsidR="00652CB8" w:rsidRPr="00BD2A66" w:rsidRDefault="001C7772" w:rsidP="00003BED">
      <w:pPr>
        <w:pStyle w:val="textenumeration"/>
        <w:rPr>
          <w:lang w:val="en-GB" w:eastAsia="en-US"/>
        </w:rPr>
      </w:pPr>
      <w:r w:rsidRPr="00317646">
        <w:rPr>
          <w:lang w:val="en-GB" w:eastAsia="en-US"/>
        </w:rPr>
        <w:t xml:space="preserve">RR TSOs </w:t>
      </w:r>
      <w:r w:rsidR="00E32A19">
        <w:rPr>
          <w:lang w:val="en-GB" w:eastAsia="en-US"/>
        </w:rPr>
        <w:t>shall</w:t>
      </w:r>
      <w:r w:rsidR="000D5038">
        <w:rPr>
          <w:lang w:val="en-GB" w:eastAsia="en-US"/>
        </w:rPr>
        <w:t xml:space="preserve"> appoint the entities that operate the RR Platform as further described in the designation letter </w:t>
      </w:r>
      <w:r w:rsidR="009F58D2">
        <w:rPr>
          <w:lang w:val="en-GB" w:eastAsia="en-US"/>
        </w:rPr>
        <w:t>in the annex</w:t>
      </w:r>
      <w:r w:rsidR="000D5038">
        <w:rPr>
          <w:lang w:val="en-GB" w:eastAsia="en-US"/>
        </w:rPr>
        <w:t xml:space="preserve">. </w:t>
      </w:r>
    </w:p>
    <w:p w14:paraId="5F441921" w14:textId="77777777" w:rsidR="00CF2EEB" w:rsidRPr="00317646" w:rsidRDefault="00CF2EEB" w:rsidP="00003BED">
      <w:pPr>
        <w:pStyle w:val="textenumeration"/>
        <w:rPr>
          <w:lang w:val="en-GB" w:eastAsia="en-US"/>
        </w:rPr>
      </w:pPr>
    </w:p>
    <w:p w14:paraId="5284FEDF" w14:textId="77777777" w:rsidR="00FE0C1A" w:rsidRPr="00317646" w:rsidRDefault="00FE0C1A" w:rsidP="00FE0C1A">
      <w:pPr>
        <w:spacing w:after="120" w:line="260" w:lineRule="exact"/>
        <w:jc w:val="center"/>
        <w:outlineLvl w:val="1"/>
        <w:rPr>
          <w:rFonts w:ascii="Times New Roman" w:hAnsi="Times New Roman" w:cs="Arial"/>
          <w:b/>
          <w:color w:val="23236E"/>
          <w:sz w:val="24"/>
          <w:lang w:val="en-GB" w:eastAsia="en-US"/>
        </w:rPr>
      </w:pPr>
      <w:bookmarkStart w:id="50" w:name="_Toc51082158"/>
      <w:r w:rsidRPr="00317646">
        <w:rPr>
          <w:rFonts w:ascii="Times New Roman" w:hAnsi="Times New Roman" w:cs="Arial"/>
          <w:b/>
          <w:color w:val="23236E"/>
          <w:sz w:val="24"/>
          <w:lang w:val="en-GB" w:eastAsia="en-US"/>
        </w:rPr>
        <w:t>Article 11</w:t>
      </w:r>
      <w:r w:rsidRPr="00317646">
        <w:rPr>
          <w:rFonts w:ascii="Times New Roman" w:hAnsi="Times New Roman" w:cs="Arial"/>
          <w:b/>
          <w:color w:val="23236E"/>
          <w:sz w:val="24"/>
          <w:lang w:val="en-GB" w:eastAsia="en-US"/>
        </w:rPr>
        <w:br/>
        <w:t>Framework for harmonization of terms and conditions</w:t>
      </w:r>
      <w:bookmarkEnd w:id="50"/>
    </w:p>
    <w:p w14:paraId="5332A2D4" w14:textId="77777777" w:rsidR="00B839F2" w:rsidRPr="00317646" w:rsidRDefault="00B839F2" w:rsidP="003555B4">
      <w:pPr>
        <w:pStyle w:val="textenumeration"/>
        <w:numPr>
          <w:ilvl w:val="0"/>
          <w:numId w:val="24"/>
        </w:numPr>
        <w:rPr>
          <w:lang w:val="en-GB" w:eastAsia="en-US"/>
        </w:rPr>
      </w:pPr>
      <w:r w:rsidRPr="00317646">
        <w:rPr>
          <w:rFonts w:eastAsia="DengXian"/>
          <w:lang w:val="en-GB"/>
        </w:rPr>
        <w:t xml:space="preserve">The main purpose of </w:t>
      </w:r>
      <w:r w:rsidR="00547B2A" w:rsidRPr="00317646">
        <w:rPr>
          <w:rFonts w:eastAsia="DengXian"/>
          <w:lang w:val="en-GB"/>
        </w:rPr>
        <w:t>EBGL</w:t>
      </w:r>
      <w:r w:rsidRPr="00317646">
        <w:rPr>
          <w:rFonts w:eastAsia="DengXian"/>
          <w:lang w:val="en-GB"/>
        </w:rPr>
        <w:t xml:space="preserve"> is to integrate the markets for balancing services, and by doing so enhance the efficiency of the European balancing system. This requires a certain level of harmonization in both technical requirements and market rules.</w:t>
      </w:r>
      <w:r w:rsidR="009E5845" w:rsidRPr="00317646">
        <w:rPr>
          <w:rFonts w:eastAsia="DengXian"/>
          <w:lang w:val="en-GB"/>
        </w:rPr>
        <w:t xml:space="preserve"> </w:t>
      </w:r>
      <w:r w:rsidR="009E5845" w:rsidRPr="00317646">
        <w:rPr>
          <w:lang w:val="en-GB"/>
        </w:rPr>
        <w:t>The framework for harmonisation shall take into account differences between TSOs applying a central and self-dispatching model.</w:t>
      </w:r>
    </w:p>
    <w:p w14:paraId="589D757B" w14:textId="77777777" w:rsidR="0071555E" w:rsidRPr="00B448E7" w:rsidRDefault="009A5A20" w:rsidP="003555B4">
      <w:pPr>
        <w:pStyle w:val="textenumeration"/>
        <w:numPr>
          <w:ilvl w:val="0"/>
          <w:numId w:val="24"/>
        </w:numPr>
        <w:rPr>
          <w:lang w:val="en-GB" w:eastAsia="en-US"/>
        </w:rPr>
      </w:pPr>
      <w:r w:rsidRPr="003B7940">
        <w:rPr>
          <w:lang w:val="en-GB"/>
        </w:rPr>
        <w:t>In order to be able to balance and secure their system at optimum costs all RR TSOs shall determine</w:t>
      </w:r>
      <w:r w:rsidRPr="003B7940">
        <w:rPr>
          <w:lang w:val="en-GB" w:eastAsia="en-US"/>
        </w:rPr>
        <w:t xml:space="preserve"> the RR balancing energy need based on the </w:t>
      </w:r>
      <w:r w:rsidRPr="003B7940">
        <w:rPr>
          <w:lang w:val="en-GB"/>
        </w:rPr>
        <w:t>forecasts and expectation of the electrical systems situation and</w:t>
      </w:r>
      <w:r w:rsidRPr="003B7940">
        <w:rPr>
          <w:lang w:val="en-GB" w:eastAsia="en-US"/>
        </w:rPr>
        <w:t xml:space="preserve"> on recovering the</w:t>
      </w:r>
      <w:r w:rsidR="001C1AED" w:rsidRPr="003B7940">
        <w:rPr>
          <w:lang w:val="en-GB" w:eastAsia="en-US"/>
        </w:rPr>
        <w:t xml:space="preserve"> Frequency Restoration Reserve.</w:t>
      </w:r>
    </w:p>
    <w:p w14:paraId="2BB0E10D" w14:textId="77777777" w:rsidR="00BB2081" w:rsidRPr="00317646" w:rsidRDefault="00A8268E" w:rsidP="00BB2081">
      <w:pPr>
        <w:pStyle w:val="textenumeration"/>
        <w:rPr>
          <w:lang w:val="en-GB" w:eastAsia="en-US"/>
        </w:rPr>
      </w:pPr>
      <w:r w:rsidRPr="00317646">
        <w:rPr>
          <w:lang w:val="en-GB" w:eastAsia="en-US"/>
        </w:rPr>
        <w:t>The RR balancing energy need</w:t>
      </w:r>
      <w:r w:rsidR="00402087" w:rsidRPr="00317646">
        <w:rPr>
          <w:lang w:val="en-GB" w:eastAsia="en-US"/>
        </w:rPr>
        <w:t xml:space="preserve"> </w:t>
      </w:r>
      <w:r w:rsidRPr="00317646">
        <w:rPr>
          <w:lang w:val="en-GB" w:eastAsia="en-US"/>
        </w:rPr>
        <w:t>submitted by the TSOs</w:t>
      </w:r>
      <w:r w:rsidR="003A7924" w:rsidRPr="00317646">
        <w:rPr>
          <w:lang w:val="en-GB" w:eastAsia="en-US"/>
        </w:rPr>
        <w:t xml:space="preserve"> to the RR-Platform</w:t>
      </w:r>
      <w:r w:rsidRPr="00317646">
        <w:rPr>
          <w:lang w:val="en-GB" w:eastAsia="en-US"/>
        </w:rPr>
        <w:t xml:space="preserve"> has</w:t>
      </w:r>
      <w:r w:rsidR="00BB2081" w:rsidRPr="00317646">
        <w:rPr>
          <w:lang w:val="en-GB" w:eastAsia="en-US"/>
        </w:rPr>
        <w:t xml:space="preserve"> several characteristics.</w:t>
      </w:r>
    </w:p>
    <w:p w14:paraId="3BB682BE" w14:textId="77777777" w:rsidR="00684A47" w:rsidRPr="00317646" w:rsidRDefault="00107946" w:rsidP="00684A47">
      <w:pPr>
        <w:pStyle w:val="textenumeration"/>
        <w:rPr>
          <w:lang w:val="en-GB" w:eastAsia="en-US"/>
        </w:rPr>
      </w:pPr>
      <w:r w:rsidRPr="00317646">
        <w:rPr>
          <w:lang w:val="en-GB" w:eastAsia="en-US"/>
        </w:rPr>
        <w:t>The f</w:t>
      </w:r>
      <w:r w:rsidR="00684A47" w:rsidRPr="00317646">
        <w:rPr>
          <w:lang w:val="en-GB" w:eastAsia="en-US"/>
        </w:rPr>
        <w:t xml:space="preserve">ollowing table contains the main characteristics of the </w:t>
      </w:r>
      <w:r w:rsidR="0022745F" w:rsidRPr="00317646">
        <w:rPr>
          <w:lang w:val="en-GB" w:eastAsia="en-US"/>
        </w:rPr>
        <w:t>RR balancing energy need</w:t>
      </w:r>
      <w:r w:rsidR="00684A47" w:rsidRPr="00317646">
        <w:rPr>
          <w:lang w:val="en-GB" w:eastAsia="en-US"/>
        </w:rPr>
        <w:t>:</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34"/>
        <w:gridCol w:w="1335"/>
        <w:gridCol w:w="6146"/>
      </w:tblGrid>
      <w:tr w:rsidR="00B839F2" w:rsidRPr="00317646" w14:paraId="11C5E8F7" w14:textId="77777777" w:rsidTr="009C1302">
        <w:trPr>
          <w:trHeight w:val="310"/>
          <w:jc w:val="center"/>
        </w:trPr>
        <w:tc>
          <w:tcPr>
            <w:tcW w:w="2669" w:type="dxa"/>
            <w:gridSpan w:val="2"/>
            <w:noWrap/>
            <w:vAlign w:val="center"/>
          </w:tcPr>
          <w:p w14:paraId="63C296C0"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Minimum volume size</w:t>
            </w:r>
          </w:p>
        </w:tc>
        <w:tc>
          <w:tcPr>
            <w:tcW w:w="6146" w:type="dxa"/>
            <w:noWrap/>
            <w:vAlign w:val="center"/>
          </w:tcPr>
          <w:p w14:paraId="3B1E3AE3"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 xml:space="preserve">1 MW </w:t>
            </w:r>
          </w:p>
        </w:tc>
      </w:tr>
      <w:tr w:rsidR="00B839F2" w:rsidRPr="00317646" w14:paraId="47DB2954" w14:textId="77777777" w:rsidTr="009C1302">
        <w:trPr>
          <w:trHeight w:val="310"/>
          <w:jc w:val="center"/>
        </w:trPr>
        <w:tc>
          <w:tcPr>
            <w:tcW w:w="2669" w:type="dxa"/>
            <w:gridSpan w:val="2"/>
            <w:noWrap/>
            <w:vAlign w:val="center"/>
          </w:tcPr>
          <w:p w14:paraId="7086FEAE" w14:textId="77777777" w:rsidR="00B839F2" w:rsidRPr="00317646" w:rsidRDefault="00B839F2" w:rsidP="00B839F2">
            <w:pPr>
              <w:jc w:val="center"/>
              <w:rPr>
                <w:rFonts w:ascii="Times New Roman" w:hAnsi="Times New Roman"/>
                <w:lang w:val="en-GB"/>
              </w:rPr>
            </w:pPr>
            <w:r w:rsidRPr="00317646">
              <w:rPr>
                <w:rFonts w:ascii="Times New Roman" w:hAnsi="Times New Roman"/>
                <w:szCs w:val="22"/>
                <w:lang w:val="en-GB"/>
              </w:rPr>
              <w:t>Maximum volume size</w:t>
            </w:r>
          </w:p>
        </w:tc>
        <w:tc>
          <w:tcPr>
            <w:tcW w:w="6146" w:type="dxa"/>
            <w:noWrap/>
            <w:vAlign w:val="center"/>
          </w:tcPr>
          <w:p w14:paraId="05E546D6" w14:textId="77777777" w:rsidR="00D005CA" w:rsidRPr="00317646" w:rsidRDefault="00D005CA" w:rsidP="007517BE">
            <w:pPr>
              <w:rPr>
                <w:rFonts w:ascii="Times New Roman" w:hAnsi="Times New Roman"/>
                <w:lang w:val="en-GB"/>
              </w:rPr>
            </w:pPr>
            <w:r w:rsidRPr="001C1AED">
              <w:rPr>
                <w:rFonts w:ascii="Times New Roman" w:hAnsi="Times New Roman"/>
                <w:szCs w:val="22"/>
                <w:lang w:val="en-GB"/>
              </w:rPr>
              <w:t xml:space="preserve">The maximum size of the RR balancing energy need submitted by the TSO for its </w:t>
            </w:r>
            <w:r w:rsidR="007517BE">
              <w:rPr>
                <w:rFonts w:ascii="Times New Roman" w:hAnsi="Times New Roman"/>
                <w:szCs w:val="22"/>
                <w:lang w:val="en-GB"/>
              </w:rPr>
              <w:t>LFC</w:t>
            </w:r>
            <w:r w:rsidR="007517BE" w:rsidRPr="001C1AED">
              <w:rPr>
                <w:rFonts w:ascii="Times New Roman" w:hAnsi="Times New Roman"/>
                <w:szCs w:val="22"/>
                <w:lang w:val="en-GB"/>
              </w:rPr>
              <w:t xml:space="preserve"> </w:t>
            </w:r>
            <w:r w:rsidRPr="001C1AED">
              <w:rPr>
                <w:rFonts w:ascii="Times New Roman" w:hAnsi="Times New Roman"/>
                <w:szCs w:val="22"/>
                <w:lang w:val="en-GB"/>
              </w:rPr>
              <w:t xml:space="preserve">area should be less or equal to the sum of the shared </w:t>
            </w:r>
            <w:r w:rsidR="00BF283A">
              <w:rPr>
                <w:rFonts w:ascii="Times New Roman" w:hAnsi="Times New Roman"/>
                <w:szCs w:val="22"/>
                <w:lang w:val="en-GB"/>
              </w:rPr>
              <w:t>Bids</w:t>
            </w:r>
            <w:r w:rsidR="00BF283A" w:rsidRPr="001C1AED">
              <w:rPr>
                <w:rFonts w:ascii="Times New Roman" w:hAnsi="Times New Roman"/>
                <w:szCs w:val="22"/>
                <w:lang w:val="en-GB"/>
              </w:rPr>
              <w:t xml:space="preserve"> </w:t>
            </w:r>
            <w:r w:rsidRPr="001C1AED">
              <w:rPr>
                <w:rFonts w:ascii="Times New Roman" w:hAnsi="Times New Roman"/>
                <w:szCs w:val="22"/>
                <w:lang w:val="en-GB"/>
              </w:rPr>
              <w:t xml:space="preserve">made in the same direction. In case of system or network security is endangered, a TSO can notify the system which </w:t>
            </w:r>
            <w:r w:rsidR="00680699" w:rsidRPr="00460364">
              <w:rPr>
                <w:rFonts w:ascii="Times New Roman" w:hAnsi="Times New Roman"/>
                <w:szCs w:val="22"/>
                <w:lang w:val="en-GB"/>
              </w:rPr>
              <w:t>can</w:t>
            </w:r>
            <w:r w:rsidR="00680699" w:rsidRPr="001C1AED">
              <w:rPr>
                <w:rFonts w:ascii="Times New Roman" w:hAnsi="Times New Roman"/>
                <w:szCs w:val="22"/>
                <w:lang w:val="en-GB"/>
              </w:rPr>
              <w:t xml:space="preserve"> </w:t>
            </w:r>
            <w:r w:rsidRPr="001C1AED">
              <w:rPr>
                <w:rFonts w:ascii="Times New Roman" w:hAnsi="Times New Roman"/>
                <w:szCs w:val="22"/>
                <w:lang w:val="en-GB"/>
              </w:rPr>
              <w:t>apply an exemption to this rule</w:t>
            </w:r>
          </w:p>
        </w:tc>
      </w:tr>
      <w:tr w:rsidR="00B839F2" w:rsidRPr="00317646" w14:paraId="2147A0EE" w14:textId="77777777" w:rsidTr="009C1302">
        <w:trPr>
          <w:trHeight w:val="310"/>
          <w:jc w:val="center"/>
        </w:trPr>
        <w:tc>
          <w:tcPr>
            <w:tcW w:w="2669" w:type="dxa"/>
            <w:gridSpan w:val="2"/>
            <w:noWrap/>
            <w:vAlign w:val="center"/>
          </w:tcPr>
          <w:p w14:paraId="3DCD4E16"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Minimum delivery period</w:t>
            </w:r>
          </w:p>
        </w:tc>
        <w:tc>
          <w:tcPr>
            <w:tcW w:w="6146" w:type="dxa"/>
            <w:noWrap/>
            <w:vAlign w:val="center"/>
          </w:tcPr>
          <w:p w14:paraId="08398247"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15 min</w:t>
            </w:r>
          </w:p>
        </w:tc>
      </w:tr>
      <w:tr w:rsidR="00B839F2" w:rsidRPr="00317646" w14:paraId="0F3D7454" w14:textId="77777777" w:rsidTr="009C1302">
        <w:trPr>
          <w:trHeight w:val="310"/>
          <w:jc w:val="center"/>
        </w:trPr>
        <w:tc>
          <w:tcPr>
            <w:tcW w:w="2669" w:type="dxa"/>
            <w:gridSpan w:val="2"/>
            <w:noWrap/>
            <w:vAlign w:val="center"/>
          </w:tcPr>
          <w:p w14:paraId="53F59AB5"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Max delivery period</w:t>
            </w:r>
          </w:p>
        </w:tc>
        <w:tc>
          <w:tcPr>
            <w:tcW w:w="6146" w:type="dxa"/>
            <w:noWrap/>
            <w:vAlign w:val="center"/>
          </w:tcPr>
          <w:p w14:paraId="103D0034"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60 min</w:t>
            </w:r>
          </w:p>
        </w:tc>
      </w:tr>
      <w:tr w:rsidR="00B839F2" w:rsidRPr="00317646" w14:paraId="02A22845" w14:textId="77777777" w:rsidTr="009C1302">
        <w:trPr>
          <w:trHeight w:val="310"/>
          <w:jc w:val="center"/>
        </w:trPr>
        <w:tc>
          <w:tcPr>
            <w:tcW w:w="2669" w:type="dxa"/>
            <w:gridSpan w:val="2"/>
            <w:noWrap/>
            <w:vAlign w:val="center"/>
          </w:tcPr>
          <w:p w14:paraId="43A47F26"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Location</w:t>
            </w:r>
          </w:p>
        </w:tc>
        <w:tc>
          <w:tcPr>
            <w:tcW w:w="6146" w:type="dxa"/>
            <w:noWrap/>
            <w:vAlign w:val="center"/>
          </w:tcPr>
          <w:p w14:paraId="18AEBD55" w14:textId="77777777" w:rsidR="00B839F2" w:rsidRPr="00317646" w:rsidRDefault="00B839F2" w:rsidP="00B839F2">
            <w:pPr>
              <w:adjustRightInd w:val="0"/>
              <w:snapToGrid w:val="0"/>
              <w:spacing w:line="280" w:lineRule="atLeast"/>
              <w:jc w:val="center"/>
              <w:rPr>
                <w:rFonts w:ascii="Times New Roman" w:hAnsi="Times New Roman"/>
                <w:lang w:val="en-GB"/>
              </w:rPr>
            </w:pPr>
            <w:r w:rsidRPr="00317646">
              <w:rPr>
                <w:rFonts w:ascii="Times New Roman" w:hAnsi="Times New Roman"/>
                <w:szCs w:val="22"/>
                <w:lang w:val="en-GB"/>
              </w:rPr>
              <w:t xml:space="preserve">Bidding zones </w:t>
            </w:r>
          </w:p>
        </w:tc>
      </w:tr>
      <w:tr w:rsidR="00B839F2" w:rsidRPr="00317646" w14:paraId="417A41BB" w14:textId="77777777" w:rsidTr="009C1302">
        <w:trPr>
          <w:trHeight w:val="310"/>
          <w:jc w:val="center"/>
        </w:trPr>
        <w:tc>
          <w:tcPr>
            <w:tcW w:w="2669" w:type="dxa"/>
            <w:gridSpan w:val="2"/>
            <w:noWrap/>
            <w:vAlign w:val="center"/>
          </w:tcPr>
          <w:p w14:paraId="21EF8FFF"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Volume resolution</w:t>
            </w:r>
          </w:p>
        </w:tc>
        <w:tc>
          <w:tcPr>
            <w:tcW w:w="6146" w:type="dxa"/>
            <w:noWrap/>
            <w:vAlign w:val="center"/>
          </w:tcPr>
          <w:p w14:paraId="7E73F490" w14:textId="77777777" w:rsidR="00B839F2" w:rsidRPr="00317646" w:rsidRDefault="00B839F2" w:rsidP="00B839F2">
            <w:pPr>
              <w:adjustRightInd w:val="0"/>
              <w:snapToGrid w:val="0"/>
              <w:spacing w:line="280" w:lineRule="atLeast"/>
              <w:jc w:val="center"/>
              <w:rPr>
                <w:rFonts w:ascii="Times New Roman" w:hAnsi="Times New Roman"/>
                <w:lang w:val="en-GB"/>
              </w:rPr>
            </w:pPr>
            <w:r w:rsidRPr="00317646">
              <w:rPr>
                <w:rFonts w:ascii="Times New Roman" w:hAnsi="Times New Roman"/>
                <w:szCs w:val="22"/>
                <w:lang w:val="en-GB"/>
              </w:rPr>
              <w:t>1 MW</w:t>
            </w:r>
          </w:p>
        </w:tc>
      </w:tr>
      <w:tr w:rsidR="00B839F2" w:rsidRPr="00317646" w14:paraId="2A39A942" w14:textId="77777777" w:rsidTr="009C1302">
        <w:trPr>
          <w:trHeight w:val="563"/>
          <w:jc w:val="center"/>
        </w:trPr>
        <w:tc>
          <w:tcPr>
            <w:tcW w:w="1334" w:type="dxa"/>
            <w:vMerge w:val="restart"/>
            <w:noWrap/>
            <w:vAlign w:val="center"/>
          </w:tcPr>
          <w:p w14:paraId="0A3881DF"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Type of need</w:t>
            </w:r>
          </w:p>
        </w:tc>
        <w:tc>
          <w:tcPr>
            <w:tcW w:w="1335" w:type="dxa"/>
            <w:vAlign w:val="center"/>
          </w:tcPr>
          <w:p w14:paraId="34DB00CF" w14:textId="77777777" w:rsidR="00B839F2" w:rsidRPr="00317646" w:rsidRDefault="00B839F2" w:rsidP="00547B2A">
            <w:pPr>
              <w:jc w:val="center"/>
              <w:rPr>
                <w:rFonts w:ascii="Times New Roman" w:hAnsi="Times New Roman"/>
                <w:lang w:val="en-GB"/>
              </w:rPr>
            </w:pPr>
            <w:r w:rsidRPr="00317646">
              <w:rPr>
                <w:rFonts w:ascii="Times New Roman" w:hAnsi="Times New Roman"/>
                <w:lang w:val="en-GB"/>
              </w:rPr>
              <w:t>Elastic</w:t>
            </w:r>
          </w:p>
        </w:tc>
        <w:tc>
          <w:tcPr>
            <w:tcW w:w="6146" w:type="dxa"/>
            <w:shd w:val="clear" w:color="auto" w:fill="auto"/>
            <w:noWrap/>
            <w:vAlign w:val="center"/>
          </w:tcPr>
          <w:p w14:paraId="50BAD2E6" w14:textId="77777777" w:rsidR="00B839F2" w:rsidRPr="00317646" w:rsidRDefault="00B839F2" w:rsidP="00547B2A">
            <w:pPr>
              <w:adjustRightInd w:val="0"/>
              <w:snapToGrid w:val="0"/>
              <w:spacing w:line="280" w:lineRule="atLeast"/>
              <w:jc w:val="center"/>
              <w:rPr>
                <w:rFonts w:ascii="Times New Roman" w:hAnsi="Times New Roman"/>
                <w:lang w:val="en-GB"/>
              </w:rPr>
            </w:pPr>
            <w:r w:rsidRPr="00317646">
              <w:rPr>
                <w:rFonts w:ascii="Times New Roman" w:hAnsi="Times New Roman"/>
                <w:szCs w:val="22"/>
                <w:lang w:val="en-GB"/>
              </w:rPr>
              <w:t>Submission of volume and price</w:t>
            </w:r>
          </w:p>
        </w:tc>
      </w:tr>
      <w:tr w:rsidR="00B839F2" w:rsidRPr="00317646" w14:paraId="283D7DEC" w14:textId="77777777" w:rsidTr="009C1302">
        <w:trPr>
          <w:trHeight w:val="562"/>
          <w:jc w:val="center"/>
        </w:trPr>
        <w:tc>
          <w:tcPr>
            <w:tcW w:w="1334" w:type="dxa"/>
            <w:vMerge/>
            <w:noWrap/>
            <w:vAlign w:val="center"/>
          </w:tcPr>
          <w:p w14:paraId="011F0B71" w14:textId="77777777" w:rsidR="00B839F2" w:rsidRPr="00317646" w:rsidRDefault="00B839F2" w:rsidP="00547B2A">
            <w:pPr>
              <w:jc w:val="center"/>
              <w:rPr>
                <w:rFonts w:ascii="Times New Roman" w:hAnsi="Times New Roman"/>
                <w:lang w:val="en-GB"/>
              </w:rPr>
            </w:pPr>
          </w:p>
        </w:tc>
        <w:tc>
          <w:tcPr>
            <w:tcW w:w="1335" w:type="dxa"/>
            <w:vAlign w:val="center"/>
          </w:tcPr>
          <w:p w14:paraId="1F06A5F3" w14:textId="77777777" w:rsidR="00B839F2" w:rsidRPr="00317646" w:rsidRDefault="00B839F2" w:rsidP="00547B2A">
            <w:pPr>
              <w:jc w:val="center"/>
              <w:rPr>
                <w:rFonts w:ascii="Times New Roman" w:hAnsi="Times New Roman"/>
                <w:lang w:val="en-GB"/>
              </w:rPr>
            </w:pPr>
            <w:r w:rsidRPr="00317646">
              <w:rPr>
                <w:rFonts w:ascii="Times New Roman" w:hAnsi="Times New Roman"/>
                <w:lang w:val="en-GB"/>
              </w:rPr>
              <w:t>Inelastic</w:t>
            </w:r>
          </w:p>
        </w:tc>
        <w:tc>
          <w:tcPr>
            <w:tcW w:w="6146" w:type="dxa"/>
            <w:shd w:val="clear" w:color="auto" w:fill="auto"/>
            <w:noWrap/>
            <w:vAlign w:val="center"/>
          </w:tcPr>
          <w:p w14:paraId="5D192216" w14:textId="77777777" w:rsidR="00B839F2" w:rsidRPr="00317646" w:rsidRDefault="00B839F2" w:rsidP="00547B2A">
            <w:pPr>
              <w:adjustRightInd w:val="0"/>
              <w:snapToGrid w:val="0"/>
              <w:spacing w:line="280" w:lineRule="atLeast"/>
              <w:jc w:val="center"/>
              <w:rPr>
                <w:rFonts w:ascii="Times New Roman" w:hAnsi="Times New Roman"/>
                <w:lang w:val="en-GB"/>
              </w:rPr>
            </w:pPr>
            <w:r w:rsidRPr="00317646">
              <w:rPr>
                <w:rFonts w:ascii="Times New Roman" w:hAnsi="Times New Roman"/>
                <w:szCs w:val="22"/>
                <w:lang w:val="en-GB"/>
              </w:rPr>
              <w:t>Submission of volume</w:t>
            </w:r>
          </w:p>
        </w:tc>
      </w:tr>
      <w:tr w:rsidR="00B839F2" w:rsidRPr="00317646" w14:paraId="3890F0A5" w14:textId="77777777" w:rsidTr="009C1302">
        <w:trPr>
          <w:trHeight w:val="310"/>
          <w:jc w:val="center"/>
        </w:trPr>
        <w:tc>
          <w:tcPr>
            <w:tcW w:w="2669" w:type="dxa"/>
            <w:gridSpan w:val="2"/>
            <w:noWrap/>
            <w:vAlign w:val="center"/>
          </w:tcPr>
          <w:p w14:paraId="5A14934F"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Price resolution</w:t>
            </w:r>
          </w:p>
        </w:tc>
        <w:tc>
          <w:tcPr>
            <w:tcW w:w="6146" w:type="dxa"/>
            <w:noWrap/>
            <w:vAlign w:val="center"/>
          </w:tcPr>
          <w:p w14:paraId="62642FF7" w14:textId="77777777" w:rsidR="00B839F2" w:rsidRPr="00317646" w:rsidRDefault="00B839F2" w:rsidP="00B839F2">
            <w:pPr>
              <w:ind w:left="355"/>
              <w:jc w:val="center"/>
              <w:rPr>
                <w:rFonts w:ascii="Times New Roman" w:hAnsi="Times New Roman"/>
                <w:lang w:val="en-GB"/>
              </w:rPr>
            </w:pPr>
            <w:r w:rsidRPr="00317646">
              <w:rPr>
                <w:rFonts w:ascii="Times New Roman" w:hAnsi="Times New Roman"/>
                <w:szCs w:val="22"/>
                <w:lang w:val="en-GB"/>
              </w:rPr>
              <w:t xml:space="preserve">0.01€/MWh. </w:t>
            </w:r>
          </w:p>
        </w:tc>
      </w:tr>
      <w:tr w:rsidR="00B839F2" w:rsidRPr="00317646" w14:paraId="50964EA7" w14:textId="77777777" w:rsidTr="009C1302">
        <w:trPr>
          <w:trHeight w:val="310"/>
          <w:jc w:val="center"/>
        </w:trPr>
        <w:tc>
          <w:tcPr>
            <w:tcW w:w="2669" w:type="dxa"/>
            <w:gridSpan w:val="2"/>
            <w:noWrap/>
            <w:vAlign w:val="center"/>
          </w:tcPr>
          <w:p w14:paraId="2B6CC295"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 xml:space="preserve"> Timeframe resolution</w:t>
            </w:r>
          </w:p>
        </w:tc>
        <w:tc>
          <w:tcPr>
            <w:tcW w:w="6146" w:type="dxa"/>
            <w:noWrap/>
            <w:vAlign w:val="center"/>
          </w:tcPr>
          <w:p w14:paraId="0671A367" w14:textId="77777777" w:rsidR="00B839F2" w:rsidRPr="00317646" w:rsidRDefault="00B839F2" w:rsidP="00547B2A">
            <w:pPr>
              <w:ind w:left="355"/>
              <w:jc w:val="center"/>
              <w:rPr>
                <w:rFonts w:ascii="Times New Roman" w:hAnsi="Times New Roman"/>
                <w:lang w:val="en-GB"/>
              </w:rPr>
            </w:pPr>
            <w:r w:rsidRPr="00317646">
              <w:rPr>
                <w:rFonts w:ascii="Times New Roman" w:hAnsi="Times New Roman"/>
                <w:szCs w:val="22"/>
                <w:lang w:val="en-GB"/>
              </w:rPr>
              <w:t xml:space="preserve">15 min </w:t>
            </w:r>
          </w:p>
        </w:tc>
      </w:tr>
      <w:tr w:rsidR="00B839F2" w:rsidRPr="00317646" w14:paraId="445FE6A8" w14:textId="77777777" w:rsidTr="009C1302">
        <w:trPr>
          <w:trHeight w:val="310"/>
          <w:jc w:val="center"/>
        </w:trPr>
        <w:tc>
          <w:tcPr>
            <w:tcW w:w="2669" w:type="dxa"/>
            <w:gridSpan w:val="2"/>
            <w:noWrap/>
            <w:vAlign w:val="center"/>
          </w:tcPr>
          <w:p w14:paraId="31544B43"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Firmness</w:t>
            </w:r>
          </w:p>
        </w:tc>
        <w:tc>
          <w:tcPr>
            <w:tcW w:w="6146" w:type="dxa"/>
            <w:noWrap/>
            <w:vAlign w:val="center"/>
          </w:tcPr>
          <w:p w14:paraId="09D82714" w14:textId="77777777" w:rsidR="00B839F2" w:rsidRPr="00317646" w:rsidRDefault="00B839F2" w:rsidP="00547B2A">
            <w:pPr>
              <w:keepNext/>
              <w:ind w:left="355"/>
              <w:jc w:val="center"/>
              <w:rPr>
                <w:rFonts w:ascii="Times New Roman" w:hAnsi="Times New Roman"/>
                <w:lang w:val="en-GB"/>
              </w:rPr>
            </w:pPr>
            <w:r w:rsidRPr="00317646">
              <w:rPr>
                <w:rFonts w:ascii="Times New Roman" w:hAnsi="Times New Roman"/>
                <w:szCs w:val="22"/>
                <w:lang w:val="en-GB"/>
              </w:rPr>
              <w:t>Yes</w:t>
            </w:r>
          </w:p>
        </w:tc>
      </w:tr>
      <w:tr w:rsidR="00B839F2" w:rsidRPr="00317646" w14:paraId="455C4871" w14:textId="77777777" w:rsidTr="009C1302">
        <w:trPr>
          <w:trHeight w:val="310"/>
          <w:jc w:val="center"/>
        </w:trPr>
        <w:tc>
          <w:tcPr>
            <w:tcW w:w="2669" w:type="dxa"/>
            <w:gridSpan w:val="2"/>
            <w:noWrap/>
            <w:vAlign w:val="center"/>
          </w:tcPr>
          <w:p w14:paraId="2E20A44F" w14:textId="77777777" w:rsidR="00B839F2" w:rsidRPr="00317646" w:rsidRDefault="00B839F2" w:rsidP="00547B2A">
            <w:pPr>
              <w:jc w:val="center"/>
              <w:rPr>
                <w:rFonts w:ascii="Times New Roman" w:hAnsi="Times New Roman"/>
                <w:lang w:val="en-GB"/>
              </w:rPr>
            </w:pPr>
            <w:r w:rsidRPr="00317646">
              <w:rPr>
                <w:rFonts w:ascii="Times New Roman" w:hAnsi="Times New Roman"/>
                <w:szCs w:val="22"/>
                <w:lang w:val="en-GB"/>
              </w:rPr>
              <w:t>Direction</w:t>
            </w:r>
          </w:p>
        </w:tc>
        <w:tc>
          <w:tcPr>
            <w:tcW w:w="6146" w:type="dxa"/>
            <w:noWrap/>
            <w:vAlign w:val="center"/>
          </w:tcPr>
          <w:p w14:paraId="354C260B" w14:textId="77777777" w:rsidR="00B839F2" w:rsidRPr="00317646" w:rsidRDefault="00B839F2" w:rsidP="00547B2A">
            <w:pPr>
              <w:keepNext/>
              <w:ind w:left="355"/>
              <w:jc w:val="center"/>
              <w:rPr>
                <w:rFonts w:ascii="Times New Roman" w:hAnsi="Times New Roman"/>
                <w:lang w:val="en-GB"/>
              </w:rPr>
            </w:pPr>
            <w:r w:rsidRPr="00317646">
              <w:rPr>
                <w:rFonts w:ascii="Times New Roman" w:hAnsi="Times New Roman"/>
                <w:szCs w:val="22"/>
                <w:lang w:val="en-GB"/>
              </w:rPr>
              <w:t>Positive (system short) or Negative (system long)</w:t>
            </w:r>
          </w:p>
        </w:tc>
      </w:tr>
      <w:tr w:rsidR="00B839F2" w:rsidRPr="00317646" w14:paraId="3C84703A" w14:textId="77777777" w:rsidTr="009C1302">
        <w:trPr>
          <w:trHeight w:val="547"/>
          <w:jc w:val="center"/>
        </w:trPr>
        <w:tc>
          <w:tcPr>
            <w:tcW w:w="2669" w:type="dxa"/>
            <w:gridSpan w:val="2"/>
            <w:tcBorders>
              <w:top w:val="single" w:sz="4" w:space="0" w:color="auto"/>
              <w:left w:val="single" w:sz="4" w:space="0" w:color="auto"/>
              <w:bottom w:val="single" w:sz="4" w:space="0" w:color="auto"/>
              <w:right w:val="single" w:sz="4" w:space="0" w:color="auto"/>
            </w:tcBorders>
            <w:noWrap/>
            <w:vAlign w:val="center"/>
          </w:tcPr>
          <w:p w14:paraId="0053E5BB" w14:textId="77777777" w:rsidR="00B839F2" w:rsidRPr="00317646" w:rsidRDefault="00B839F2" w:rsidP="00B839F2">
            <w:pPr>
              <w:jc w:val="center"/>
              <w:rPr>
                <w:rFonts w:ascii="Times New Roman" w:hAnsi="Times New Roman"/>
                <w:lang w:val="en-GB"/>
              </w:rPr>
            </w:pPr>
            <w:r w:rsidRPr="00317646">
              <w:rPr>
                <w:rFonts w:ascii="Times New Roman" w:hAnsi="Times New Roman"/>
                <w:szCs w:val="22"/>
                <w:lang w:val="en-GB"/>
              </w:rPr>
              <w:t>Tolerance Band in volume</w:t>
            </w:r>
            <w:r w:rsidRPr="00317646">
              <w:rPr>
                <w:rStyle w:val="FootnoteReference"/>
                <w:rFonts w:ascii="Times New Roman" w:hAnsi="Times New Roman"/>
                <w:szCs w:val="22"/>
                <w:lang w:val="en-GB"/>
              </w:rPr>
              <w:footnoteReference w:id="4"/>
            </w:r>
          </w:p>
        </w:tc>
        <w:tc>
          <w:tcPr>
            <w:tcW w:w="6146" w:type="dxa"/>
            <w:tcBorders>
              <w:top w:val="single" w:sz="4" w:space="0" w:color="auto"/>
              <w:left w:val="single" w:sz="4" w:space="0" w:color="auto"/>
              <w:bottom w:val="single" w:sz="4" w:space="0" w:color="auto"/>
              <w:right w:val="single" w:sz="4" w:space="0" w:color="auto"/>
            </w:tcBorders>
            <w:noWrap/>
            <w:vAlign w:val="center"/>
          </w:tcPr>
          <w:p w14:paraId="2DA0DFC5" w14:textId="77777777" w:rsidR="00B839F2" w:rsidRPr="00317646" w:rsidRDefault="00B839F2" w:rsidP="00547B2A">
            <w:pPr>
              <w:keepNext/>
              <w:ind w:left="355"/>
              <w:jc w:val="center"/>
              <w:rPr>
                <w:rFonts w:ascii="Times New Roman" w:hAnsi="Times New Roman"/>
                <w:lang w:val="en-GB"/>
              </w:rPr>
            </w:pPr>
            <w:r w:rsidRPr="00317646">
              <w:rPr>
                <w:rFonts w:ascii="Times New Roman" w:hAnsi="Times New Roman"/>
                <w:szCs w:val="22"/>
                <w:lang w:val="en-GB"/>
              </w:rPr>
              <w:t>Divisible volume submitted to a resolution of 1MW</w:t>
            </w:r>
          </w:p>
          <w:p w14:paraId="0FB5622F" w14:textId="77777777" w:rsidR="00B839F2" w:rsidRPr="00317646" w:rsidRDefault="00B839F2" w:rsidP="00B839F2">
            <w:pPr>
              <w:keepNext/>
              <w:ind w:left="355"/>
              <w:jc w:val="center"/>
              <w:rPr>
                <w:rFonts w:ascii="Times New Roman" w:hAnsi="Times New Roman"/>
                <w:lang w:val="en-GB"/>
              </w:rPr>
            </w:pPr>
            <w:r w:rsidRPr="00317646">
              <w:rPr>
                <w:rFonts w:ascii="Times New Roman" w:hAnsi="Times New Roman"/>
                <w:szCs w:val="22"/>
                <w:lang w:val="en-GB"/>
              </w:rPr>
              <w:t>(optional for RR TSOs)</w:t>
            </w:r>
          </w:p>
        </w:tc>
      </w:tr>
    </w:tbl>
    <w:p w14:paraId="3FD24207" w14:textId="77777777" w:rsidR="00684A47" w:rsidRPr="00317646" w:rsidRDefault="00684A47" w:rsidP="00684A47">
      <w:pPr>
        <w:pStyle w:val="textenumeration"/>
        <w:rPr>
          <w:lang w:val="en-GB" w:eastAsia="en-US"/>
        </w:rPr>
      </w:pPr>
    </w:p>
    <w:p w14:paraId="003BE209" w14:textId="070B4F82" w:rsidR="00A13BA1" w:rsidRPr="00317646" w:rsidRDefault="00BB2081" w:rsidP="00003BED">
      <w:pPr>
        <w:pStyle w:val="ListParagraph"/>
        <w:numPr>
          <w:ilvl w:val="0"/>
          <w:numId w:val="24"/>
        </w:numPr>
        <w:rPr>
          <w:lang w:eastAsia="en-US"/>
        </w:rPr>
      </w:pPr>
      <w:bookmarkStart w:id="51" w:name="_Hlk49786098"/>
      <w:r w:rsidRPr="001C65DB">
        <w:rPr>
          <w:lang w:eastAsia="en-US"/>
        </w:rPr>
        <w:lastRenderedPageBreak/>
        <w:t xml:space="preserve">Controllability of </w:t>
      </w:r>
      <w:r w:rsidR="00F64C8E" w:rsidRPr="001C65DB">
        <w:rPr>
          <w:lang w:eastAsia="en-US"/>
        </w:rPr>
        <w:t>i</w:t>
      </w:r>
      <w:r w:rsidRPr="001C65DB">
        <w:rPr>
          <w:lang w:eastAsia="en-US"/>
        </w:rPr>
        <w:t>nterconnection</w:t>
      </w:r>
      <w:r w:rsidR="00B2027C" w:rsidRPr="001C65DB">
        <w:rPr>
          <w:lang w:eastAsia="en-US"/>
        </w:rPr>
        <w:t>:</w:t>
      </w:r>
      <w:r w:rsidR="00402087" w:rsidRPr="001C65DB">
        <w:rPr>
          <w:lang w:eastAsia="en-US"/>
        </w:rPr>
        <w:t xml:space="preserve"> </w:t>
      </w:r>
      <w:r w:rsidR="00BC3F6B" w:rsidRPr="001C65DB">
        <w:rPr>
          <w:lang w:eastAsia="en-US"/>
        </w:rPr>
        <w:t>According to Article 3(2)(d) of the EBGL, t</w:t>
      </w:r>
      <w:r w:rsidR="00113AC0" w:rsidRPr="001C65DB">
        <w:rPr>
          <w:lang w:eastAsia="en-US"/>
        </w:rPr>
        <w:t>he RR TSOs will be allowed to submit a desired flow to RR</w:t>
      </w:r>
      <w:r w:rsidR="007D6D85" w:rsidRPr="001C65DB">
        <w:rPr>
          <w:lang w:eastAsia="en-US"/>
        </w:rPr>
        <w:t>-P</w:t>
      </w:r>
      <w:r w:rsidR="00113AC0" w:rsidRPr="001C65DB">
        <w:rPr>
          <w:lang w:eastAsia="en-US"/>
        </w:rPr>
        <w:t>latform for a specific interconnection</w:t>
      </w:r>
      <w:r w:rsidR="00F64C8E" w:rsidRPr="001C65DB">
        <w:rPr>
          <w:lang w:eastAsia="en-US"/>
        </w:rPr>
        <w:t>.</w:t>
      </w:r>
      <w:r w:rsidR="00402087" w:rsidRPr="001C65DB">
        <w:rPr>
          <w:lang w:eastAsia="en-US"/>
        </w:rPr>
        <w:t xml:space="preserve"> </w:t>
      </w:r>
      <w:r w:rsidR="00731B32" w:rsidRPr="001C65DB">
        <w:rPr>
          <w:lang w:eastAsia="en-US"/>
        </w:rPr>
        <w:t>The</w:t>
      </w:r>
      <w:r w:rsidR="00F64C8E" w:rsidRPr="001C65DB">
        <w:rPr>
          <w:lang w:eastAsia="en-US"/>
        </w:rPr>
        <w:t xml:space="preserve"> activation of bids for satisfying the controllability of interconnection </w:t>
      </w:r>
      <w:r w:rsidR="00647533" w:rsidRPr="001C65DB">
        <w:rPr>
          <w:lang w:eastAsia="en-US"/>
        </w:rPr>
        <w:t>is</w:t>
      </w:r>
      <w:r w:rsidR="00731B32" w:rsidRPr="001C65DB">
        <w:rPr>
          <w:lang w:eastAsia="en-US"/>
        </w:rPr>
        <w:t xml:space="preserve"> an activation of bids for purposes other than balancing and should be settled </w:t>
      </w:r>
      <w:r w:rsidR="005810DB" w:rsidRPr="001C65DB">
        <w:rPr>
          <w:lang w:eastAsia="en-US"/>
        </w:rPr>
        <w:t>according to</w:t>
      </w:r>
      <w:r w:rsidR="00236594" w:rsidRPr="001C65DB">
        <w:rPr>
          <w:lang w:eastAsia="en-US"/>
        </w:rPr>
        <w:t xml:space="preserve"> </w:t>
      </w:r>
      <w:r w:rsidR="00202A6B" w:rsidRPr="001C65DB">
        <w:rPr>
          <w:lang w:eastAsia="en-US"/>
        </w:rPr>
        <w:t xml:space="preserve">Article 30 of </w:t>
      </w:r>
      <w:r w:rsidR="00F64C8E" w:rsidRPr="001C65DB">
        <w:rPr>
          <w:lang w:eastAsia="en-US"/>
        </w:rPr>
        <w:t xml:space="preserve">the </w:t>
      </w:r>
      <w:r w:rsidR="00547B2A" w:rsidRPr="001C65DB">
        <w:rPr>
          <w:lang w:eastAsia="en-US"/>
        </w:rPr>
        <w:t>EBGL</w:t>
      </w:r>
      <w:r w:rsidR="0090475B" w:rsidRPr="001C65DB">
        <w:rPr>
          <w:lang w:eastAsia="en-US"/>
        </w:rPr>
        <w:t>.</w:t>
      </w:r>
      <w:r w:rsidR="00475220" w:rsidRPr="001C65DB">
        <w:rPr>
          <w:lang w:eastAsia="en-US"/>
        </w:rPr>
        <w:t xml:space="preserve"> </w:t>
      </w:r>
      <w:r w:rsidR="001C65DB" w:rsidRPr="001C65DB">
        <w:rPr>
          <w:rFonts w:ascii="Times New Roman" w:hAnsi="Times New Roman" w:cs="Times New Roman"/>
          <w:lang w:eastAsia="en-US"/>
        </w:rPr>
        <w:t>In accordance</w:t>
      </w:r>
      <w:r w:rsidR="00A948CF">
        <w:rPr>
          <w:rFonts w:ascii="Times New Roman" w:hAnsi="Times New Roman" w:cs="Times New Roman"/>
          <w:lang w:eastAsia="en-US"/>
        </w:rPr>
        <w:t xml:space="preserve"> with the approved methodology</w:t>
      </w:r>
      <w:r w:rsidR="001C65DB" w:rsidRPr="001C65DB">
        <w:rPr>
          <w:rFonts w:ascii="Times New Roman" w:hAnsi="Times New Roman" w:cs="Times New Roman"/>
          <w:lang w:eastAsia="en-US"/>
        </w:rPr>
        <w:t xml:space="preserve"> pursuant to Article 30(1) of the EBGL, </w:t>
      </w:r>
      <w:r w:rsidR="001C65DB">
        <w:rPr>
          <w:rFonts w:ascii="Times New Roman" w:hAnsi="Times New Roman" w:cs="Times New Roman"/>
          <w:lang w:eastAsia="en-US"/>
        </w:rPr>
        <w:t>f</w:t>
      </w:r>
      <w:r w:rsidR="001C65DB">
        <w:rPr>
          <w:lang w:eastAsia="en-US"/>
        </w:rPr>
        <w:t xml:space="preserve">rom 1 July 2022, the process for </w:t>
      </w:r>
      <w:r w:rsidR="00FD4101">
        <w:rPr>
          <w:lang w:eastAsia="en-US"/>
        </w:rPr>
        <w:t xml:space="preserve">settlement of all activated bids </w:t>
      </w:r>
      <w:r w:rsidR="001C65DB">
        <w:rPr>
          <w:lang w:eastAsia="en-US"/>
        </w:rPr>
        <w:t>will be aligned with the process set out in th</w:t>
      </w:r>
      <w:r w:rsidR="00A948CF">
        <w:rPr>
          <w:lang w:eastAsia="en-US"/>
        </w:rPr>
        <w:t>at methodology</w:t>
      </w:r>
      <w:r w:rsidR="001C65DB">
        <w:rPr>
          <w:lang w:eastAsia="en-US"/>
        </w:rPr>
        <w:t>.</w:t>
      </w:r>
      <w:r w:rsidR="00CB41F2" w:rsidRPr="00CB41F2">
        <w:rPr>
          <w:lang w:eastAsia="en-US"/>
        </w:rPr>
        <w:t xml:space="preserve"> </w:t>
      </w:r>
    </w:p>
    <w:bookmarkEnd w:id="51"/>
    <w:p w14:paraId="145B1E6E" w14:textId="77777777" w:rsidR="005442D7" w:rsidRPr="00317646" w:rsidRDefault="00BB2081" w:rsidP="003555B4">
      <w:pPr>
        <w:pStyle w:val="textenumeration"/>
        <w:numPr>
          <w:ilvl w:val="0"/>
          <w:numId w:val="24"/>
        </w:numPr>
        <w:rPr>
          <w:lang w:val="en-GB" w:eastAsia="en-US"/>
        </w:rPr>
      </w:pPr>
      <w:r w:rsidRPr="00317646">
        <w:rPr>
          <w:lang w:val="en-GB" w:eastAsia="en-US"/>
        </w:rPr>
        <w:t>Cap and floors prices</w:t>
      </w:r>
      <w:r w:rsidR="00B2027C" w:rsidRPr="00317646">
        <w:rPr>
          <w:lang w:val="en-GB" w:eastAsia="en-US"/>
        </w:rPr>
        <w:t xml:space="preserve">: The TSOs suggest to not apply </w:t>
      </w:r>
      <w:r w:rsidR="00B2027C" w:rsidRPr="00317646">
        <w:rPr>
          <w:lang w:val="en-GB"/>
        </w:rPr>
        <w:t xml:space="preserve">caps and floors to the </w:t>
      </w:r>
      <w:r w:rsidR="00B865D8" w:rsidRPr="00317646">
        <w:rPr>
          <w:lang w:val="en-GB"/>
        </w:rPr>
        <w:t>Bid</w:t>
      </w:r>
      <w:r w:rsidR="00B2027C" w:rsidRPr="00317646">
        <w:rPr>
          <w:lang w:val="en-GB"/>
        </w:rPr>
        <w:t>s submitted to RR</w:t>
      </w:r>
      <w:r w:rsidR="007D6D85" w:rsidRPr="00317646">
        <w:rPr>
          <w:lang w:val="en-GB"/>
        </w:rPr>
        <w:t>-P</w:t>
      </w:r>
      <w:r w:rsidR="00B2027C" w:rsidRPr="00317646">
        <w:rPr>
          <w:lang w:val="en-GB"/>
        </w:rPr>
        <w:t>latform.</w:t>
      </w:r>
      <w:r w:rsidR="00BE793A" w:rsidRPr="00317646">
        <w:rPr>
          <w:lang w:val="en-GB"/>
        </w:rPr>
        <w:t xml:space="preserve"> Only technical price limit will be applied (IT limits).</w:t>
      </w:r>
    </w:p>
    <w:p w14:paraId="06AB2D6B" w14:textId="77777777" w:rsidR="006D443B" w:rsidRPr="00317646" w:rsidRDefault="00236594" w:rsidP="003555B4">
      <w:pPr>
        <w:pStyle w:val="textenumeration"/>
        <w:numPr>
          <w:ilvl w:val="0"/>
          <w:numId w:val="24"/>
        </w:numPr>
        <w:rPr>
          <w:lang w:val="en-GB" w:eastAsia="en-US"/>
        </w:rPr>
      </w:pPr>
      <w:r w:rsidRPr="00317646">
        <w:rPr>
          <w:lang w:val="en-GB"/>
        </w:rPr>
        <w:t xml:space="preserve">All RR TSOs shall </w:t>
      </w:r>
      <w:r w:rsidRPr="00317646">
        <w:rPr>
          <w:lang w:val="en-GB" w:eastAsia="en-US"/>
        </w:rPr>
        <w:t>harmonise</w:t>
      </w:r>
      <w:r w:rsidR="001C1AED">
        <w:rPr>
          <w:lang w:val="en-GB" w:eastAsia="en-US"/>
        </w:rPr>
        <w:t xml:space="preserve"> </w:t>
      </w:r>
      <w:r w:rsidR="006D443B" w:rsidRPr="00317646">
        <w:rPr>
          <w:lang w:val="en-GB" w:eastAsia="en-US"/>
        </w:rPr>
        <w:t xml:space="preserve">number of daily clearings: </w:t>
      </w:r>
    </w:p>
    <w:p w14:paraId="6FFA2057" w14:textId="77777777" w:rsidR="006D443B" w:rsidRPr="00317646" w:rsidRDefault="006D443B" w:rsidP="003555B4">
      <w:pPr>
        <w:pStyle w:val="textenumeration"/>
        <w:numPr>
          <w:ilvl w:val="1"/>
          <w:numId w:val="24"/>
        </w:numPr>
        <w:rPr>
          <w:lang w:val="en-GB" w:eastAsia="en-US"/>
        </w:rPr>
      </w:pPr>
      <w:bookmarkStart w:id="52" w:name="_Hlk49787624"/>
      <w:r w:rsidRPr="00317646">
        <w:rPr>
          <w:lang w:val="en-GB" w:eastAsia="en-US"/>
        </w:rPr>
        <w:t xml:space="preserve">At the </w:t>
      </w:r>
      <w:r w:rsidR="004344DF" w:rsidRPr="00317646">
        <w:rPr>
          <w:lang w:val="en-GB" w:eastAsia="en-US"/>
        </w:rPr>
        <w:t>go-live</w:t>
      </w:r>
      <w:r w:rsidRPr="00317646">
        <w:rPr>
          <w:lang w:val="en-GB" w:eastAsia="en-US"/>
        </w:rPr>
        <w:t xml:space="preserve"> of the RR-Platform, the number of daily gates will be 24. The RR TSOs will reduce the cross-border scheduling steps to less than 60 min</w:t>
      </w:r>
      <w:r w:rsidR="00A407D4" w:rsidRPr="00317646">
        <w:rPr>
          <w:lang w:val="en-GB" w:eastAsia="en-US"/>
        </w:rPr>
        <w:t>utes</w:t>
      </w:r>
      <w:r w:rsidRPr="00317646">
        <w:rPr>
          <w:lang w:val="en-GB" w:eastAsia="en-US"/>
        </w:rPr>
        <w:t xml:space="preserve"> for the borders included in</w:t>
      </w:r>
      <w:r w:rsidR="003D05C9" w:rsidRPr="00317646">
        <w:rPr>
          <w:lang w:val="en-GB" w:eastAsia="en-US"/>
        </w:rPr>
        <w:t xml:space="preserve"> the</w:t>
      </w:r>
      <w:r w:rsidRPr="00317646">
        <w:rPr>
          <w:lang w:val="en-GB" w:eastAsia="en-US"/>
        </w:rPr>
        <w:t xml:space="preserve"> Region. The deadline will be the date required by the </w:t>
      </w:r>
      <w:r w:rsidR="00547B2A" w:rsidRPr="00317646">
        <w:rPr>
          <w:lang w:val="en-GB" w:eastAsia="en-US"/>
        </w:rPr>
        <w:t>EBGL</w:t>
      </w:r>
      <w:r w:rsidRPr="00317646">
        <w:rPr>
          <w:lang w:val="en-GB" w:eastAsia="en-US"/>
        </w:rPr>
        <w:t xml:space="preserve"> for using the European Platform for exchange of mFRR </w:t>
      </w:r>
      <w:r w:rsidR="00021A62">
        <w:rPr>
          <w:lang w:val="en-GB" w:eastAsia="en-US"/>
        </w:rPr>
        <w:t xml:space="preserve">which is </w:t>
      </w:r>
      <w:r w:rsidR="0029328E">
        <w:rPr>
          <w:lang w:val="en-GB" w:eastAsia="en-US"/>
        </w:rPr>
        <w:t>still subject</w:t>
      </w:r>
      <w:r w:rsidR="00021A62">
        <w:rPr>
          <w:lang w:val="en-GB" w:eastAsia="en-US"/>
        </w:rPr>
        <w:t xml:space="preserve"> for possible derogation </w:t>
      </w:r>
      <w:r w:rsidRPr="00317646">
        <w:rPr>
          <w:lang w:val="en-GB" w:eastAsia="en-US"/>
        </w:rPr>
        <w:t>and the date required by the CACM</w:t>
      </w:r>
      <w:r w:rsidR="00CB31A2" w:rsidRPr="00317646">
        <w:rPr>
          <w:lang w:val="en-GB" w:eastAsia="en-US"/>
        </w:rPr>
        <w:t xml:space="preserve"> regulation</w:t>
      </w:r>
      <w:r w:rsidRPr="00317646">
        <w:rPr>
          <w:lang w:val="en-GB" w:eastAsia="en-US"/>
        </w:rPr>
        <w:t xml:space="preserve"> for the intraday cross zonal gate closure</w:t>
      </w:r>
      <w:r w:rsidR="00CB31A2" w:rsidRPr="00317646">
        <w:rPr>
          <w:lang w:val="en-GB" w:eastAsia="en-US"/>
        </w:rPr>
        <w:t xml:space="preserve"> frequency</w:t>
      </w:r>
      <w:r w:rsidRPr="00317646">
        <w:rPr>
          <w:lang w:val="en-GB" w:eastAsia="en-US"/>
        </w:rPr>
        <w:t xml:space="preserve"> definition</w:t>
      </w:r>
      <w:r w:rsidR="00FA76D0" w:rsidRPr="00317646">
        <w:rPr>
          <w:lang w:val="en-GB" w:eastAsia="en-US"/>
        </w:rPr>
        <w:t>.</w:t>
      </w:r>
    </w:p>
    <w:bookmarkEnd w:id="52"/>
    <w:p w14:paraId="69B79E06" w14:textId="77777777" w:rsidR="006D443B" w:rsidRPr="00317646" w:rsidRDefault="006D443B" w:rsidP="003555B4">
      <w:pPr>
        <w:pStyle w:val="textenumeration"/>
        <w:numPr>
          <w:ilvl w:val="1"/>
          <w:numId w:val="24"/>
        </w:numPr>
        <w:rPr>
          <w:lang w:val="en-GB" w:eastAsia="en-US"/>
        </w:rPr>
      </w:pPr>
      <w:r w:rsidRPr="00317646">
        <w:rPr>
          <w:lang w:val="en-GB" w:eastAsia="en-US"/>
        </w:rPr>
        <w:t xml:space="preserve"> Starting from this deadline, the cross-border scheduling step will be 15</w:t>
      </w:r>
      <w:r w:rsidR="00564024" w:rsidRPr="00317646">
        <w:rPr>
          <w:lang w:val="en-GB" w:eastAsia="en-US"/>
        </w:rPr>
        <w:t xml:space="preserve"> </w:t>
      </w:r>
      <w:r w:rsidRPr="00317646">
        <w:rPr>
          <w:lang w:val="en-GB" w:eastAsia="en-US"/>
        </w:rPr>
        <w:t>min</w:t>
      </w:r>
      <w:r w:rsidR="00564024" w:rsidRPr="00317646">
        <w:rPr>
          <w:lang w:val="en-GB" w:eastAsia="en-US"/>
        </w:rPr>
        <w:t>utes</w:t>
      </w:r>
      <w:r w:rsidRPr="00317646">
        <w:rPr>
          <w:lang w:val="en-GB" w:eastAsia="en-US"/>
        </w:rPr>
        <w:t>, therefore an increase of the number of daily gates</w:t>
      </w:r>
      <w:r w:rsidR="00FA76D0" w:rsidRPr="00317646">
        <w:rPr>
          <w:lang w:val="en-GB" w:eastAsia="en-US"/>
        </w:rPr>
        <w:t>,</w:t>
      </w:r>
      <w:r w:rsidRPr="00317646">
        <w:rPr>
          <w:lang w:val="en-GB" w:eastAsia="en-US"/>
        </w:rPr>
        <w:t xml:space="preserve"> may be evaluated taking into account the maturity of the European balancing market at that time.</w:t>
      </w:r>
    </w:p>
    <w:p w14:paraId="4436384D" w14:textId="77777777" w:rsidR="00AB23DE" w:rsidRPr="00317646" w:rsidRDefault="00547B2A" w:rsidP="003555B4">
      <w:pPr>
        <w:pStyle w:val="textenumeration"/>
        <w:numPr>
          <w:ilvl w:val="0"/>
          <w:numId w:val="24"/>
        </w:numPr>
        <w:rPr>
          <w:lang w:val="en-GB" w:eastAsia="en-US"/>
        </w:rPr>
      </w:pPr>
      <w:r w:rsidRPr="00317646">
        <w:rPr>
          <w:lang w:val="en-GB" w:eastAsia="en-US"/>
        </w:rPr>
        <w:t>EBGL</w:t>
      </w:r>
      <w:r w:rsidR="00236594" w:rsidRPr="00317646">
        <w:rPr>
          <w:lang w:val="en-GB" w:eastAsia="en-US"/>
        </w:rPr>
        <w:t xml:space="preserve"> </w:t>
      </w:r>
      <w:r w:rsidR="00AB23DE" w:rsidRPr="00317646">
        <w:rPr>
          <w:lang w:val="en-GB" w:eastAsia="en-US"/>
        </w:rPr>
        <w:t xml:space="preserve">Terms and conditions pursuant to Article 18 of the </w:t>
      </w:r>
      <w:r w:rsidRPr="00317646">
        <w:rPr>
          <w:lang w:val="en-GB" w:eastAsia="en-US"/>
        </w:rPr>
        <w:t>EBGL</w:t>
      </w:r>
      <w:r w:rsidR="00AB23DE" w:rsidRPr="00317646">
        <w:rPr>
          <w:lang w:val="en-GB" w:eastAsia="en-US"/>
        </w:rPr>
        <w:t xml:space="preserve"> remain a national responsibility but have to respect a framework for harmonisation pursuant to Article 19(3)(f) of the </w:t>
      </w:r>
      <w:r w:rsidRPr="00317646">
        <w:rPr>
          <w:lang w:val="en-GB" w:eastAsia="en-US"/>
        </w:rPr>
        <w:t>EBGL</w:t>
      </w:r>
      <w:r w:rsidR="00AB23DE" w:rsidRPr="00317646">
        <w:rPr>
          <w:lang w:val="en-GB" w:eastAsia="en-US"/>
        </w:rPr>
        <w:t>.</w:t>
      </w:r>
    </w:p>
    <w:p w14:paraId="6F1ABFEE" w14:textId="77777777" w:rsidR="001709A6" w:rsidRPr="00317646" w:rsidRDefault="001709A6" w:rsidP="003555B4">
      <w:pPr>
        <w:pStyle w:val="textenumeration"/>
        <w:numPr>
          <w:ilvl w:val="0"/>
          <w:numId w:val="24"/>
        </w:numPr>
        <w:rPr>
          <w:lang w:val="en-GB" w:eastAsia="en-US"/>
        </w:rPr>
      </w:pPr>
      <w:r w:rsidRPr="00317646">
        <w:rPr>
          <w:lang w:val="en-GB" w:eastAsia="en-US"/>
        </w:rPr>
        <w:t>Terms and conditions for BSPs</w:t>
      </w:r>
      <w:r w:rsidR="00DD1733" w:rsidRPr="00317646">
        <w:rPr>
          <w:lang w:val="en-GB" w:eastAsia="en-US"/>
        </w:rPr>
        <w:t xml:space="preserve"> </w:t>
      </w:r>
      <w:r w:rsidR="008B6444" w:rsidRPr="00317646">
        <w:rPr>
          <w:lang w:val="en-GB" w:eastAsia="en-US"/>
        </w:rPr>
        <w:t>providing</w:t>
      </w:r>
      <w:r w:rsidR="00DD1733" w:rsidRPr="00317646">
        <w:rPr>
          <w:lang w:val="en-GB" w:eastAsia="en-US"/>
        </w:rPr>
        <w:t xml:space="preserve"> </w:t>
      </w:r>
      <w:r w:rsidR="00B870B4" w:rsidRPr="00317646">
        <w:rPr>
          <w:lang w:val="en-GB" w:eastAsia="en-US"/>
        </w:rPr>
        <w:t>Bids</w:t>
      </w:r>
      <w:r w:rsidRPr="00317646">
        <w:rPr>
          <w:lang w:val="en-GB" w:eastAsia="en-US"/>
        </w:rPr>
        <w:t xml:space="preserve">: </w:t>
      </w:r>
    </w:p>
    <w:p w14:paraId="7042051E" w14:textId="77777777" w:rsidR="001709A6" w:rsidRPr="00317646" w:rsidRDefault="001709A6" w:rsidP="003555B4">
      <w:pPr>
        <w:pStyle w:val="ListParagraph"/>
        <w:numPr>
          <w:ilvl w:val="1"/>
          <w:numId w:val="24"/>
        </w:numPr>
        <w:spacing w:after="160" w:line="259" w:lineRule="auto"/>
        <w:contextualSpacing/>
      </w:pPr>
      <w:r w:rsidRPr="00317646">
        <w:t xml:space="preserve">To become a BSP it is necessary to perform a </w:t>
      </w:r>
      <w:r w:rsidR="009039FA" w:rsidRPr="00317646">
        <w:t>pre</w:t>
      </w:r>
      <w:r w:rsidRPr="00317646">
        <w:t>qualification</w:t>
      </w:r>
      <w:r w:rsidR="0035336F" w:rsidRPr="00317646">
        <w:t>;</w:t>
      </w:r>
      <w:r w:rsidRPr="00317646">
        <w:t xml:space="preserve"> </w:t>
      </w:r>
    </w:p>
    <w:p w14:paraId="2FCB5340" w14:textId="77777777" w:rsidR="001709A6" w:rsidRPr="00317646" w:rsidRDefault="001709A6" w:rsidP="003555B4">
      <w:pPr>
        <w:pStyle w:val="ListParagraph"/>
        <w:numPr>
          <w:ilvl w:val="1"/>
          <w:numId w:val="24"/>
        </w:numPr>
        <w:spacing w:after="160" w:line="259" w:lineRule="auto"/>
        <w:contextualSpacing/>
      </w:pPr>
      <w:r w:rsidRPr="00317646">
        <w:t xml:space="preserve">The BSPs for RR must be able to provide a RR </w:t>
      </w:r>
      <w:r w:rsidR="007D6D85" w:rsidRPr="00317646">
        <w:t xml:space="preserve">standard </w:t>
      </w:r>
      <w:r w:rsidRPr="00317646">
        <w:t>product (accepted shape</w:t>
      </w:r>
      <w:r w:rsidR="00CC34C4" w:rsidRPr="00317646">
        <w:t xml:space="preserve"> or shape which can be converted to RR </w:t>
      </w:r>
      <w:r w:rsidR="007D6D85" w:rsidRPr="00317646">
        <w:t xml:space="preserve">standard </w:t>
      </w:r>
      <w:r w:rsidR="00CC34C4" w:rsidRPr="00317646">
        <w:t xml:space="preserve">product pursuant to </w:t>
      </w:r>
      <w:r w:rsidR="007C61E1" w:rsidRPr="00317646">
        <w:t>A</w:t>
      </w:r>
      <w:r w:rsidR="00CC34C4" w:rsidRPr="00317646">
        <w:t>rt</w:t>
      </w:r>
      <w:r w:rsidR="007C61E1" w:rsidRPr="00317646">
        <w:t>icle</w:t>
      </w:r>
      <w:r w:rsidR="00CC34C4" w:rsidRPr="00317646">
        <w:t xml:space="preserve"> 26(3) or 27 of </w:t>
      </w:r>
      <w:r w:rsidR="007C61E1" w:rsidRPr="00317646">
        <w:t xml:space="preserve">the </w:t>
      </w:r>
      <w:r w:rsidR="00547B2A" w:rsidRPr="00317646">
        <w:t>EBGL</w:t>
      </w:r>
      <w:r w:rsidRPr="00317646">
        <w:t>) and exchange necessary information with the TSO</w:t>
      </w:r>
      <w:r w:rsidR="0035336F" w:rsidRPr="00317646">
        <w:t>;</w:t>
      </w:r>
    </w:p>
    <w:p w14:paraId="264581C3" w14:textId="77777777" w:rsidR="001709A6" w:rsidRPr="00317646" w:rsidRDefault="001709A6" w:rsidP="003555B4">
      <w:pPr>
        <w:pStyle w:val="ListParagraph"/>
        <w:numPr>
          <w:ilvl w:val="1"/>
          <w:numId w:val="24"/>
        </w:numPr>
        <w:spacing w:after="160" w:line="259" w:lineRule="auto"/>
        <w:contextualSpacing/>
      </w:pPr>
      <w:r w:rsidRPr="00317646">
        <w:t xml:space="preserve">The BSPs will </w:t>
      </w:r>
      <w:r w:rsidR="00EA7C45" w:rsidRPr="00317646">
        <w:t>be settled for the</w:t>
      </w:r>
      <w:r w:rsidRPr="00317646">
        <w:t xml:space="preserve"> requested volume of energy</w:t>
      </w:r>
      <w:r w:rsidR="0035336F" w:rsidRPr="00317646">
        <w:t>;</w:t>
      </w:r>
    </w:p>
    <w:p w14:paraId="538FE291" w14:textId="77777777" w:rsidR="00EA7C45" w:rsidRPr="00317646" w:rsidRDefault="001709A6" w:rsidP="003555B4">
      <w:pPr>
        <w:pStyle w:val="ListParagraph"/>
        <w:numPr>
          <w:ilvl w:val="1"/>
          <w:numId w:val="24"/>
        </w:numPr>
      </w:pPr>
      <w:r w:rsidRPr="00317646">
        <w:t>The BSPs will receive the cross</w:t>
      </w:r>
      <w:r w:rsidR="00010959" w:rsidRPr="00317646">
        <w:t>-</w:t>
      </w:r>
      <w:r w:rsidR="00EA7C45" w:rsidRPr="00317646">
        <w:t xml:space="preserve">zonal </w:t>
      </w:r>
      <w:r w:rsidRPr="00317646">
        <w:t>marginal price</w:t>
      </w:r>
      <w:r w:rsidR="00EA7C45" w:rsidRPr="00317646">
        <w:t xml:space="preserve">. If </w:t>
      </w:r>
      <w:r w:rsidR="009E2767" w:rsidRPr="00317646">
        <w:t>a C</w:t>
      </w:r>
      <w:r w:rsidR="00774495" w:rsidRPr="00317646">
        <w:t xml:space="preserve">onnecting </w:t>
      </w:r>
      <w:r w:rsidR="00EA7C45" w:rsidRPr="00317646">
        <w:t xml:space="preserve">TSO converts bids submitted to the </w:t>
      </w:r>
      <w:r w:rsidR="00DE76CC" w:rsidRPr="00317646">
        <w:t>RR-Platform</w:t>
      </w:r>
      <w:r w:rsidR="002F3727" w:rsidRPr="00317646">
        <w:t xml:space="preserve"> </w:t>
      </w:r>
      <w:r w:rsidR="00EA7C45" w:rsidRPr="00317646">
        <w:t>from integrated scheduling</w:t>
      </w:r>
      <w:r w:rsidR="00817A09" w:rsidRPr="00317646">
        <w:t xml:space="preserve"> process</w:t>
      </w:r>
      <w:r w:rsidR="00EA7C45" w:rsidRPr="00317646">
        <w:t xml:space="preserve"> bids or from specific products</w:t>
      </w:r>
      <w:r w:rsidR="009E2767" w:rsidRPr="00317646">
        <w:t>, settlement</w:t>
      </w:r>
      <w:r w:rsidR="00EA7C45" w:rsidRPr="00317646">
        <w:t xml:space="preserve"> with BSP</w:t>
      </w:r>
      <w:r w:rsidR="009E2767" w:rsidRPr="00317646">
        <w:t>s</w:t>
      </w:r>
      <w:r w:rsidR="00EA7C45" w:rsidRPr="00317646">
        <w:t xml:space="preserve"> can be adapted in order to ensure</w:t>
      </w:r>
      <w:r w:rsidR="00774495" w:rsidRPr="00317646">
        <w:t xml:space="preserve"> such</w:t>
      </w:r>
      <w:r w:rsidR="00EA7C45" w:rsidRPr="00317646">
        <w:t xml:space="preserve"> TSO financial neutrality pursuant to Articles 26(4) and 27(3) of </w:t>
      </w:r>
      <w:r w:rsidR="00547B2A" w:rsidRPr="00317646">
        <w:t>EBGL</w:t>
      </w:r>
      <w:r w:rsidR="0035336F" w:rsidRPr="00317646">
        <w:t>;</w:t>
      </w:r>
    </w:p>
    <w:p w14:paraId="51F3AE84" w14:textId="77777777" w:rsidR="001709A6" w:rsidRPr="00317646" w:rsidRDefault="001709A6" w:rsidP="003555B4">
      <w:pPr>
        <w:pStyle w:val="ListParagraph"/>
        <w:numPr>
          <w:ilvl w:val="1"/>
          <w:numId w:val="24"/>
        </w:numPr>
        <w:spacing w:after="160" w:line="259" w:lineRule="auto"/>
        <w:contextualSpacing/>
      </w:pPr>
      <w:r w:rsidRPr="00317646">
        <w:t>The BSP will identify the location of the product</w:t>
      </w:r>
      <w:r w:rsidR="00EA7C45" w:rsidRPr="00317646">
        <w:t xml:space="preserve"> in non-portfolio bidding systems</w:t>
      </w:r>
      <w:r w:rsidR="0035336F" w:rsidRPr="00317646">
        <w:t>;</w:t>
      </w:r>
    </w:p>
    <w:p w14:paraId="0C7ACFA1" w14:textId="77777777" w:rsidR="001709A6" w:rsidRDefault="001709A6" w:rsidP="003555B4">
      <w:pPr>
        <w:pStyle w:val="ListParagraph"/>
        <w:numPr>
          <w:ilvl w:val="1"/>
          <w:numId w:val="24"/>
        </w:numPr>
        <w:spacing w:after="160" w:line="259" w:lineRule="auto"/>
        <w:contextualSpacing/>
      </w:pPr>
      <w:r w:rsidRPr="00317646">
        <w:t>In case of</w:t>
      </w:r>
      <w:r w:rsidR="00EA7C45" w:rsidRPr="00317646">
        <w:t xml:space="preserve"> under or over delivery of balancing energy</w:t>
      </w:r>
      <w:r w:rsidRPr="00317646">
        <w:t>, the BSP will have financial consequences directly or through the BRP</w:t>
      </w:r>
      <w:r w:rsidR="0039273E">
        <w:t>.</w:t>
      </w:r>
    </w:p>
    <w:p w14:paraId="5E7C0683" w14:textId="77777777" w:rsidR="00AB23DE" w:rsidRDefault="00AB23DE" w:rsidP="007377F7">
      <w:pPr>
        <w:spacing w:after="160" w:line="259" w:lineRule="auto"/>
        <w:contextualSpacing/>
        <w:rPr>
          <w:lang w:val="en-GB"/>
        </w:rPr>
      </w:pPr>
    </w:p>
    <w:p w14:paraId="5712C42D" w14:textId="77777777" w:rsidR="00353806" w:rsidRPr="00317646" w:rsidRDefault="00353806" w:rsidP="007377F7">
      <w:pPr>
        <w:spacing w:after="160" w:line="259" w:lineRule="auto"/>
        <w:contextualSpacing/>
        <w:rPr>
          <w:lang w:val="en-GB"/>
        </w:rPr>
      </w:pPr>
    </w:p>
    <w:p w14:paraId="05FCE478" w14:textId="77777777" w:rsidR="00476F93" w:rsidRPr="00317646" w:rsidRDefault="00476F93" w:rsidP="00476F93">
      <w:pPr>
        <w:spacing w:after="120" w:line="260" w:lineRule="exact"/>
        <w:jc w:val="center"/>
        <w:outlineLvl w:val="1"/>
        <w:rPr>
          <w:rFonts w:ascii="Times New Roman" w:hAnsi="Times New Roman" w:cs="Arial"/>
          <w:b/>
          <w:color w:val="23236E"/>
          <w:sz w:val="24"/>
          <w:lang w:val="en-GB" w:eastAsia="en-US"/>
        </w:rPr>
      </w:pPr>
      <w:bookmarkStart w:id="53" w:name="_Toc51082159"/>
      <w:r w:rsidRPr="00317646">
        <w:rPr>
          <w:rFonts w:ascii="Times New Roman" w:hAnsi="Times New Roman" w:cs="Arial"/>
          <w:b/>
          <w:color w:val="23236E"/>
          <w:sz w:val="24"/>
          <w:lang w:val="en-GB" w:eastAsia="en-US"/>
        </w:rPr>
        <w:t>Article 1</w:t>
      </w:r>
      <w:r w:rsidR="00FE0C1A" w:rsidRPr="00317646">
        <w:rPr>
          <w:rFonts w:ascii="Times New Roman" w:hAnsi="Times New Roman" w:cs="Arial"/>
          <w:b/>
          <w:color w:val="23236E"/>
          <w:sz w:val="24"/>
          <w:lang w:val="en-GB" w:eastAsia="en-US"/>
        </w:rPr>
        <w:t>2</w:t>
      </w:r>
      <w:r w:rsidRPr="00317646">
        <w:rPr>
          <w:rFonts w:ascii="Times New Roman" w:hAnsi="Times New Roman" w:cs="Arial"/>
          <w:b/>
          <w:color w:val="23236E"/>
          <w:sz w:val="24"/>
          <w:lang w:val="en-GB" w:eastAsia="en-US"/>
        </w:rPr>
        <w:br/>
      </w:r>
      <w:bookmarkStart w:id="54" w:name="_Hlk502929110"/>
      <w:r w:rsidRPr="00317646">
        <w:rPr>
          <w:rFonts w:ascii="Times New Roman" w:hAnsi="Times New Roman" w:cs="Arial"/>
          <w:b/>
          <w:color w:val="23236E"/>
          <w:sz w:val="24"/>
          <w:lang w:val="en-GB" w:eastAsia="en-US"/>
        </w:rPr>
        <w:t>Cost Sharing Principle</w:t>
      </w:r>
      <w:bookmarkEnd w:id="54"/>
      <w:r w:rsidR="00363111" w:rsidRPr="00317646">
        <w:rPr>
          <w:rFonts w:ascii="Times New Roman" w:hAnsi="Times New Roman" w:cs="Arial"/>
          <w:b/>
          <w:color w:val="23236E"/>
          <w:sz w:val="24"/>
          <w:lang w:val="en-GB" w:eastAsia="en-US"/>
        </w:rPr>
        <w:t>s</w:t>
      </w:r>
      <w:bookmarkEnd w:id="53"/>
    </w:p>
    <w:p w14:paraId="51D57535" w14:textId="77777777" w:rsidR="006830CC" w:rsidRPr="00317646" w:rsidRDefault="00BF71E1" w:rsidP="003555B4">
      <w:pPr>
        <w:pStyle w:val="textenumeration"/>
        <w:numPr>
          <w:ilvl w:val="0"/>
          <w:numId w:val="19"/>
        </w:numPr>
        <w:rPr>
          <w:lang w:val="en-GB" w:eastAsia="en-US"/>
        </w:rPr>
      </w:pPr>
      <w:r w:rsidRPr="00317646">
        <w:rPr>
          <w:lang w:val="en-GB"/>
        </w:rPr>
        <w:t xml:space="preserve">The cost sharing between </w:t>
      </w:r>
      <w:r w:rsidR="000950F5" w:rsidRPr="00317646">
        <w:rPr>
          <w:lang w:val="en-GB"/>
        </w:rPr>
        <w:t xml:space="preserve">the </w:t>
      </w:r>
      <w:r w:rsidRPr="00317646">
        <w:rPr>
          <w:lang w:val="en-GB"/>
        </w:rPr>
        <w:t xml:space="preserve">TSOs in different </w:t>
      </w:r>
      <w:r w:rsidR="00476F93" w:rsidRPr="00317646">
        <w:rPr>
          <w:lang w:val="en-GB"/>
        </w:rPr>
        <w:t>RR countries</w:t>
      </w:r>
      <w:r w:rsidRPr="00317646">
        <w:rPr>
          <w:lang w:val="en-GB"/>
        </w:rPr>
        <w:t xml:space="preserve"> will be based on the principles in accordance with Article 23 of the </w:t>
      </w:r>
      <w:r w:rsidR="00547B2A" w:rsidRPr="00317646">
        <w:rPr>
          <w:lang w:val="en-GB"/>
        </w:rPr>
        <w:t>EBGL</w:t>
      </w:r>
      <w:r w:rsidRPr="00317646">
        <w:rPr>
          <w:lang w:val="en-GB"/>
        </w:rPr>
        <w:t xml:space="preserve">. </w:t>
      </w:r>
    </w:p>
    <w:p w14:paraId="04FE5324" w14:textId="77777777" w:rsidR="006830CC" w:rsidRPr="00317646" w:rsidRDefault="00BF71E1" w:rsidP="003555B4">
      <w:pPr>
        <w:pStyle w:val="textenumeration"/>
        <w:numPr>
          <w:ilvl w:val="0"/>
          <w:numId w:val="19"/>
        </w:numPr>
        <w:rPr>
          <w:lang w:val="en-GB" w:eastAsia="en-US"/>
        </w:rPr>
      </w:pPr>
      <w:r w:rsidRPr="00317646">
        <w:rPr>
          <w:lang w:val="en-GB"/>
        </w:rPr>
        <w:t xml:space="preserve">The costs associated with the establishing, amending and operation of </w:t>
      </w:r>
      <w:r w:rsidR="00DE76CC" w:rsidRPr="00317646">
        <w:rPr>
          <w:lang w:val="en-GB"/>
        </w:rPr>
        <w:t>RR-Platform</w:t>
      </w:r>
      <w:r w:rsidR="00116B1D" w:rsidRPr="00317646">
        <w:rPr>
          <w:lang w:val="en-GB"/>
        </w:rPr>
        <w:t xml:space="preserve"> </w:t>
      </w:r>
      <w:r w:rsidRPr="00317646">
        <w:rPr>
          <w:lang w:val="en-GB"/>
        </w:rPr>
        <w:t>are broken down into:</w:t>
      </w:r>
    </w:p>
    <w:p w14:paraId="2BC83A3C" w14:textId="77777777" w:rsidR="006830CC" w:rsidRPr="00317646" w:rsidRDefault="00BF71E1" w:rsidP="003555B4">
      <w:pPr>
        <w:pStyle w:val="textenumeration"/>
        <w:numPr>
          <w:ilvl w:val="1"/>
          <w:numId w:val="19"/>
        </w:numPr>
        <w:rPr>
          <w:lang w:val="en-GB" w:eastAsia="en-US"/>
        </w:rPr>
      </w:pPr>
      <w:r w:rsidRPr="00317646">
        <w:rPr>
          <w:b/>
          <w:lang w:val="en-GB" w:eastAsia="en-US"/>
        </w:rPr>
        <w:t>Common costs</w:t>
      </w:r>
      <w:r w:rsidRPr="00317646">
        <w:rPr>
          <w:lang w:val="en-GB" w:eastAsia="en-US"/>
        </w:rPr>
        <w:t xml:space="preserve"> resulting from </w:t>
      </w:r>
      <w:r w:rsidR="00DE76CC" w:rsidRPr="00317646">
        <w:rPr>
          <w:lang w:val="en-GB" w:eastAsia="en-US"/>
        </w:rPr>
        <w:t>RR-Platform</w:t>
      </w:r>
      <w:r w:rsidR="0031447D" w:rsidRPr="00317646">
        <w:rPr>
          <w:lang w:val="en-GB" w:eastAsia="en-US"/>
        </w:rPr>
        <w:t xml:space="preserve"> </w:t>
      </w:r>
      <w:r w:rsidRPr="00317646">
        <w:rPr>
          <w:lang w:val="en-GB" w:eastAsia="en-US"/>
        </w:rPr>
        <w:t>development costs</w:t>
      </w:r>
      <w:r w:rsidR="00CC3F86" w:rsidRPr="00317646">
        <w:rPr>
          <w:lang w:val="en-GB" w:eastAsia="en-US"/>
        </w:rPr>
        <w:t>,</w:t>
      </w:r>
      <w:r w:rsidRPr="00317646">
        <w:rPr>
          <w:lang w:val="en-GB" w:eastAsia="en-US"/>
        </w:rPr>
        <w:t xml:space="preserve"> costs </w:t>
      </w:r>
      <w:r w:rsidR="003A7924" w:rsidRPr="00317646">
        <w:rPr>
          <w:lang w:val="en-GB" w:eastAsia="en-US"/>
        </w:rPr>
        <w:t xml:space="preserve">required for </w:t>
      </w:r>
      <w:r w:rsidRPr="00317646">
        <w:rPr>
          <w:lang w:val="en-GB" w:eastAsia="en-US"/>
        </w:rPr>
        <w:t xml:space="preserve">external support </w:t>
      </w:r>
      <w:r w:rsidR="00CC3F86" w:rsidRPr="00317646">
        <w:rPr>
          <w:lang w:val="en-GB" w:eastAsia="en-US"/>
        </w:rPr>
        <w:t>to the project and the Project Management Office (PMO) costs</w:t>
      </w:r>
      <w:r w:rsidRPr="00317646">
        <w:rPr>
          <w:lang w:val="en-GB" w:eastAsia="en-US"/>
        </w:rPr>
        <w:t xml:space="preserve">. </w:t>
      </w:r>
      <w:r w:rsidR="00B968E1" w:rsidRPr="00317646">
        <w:rPr>
          <w:lang w:val="en-GB" w:eastAsia="en-US"/>
        </w:rPr>
        <w:t xml:space="preserve">These costs are required for the </w:t>
      </w:r>
      <w:r w:rsidR="00B968E1" w:rsidRPr="00317646">
        <w:rPr>
          <w:lang w:val="en-GB"/>
        </w:rPr>
        <w:t xml:space="preserve">establishing, amending and operating the </w:t>
      </w:r>
      <w:r w:rsidR="00794459" w:rsidRPr="00317646">
        <w:rPr>
          <w:lang w:val="en-GB"/>
        </w:rPr>
        <w:t>RR-</w:t>
      </w:r>
      <w:r w:rsidR="00B968E1" w:rsidRPr="00317646">
        <w:rPr>
          <w:lang w:val="en-GB"/>
        </w:rPr>
        <w:t>platform.</w:t>
      </w:r>
    </w:p>
    <w:p w14:paraId="3B6EE571" w14:textId="77777777" w:rsidR="006830CC" w:rsidRPr="00317646" w:rsidRDefault="004C599B" w:rsidP="003555B4">
      <w:pPr>
        <w:pStyle w:val="textenumeration"/>
        <w:numPr>
          <w:ilvl w:val="1"/>
          <w:numId w:val="19"/>
        </w:numPr>
        <w:rPr>
          <w:lang w:val="en-GB" w:eastAsia="en-US"/>
        </w:rPr>
      </w:pPr>
      <w:r w:rsidRPr="00317646">
        <w:rPr>
          <w:b/>
          <w:lang w:val="en-GB" w:eastAsia="en-US"/>
        </w:rPr>
        <w:lastRenderedPageBreak/>
        <w:t>The historical costs</w:t>
      </w:r>
      <w:r w:rsidRPr="00317646">
        <w:rPr>
          <w:lang w:val="en-GB" w:eastAsia="en-US"/>
        </w:rPr>
        <w:t xml:space="preserve"> (Article 23(6) of the </w:t>
      </w:r>
      <w:r w:rsidR="00547B2A" w:rsidRPr="00317646">
        <w:rPr>
          <w:lang w:val="en-GB" w:eastAsia="en-US"/>
        </w:rPr>
        <w:t>EBGL</w:t>
      </w:r>
      <w:r w:rsidRPr="00317646">
        <w:rPr>
          <w:lang w:val="en-GB" w:eastAsia="en-US"/>
        </w:rPr>
        <w:t>) will include all the common costs</w:t>
      </w:r>
      <w:r w:rsidR="00962578" w:rsidRPr="00317646">
        <w:rPr>
          <w:lang w:val="en-GB" w:eastAsia="en-US"/>
        </w:rPr>
        <w:t xml:space="preserve">, </w:t>
      </w:r>
      <w:r w:rsidRPr="00317646">
        <w:rPr>
          <w:lang w:val="en-GB" w:eastAsia="en-US"/>
        </w:rPr>
        <w:t xml:space="preserve">as outlined in Article </w:t>
      </w:r>
      <w:r w:rsidR="00CC3F86" w:rsidRPr="00317646">
        <w:rPr>
          <w:lang w:val="en-GB" w:eastAsia="en-US"/>
        </w:rPr>
        <w:t>12.</w:t>
      </w:r>
      <w:r w:rsidRPr="00317646">
        <w:rPr>
          <w:lang w:val="en-GB" w:eastAsia="en-US"/>
        </w:rPr>
        <w:t xml:space="preserve">2 (a) of this RRIF, </w:t>
      </w:r>
      <w:r w:rsidR="00962578" w:rsidRPr="00317646">
        <w:rPr>
          <w:lang w:val="en-GB" w:eastAsia="en-US"/>
        </w:rPr>
        <w:t xml:space="preserve">incurred from January 2017 and excluding the PMO costs. </w:t>
      </w:r>
    </w:p>
    <w:p w14:paraId="2864EB21" w14:textId="77777777" w:rsidR="004C599B" w:rsidRPr="00317646" w:rsidRDefault="00BF71E1" w:rsidP="003555B4">
      <w:pPr>
        <w:pStyle w:val="textenumeration"/>
        <w:numPr>
          <w:ilvl w:val="0"/>
          <w:numId w:val="19"/>
        </w:numPr>
        <w:rPr>
          <w:lang w:val="en-GB" w:eastAsia="en-US"/>
        </w:rPr>
      </w:pPr>
      <w:r w:rsidRPr="00317646">
        <w:rPr>
          <w:lang w:val="en-GB" w:eastAsia="en-US"/>
        </w:rPr>
        <w:t xml:space="preserve">The TSOs participating to the </w:t>
      </w:r>
      <w:r w:rsidR="00A46F5F" w:rsidRPr="00317646">
        <w:rPr>
          <w:lang w:val="en-GB" w:eastAsia="en-US"/>
        </w:rPr>
        <w:t xml:space="preserve">Implementation </w:t>
      </w:r>
      <w:r w:rsidRPr="00317646">
        <w:rPr>
          <w:lang w:val="en-GB" w:eastAsia="en-US"/>
        </w:rPr>
        <w:t>project</w:t>
      </w:r>
      <w:r w:rsidR="00B249ED" w:rsidRPr="00317646">
        <w:rPr>
          <w:lang w:val="en-GB" w:eastAsia="en-US"/>
        </w:rPr>
        <w:t xml:space="preserve"> and</w:t>
      </w:r>
      <w:r w:rsidR="00E05F49" w:rsidRPr="00317646">
        <w:rPr>
          <w:lang w:val="en-GB" w:eastAsia="en-US"/>
        </w:rPr>
        <w:t>/</w:t>
      </w:r>
      <w:r w:rsidR="00B249ED" w:rsidRPr="00317646">
        <w:rPr>
          <w:lang w:val="en-GB" w:eastAsia="en-US"/>
        </w:rPr>
        <w:t>or RR</w:t>
      </w:r>
      <w:r w:rsidR="00CA6A32" w:rsidRPr="00317646">
        <w:rPr>
          <w:lang w:val="en-GB" w:eastAsia="en-US"/>
        </w:rPr>
        <w:t>-</w:t>
      </w:r>
      <w:r w:rsidR="00B249ED" w:rsidRPr="00317646">
        <w:rPr>
          <w:lang w:val="en-GB" w:eastAsia="en-US"/>
        </w:rPr>
        <w:t>Platform</w:t>
      </w:r>
      <w:r w:rsidRPr="00317646">
        <w:rPr>
          <w:lang w:val="en-GB" w:eastAsia="en-US"/>
        </w:rPr>
        <w:t xml:space="preserve"> as </w:t>
      </w:r>
      <w:r w:rsidR="0052503A" w:rsidRPr="00317646">
        <w:rPr>
          <w:lang w:val="en-GB" w:eastAsia="en-US"/>
        </w:rPr>
        <w:t>M</w:t>
      </w:r>
      <w:r w:rsidR="0047449D" w:rsidRPr="00317646">
        <w:rPr>
          <w:lang w:val="en-GB" w:eastAsia="en-US"/>
        </w:rPr>
        <w:t xml:space="preserve">embers </w:t>
      </w:r>
      <w:r w:rsidRPr="00317646">
        <w:rPr>
          <w:lang w:val="en-GB" w:eastAsia="en-US"/>
        </w:rPr>
        <w:t xml:space="preserve">will contribute to the costs outlined in </w:t>
      </w:r>
      <w:r w:rsidR="00D834C2" w:rsidRPr="00317646">
        <w:rPr>
          <w:lang w:val="en-GB" w:eastAsia="en-US"/>
        </w:rPr>
        <w:t>Article</w:t>
      </w:r>
      <w:r w:rsidRPr="00317646">
        <w:rPr>
          <w:lang w:val="en-GB" w:eastAsia="en-US"/>
        </w:rPr>
        <w:t xml:space="preserve"> </w:t>
      </w:r>
      <w:r w:rsidR="00CC3F86" w:rsidRPr="00317646">
        <w:rPr>
          <w:lang w:val="en-GB" w:eastAsia="en-US"/>
        </w:rPr>
        <w:t>12.</w:t>
      </w:r>
      <w:r w:rsidRPr="00317646">
        <w:rPr>
          <w:lang w:val="en-GB" w:eastAsia="en-US"/>
        </w:rPr>
        <w:t>2</w:t>
      </w:r>
      <w:r w:rsidR="00D834C2" w:rsidRPr="00317646">
        <w:rPr>
          <w:lang w:val="en-GB" w:eastAsia="en-US"/>
        </w:rPr>
        <w:t xml:space="preserve"> (</w:t>
      </w:r>
      <w:r w:rsidRPr="00317646">
        <w:rPr>
          <w:lang w:val="en-GB" w:eastAsia="en-US"/>
        </w:rPr>
        <w:t>a</w:t>
      </w:r>
      <w:r w:rsidR="00D834C2" w:rsidRPr="00317646">
        <w:rPr>
          <w:lang w:val="en-GB" w:eastAsia="en-US"/>
        </w:rPr>
        <w:t>) of this RRIF</w:t>
      </w:r>
      <w:r w:rsidRPr="00317646">
        <w:rPr>
          <w:lang w:val="en-GB" w:eastAsia="en-US"/>
        </w:rPr>
        <w:t xml:space="preserve">. </w:t>
      </w:r>
    </w:p>
    <w:p w14:paraId="429D2AFA" w14:textId="77777777" w:rsidR="006830CC" w:rsidRPr="00317646" w:rsidRDefault="00CC3F86" w:rsidP="003555B4">
      <w:pPr>
        <w:pStyle w:val="textenumeration"/>
        <w:numPr>
          <w:ilvl w:val="0"/>
          <w:numId w:val="19"/>
        </w:numPr>
        <w:rPr>
          <w:lang w:val="en-GB" w:eastAsia="en-US"/>
        </w:rPr>
      </w:pPr>
      <w:r w:rsidRPr="00317646">
        <w:rPr>
          <w:lang w:val="en-GB" w:eastAsia="en-US"/>
        </w:rPr>
        <w:t xml:space="preserve">Observers </w:t>
      </w:r>
      <w:r w:rsidR="00094F64" w:rsidRPr="00317646">
        <w:rPr>
          <w:lang w:val="en-GB" w:eastAsia="en-US"/>
        </w:rPr>
        <w:t xml:space="preserve">in </w:t>
      </w:r>
      <w:r w:rsidRPr="00317646">
        <w:rPr>
          <w:lang w:val="en-GB" w:eastAsia="en-US"/>
        </w:rPr>
        <w:t xml:space="preserve">the </w:t>
      </w:r>
      <w:r w:rsidR="00236594" w:rsidRPr="00317646">
        <w:rPr>
          <w:lang w:val="en-GB" w:eastAsia="en-US"/>
        </w:rPr>
        <w:t>Implementation project</w:t>
      </w:r>
      <w:r w:rsidRPr="00317646">
        <w:rPr>
          <w:lang w:val="en-GB" w:eastAsia="en-US"/>
        </w:rPr>
        <w:t xml:space="preserve"> </w:t>
      </w:r>
      <w:r w:rsidR="00B249ED" w:rsidRPr="00317646">
        <w:rPr>
          <w:lang w:val="en-GB" w:eastAsia="en-US"/>
        </w:rPr>
        <w:t>and/or RR</w:t>
      </w:r>
      <w:r w:rsidR="00CA6A32" w:rsidRPr="00317646">
        <w:rPr>
          <w:lang w:val="en-GB" w:eastAsia="en-US"/>
        </w:rPr>
        <w:t>-</w:t>
      </w:r>
      <w:r w:rsidR="00B249ED" w:rsidRPr="00317646">
        <w:rPr>
          <w:lang w:val="en-GB" w:eastAsia="en-US"/>
        </w:rPr>
        <w:t xml:space="preserve">Platform </w:t>
      </w:r>
      <w:r w:rsidRPr="00317646">
        <w:rPr>
          <w:lang w:val="en-GB" w:eastAsia="en-US"/>
        </w:rPr>
        <w:t>will participate only to the PMO costs.</w:t>
      </w:r>
    </w:p>
    <w:p w14:paraId="2286986E" w14:textId="77777777" w:rsidR="00094F64" w:rsidRPr="00317646" w:rsidRDefault="00094F64" w:rsidP="003555B4">
      <w:pPr>
        <w:pStyle w:val="textenumeration"/>
        <w:numPr>
          <w:ilvl w:val="0"/>
          <w:numId w:val="19"/>
        </w:numPr>
        <w:rPr>
          <w:lang w:val="en-GB" w:eastAsia="en-US"/>
        </w:rPr>
      </w:pPr>
      <w:r w:rsidRPr="00317646">
        <w:rPr>
          <w:lang w:val="en-GB" w:eastAsia="en-US"/>
        </w:rPr>
        <w:t xml:space="preserve">Observers that have already joined the </w:t>
      </w:r>
      <w:r w:rsidR="00236594" w:rsidRPr="00317646">
        <w:rPr>
          <w:lang w:val="en-GB" w:eastAsia="en-US"/>
        </w:rPr>
        <w:t>Implementation project</w:t>
      </w:r>
      <w:r w:rsidRPr="00317646">
        <w:rPr>
          <w:lang w:val="en-GB" w:eastAsia="en-US"/>
        </w:rPr>
        <w:t xml:space="preserve"> and later become </w:t>
      </w:r>
      <w:r w:rsidR="0052503A" w:rsidRPr="00317646">
        <w:rPr>
          <w:lang w:val="en-GB" w:eastAsia="en-US"/>
        </w:rPr>
        <w:t>M</w:t>
      </w:r>
      <w:r w:rsidRPr="00317646">
        <w:rPr>
          <w:lang w:val="en-GB" w:eastAsia="en-US"/>
        </w:rPr>
        <w:t xml:space="preserve">embers or TSOs which directly enter the </w:t>
      </w:r>
      <w:r w:rsidR="00A46F5F" w:rsidRPr="00317646">
        <w:rPr>
          <w:lang w:val="en-GB" w:eastAsia="en-US"/>
        </w:rPr>
        <w:t xml:space="preserve">Implementation </w:t>
      </w:r>
      <w:r w:rsidRPr="00317646">
        <w:rPr>
          <w:lang w:val="en-GB" w:eastAsia="en-US"/>
        </w:rPr>
        <w:t xml:space="preserve">project as </w:t>
      </w:r>
      <w:r w:rsidR="0052503A" w:rsidRPr="00317646">
        <w:rPr>
          <w:lang w:val="en-GB" w:eastAsia="en-US"/>
        </w:rPr>
        <w:t>M</w:t>
      </w:r>
      <w:r w:rsidRPr="00317646">
        <w:rPr>
          <w:lang w:val="en-GB" w:eastAsia="en-US"/>
        </w:rPr>
        <w:t>embers will contribute to the costs as outlined in Article 12.2 (a) and Article 12.2 (b) of this RRIF.</w:t>
      </w:r>
    </w:p>
    <w:p w14:paraId="2092851C" w14:textId="77777777" w:rsidR="006830CC" w:rsidRPr="00317646" w:rsidRDefault="00BF71E1" w:rsidP="003555B4">
      <w:pPr>
        <w:pStyle w:val="textenumeration"/>
        <w:numPr>
          <w:ilvl w:val="0"/>
          <w:numId w:val="19"/>
        </w:numPr>
        <w:rPr>
          <w:lang w:val="en-GB" w:eastAsia="en-US"/>
        </w:rPr>
      </w:pPr>
      <w:r w:rsidRPr="00317646">
        <w:rPr>
          <w:lang w:val="en-GB" w:eastAsia="en-US"/>
        </w:rPr>
        <w:t xml:space="preserve">National </w:t>
      </w:r>
      <w:r w:rsidR="00116B1D" w:rsidRPr="00317646">
        <w:rPr>
          <w:lang w:val="en-GB" w:eastAsia="en-US"/>
        </w:rPr>
        <w:t xml:space="preserve">Implementation </w:t>
      </w:r>
      <w:r w:rsidRPr="00317646">
        <w:rPr>
          <w:lang w:val="en-GB" w:eastAsia="en-US"/>
        </w:rPr>
        <w:t xml:space="preserve">costs are not managed under the </w:t>
      </w:r>
      <w:r w:rsidR="00236594" w:rsidRPr="00317646">
        <w:rPr>
          <w:lang w:val="en-GB" w:eastAsia="en-US"/>
        </w:rPr>
        <w:t>Implementation project</w:t>
      </w:r>
      <w:r w:rsidRPr="00317646">
        <w:rPr>
          <w:lang w:val="en-GB" w:eastAsia="en-US"/>
        </w:rPr>
        <w:t xml:space="preserve"> and will therefore be managed at a local level under regulatory approval.</w:t>
      </w:r>
    </w:p>
    <w:p w14:paraId="30095226" w14:textId="77777777" w:rsidR="00BF71E1" w:rsidRPr="00317646" w:rsidRDefault="00BF71E1" w:rsidP="003555B4">
      <w:pPr>
        <w:pStyle w:val="textenumeration"/>
        <w:numPr>
          <w:ilvl w:val="0"/>
          <w:numId w:val="19"/>
        </w:numPr>
        <w:rPr>
          <w:lang w:val="en-GB" w:eastAsia="en-US"/>
        </w:rPr>
      </w:pPr>
      <w:r w:rsidRPr="00317646">
        <w:rPr>
          <w:lang w:val="en-GB" w:eastAsia="en-US"/>
        </w:rPr>
        <w:t xml:space="preserve">Common costs referred to in </w:t>
      </w:r>
      <w:r w:rsidR="00D834C2" w:rsidRPr="00317646">
        <w:rPr>
          <w:lang w:val="en-GB" w:eastAsia="en-US"/>
        </w:rPr>
        <w:t>Article</w:t>
      </w:r>
      <w:r w:rsidRPr="00317646">
        <w:rPr>
          <w:lang w:val="en-GB" w:eastAsia="en-US"/>
        </w:rPr>
        <w:t xml:space="preserve"> </w:t>
      </w:r>
      <w:r w:rsidR="00CC3F86" w:rsidRPr="00317646">
        <w:rPr>
          <w:lang w:val="en-GB" w:eastAsia="en-US"/>
        </w:rPr>
        <w:t>12.2</w:t>
      </w:r>
      <w:r w:rsidR="00602369" w:rsidRPr="00317646">
        <w:rPr>
          <w:lang w:val="en-GB" w:eastAsia="en-US"/>
        </w:rPr>
        <w:t xml:space="preserve"> </w:t>
      </w:r>
      <w:r w:rsidRPr="00317646">
        <w:rPr>
          <w:lang w:val="en-GB" w:eastAsia="en-US"/>
        </w:rPr>
        <w:t>(a</w:t>
      </w:r>
      <w:r w:rsidR="00CC3F86" w:rsidRPr="00317646">
        <w:rPr>
          <w:lang w:val="en-GB" w:eastAsia="en-US"/>
        </w:rPr>
        <w:t>)</w:t>
      </w:r>
      <w:r w:rsidRPr="00317646">
        <w:rPr>
          <w:lang w:val="en-GB" w:eastAsia="en-US"/>
        </w:rPr>
        <w:t>,</w:t>
      </w:r>
      <w:r w:rsidR="00CC3F86" w:rsidRPr="00317646">
        <w:rPr>
          <w:lang w:val="en-GB" w:eastAsia="en-US"/>
        </w:rPr>
        <w:t xml:space="preserve"> (</w:t>
      </w:r>
      <w:r w:rsidRPr="00317646">
        <w:rPr>
          <w:lang w:val="en-GB" w:eastAsia="en-US"/>
        </w:rPr>
        <w:t>b)</w:t>
      </w:r>
      <w:r w:rsidR="00D834C2" w:rsidRPr="00317646">
        <w:rPr>
          <w:lang w:val="en-GB" w:eastAsia="en-US"/>
        </w:rPr>
        <w:t xml:space="preserve"> of this RRIF</w:t>
      </w:r>
      <w:r w:rsidRPr="00317646">
        <w:rPr>
          <w:lang w:val="en-GB" w:eastAsia="en-US"/>
        </w:rPr>
        <w:t xml:space="preserve">, will be shared among the </w:t>
      </w:r>
      <w:r w:rsidR="00B870B4" w:rsidRPr="00317646">
        <w:rPr>
          <w:lang w:val="en-GB" w:eastAsia="en-US"/>
        </w:rPr>
        <w:t xml:space="preserve">RR TSOs </w:t>
      </w:r>
      <w:r w:rsidRPr="00317646">
        <w:rPr>
          <w:lang w:val="en-GB" w:eastAsia="en-US"/>
        </w:rPr>
        <w:t xml:space="preserve">in the </w:t>
      </w:r>
      <w:r w:rsidR="00476F93" w:rsidRPr="00317646">
        <w:rPr>
          <w:lang w:val="en-GB" w:eastAsia="en-US"/>
        </w:rPr>
        <w:t xml:space="preserve">RR </w:t>
      </w:r>
      <w:r w:rsidR="00B870B4" w:rsidRPr="00317646">
        <w:rPr>
          <w:lang w:val="en-GB" w:eastAsia="en-US"/>
        </w:rPr>
        <w:t>C</w:t>
      </w:r>
      <w:r w:rsidR="00476F93" w:rsidRPr="00317646">
        <w:rPr>
          <w:lang w:val="en-GB" w:eastAsia="en-US"/>
        </w:rPr>
        <w:t>ountries</w:t>
      </w:r>
      <w:r w:rsidRPr="00317646">
        <w:rPr>
          <w:lang w:val="en-GB" w:eastAsia="en-US"/>
        </w:rPr>
        <w:t xml:space="preserve"> </w:t>
      </w:r>
      <w:r w:rsidR="0005373C" w:rsidRPr="00317646">
        <w:rPr>
          <w:lang w:val="en-GB" w:eastAsia="en-US"/>
        </w:rPr>
        <w:t>in accordance with Article 23 of the EBGL</w:t>
      </w:r>
      <w:r w:rsidRPr="00317646">
        <w:rPr>
          <w:lang w:val="en-GB" w:eastAsia="en-US"/>
        </w:rPr>
        <w:t>:</w:t>
      </w:r>
    </w:p>
    <w:p w14:paraId="70A14083" w14:textId="77777777" w:rsidR="00BF71E1" w:rsidRPr="00317646" w:rsidRDefault="00BF71E1" w:rsidP="003555B4">
      <w:pPr>
        <w:pStyle w:val="textenumeration"/>
        <w:numPr>
          <w:ilvl w:val="1"/>
          <w:numId w:val="12"/>
        </w:numPr>
        <w:rPr>
          <w:lang w:val="en-GB" w:eastAsia="en-US"/>
        </w:rPr>
      </w:pPr>
      <w:r w:rsidRPr="00317646">
        <w:rPr>
          <w:lang w:val="en-GB" w:eastAsia="en-US"/>
        </w:rPr>
        <w:t xml:space="preserve">One eighth will be divided equally between each </w:t>
      </w:r>
      <w:r w:rsidR="00B870B4" w:rsidRPr="00317646">
        <w:rPr>
          <w:lang w:val="en-GB" w:eastAsia="en-US"/>
        </w:rPr>
        <w:t>RR Country which have one or more RR TSOs</w:t>
      </w:r>
      <w:r w:rsidR="00CB6845" w:rsidRPr="00317646">
        <w:rPr>
          <w:lang w:val="en-GB" w:eastAsia="en-US"/>
        </w:rPr>
        <w:t>;</w:t>
      </w:r>
      <w:r w:rsidRPr="00317646">
        <w:rPr>
          <w:lang w:val="en-GB" w:eastAsia="en-US"/>
        </w:rPr>
        <w:t xml:space="preserve"> </w:t>
      </w:r>
    </w:p>
    <w:p w14:paraId="7534D115" w14:textId="77777777" w:rsidR="00BF71E1" w:rsidRPr="00317646" w:rsidRDefault="00BF71E1" w:rsidP="003555B4">
      <w:pPr>
        <w:pStyle w:val="textenumeration"/>
        <w:numPr>
          <w:ilvl w:val="1"/>
          <w:numId w:val="12"/>
        </w:numPr>
        <w:rPr>
          <w:lang w:val="en-GB" w:eastAsia="en-US"/>
        </w:rPr>
      </w:pPr>
      <w:r w:rsidRPr="00317646">
        <w:rPr>
          <w:lang w:val="en-GB" w:eastAsia="en-US"/>
        </w:rPr>
        <w:t xml:space="preserve">Five eights will be divided between each </w:t>
      </w:r>
      <w:r w:rsidR="00B870B4" w:rsidRPr="00317646">
        <w:rPr>
          <w:lang w:val="en-GB" w:eastAsia="en-US"/>
        </w:rPr>
        <w:t xml:space="preserve">RR Country which have one or more RR TSOs </w:t>
      </w:r>
      <w:r w:rsidRPr="00317646">
        <w:rPr>
          <w:lang w:val="en-GB" w:eastAsia="en-US"/>
        </w:rPr>
        <w:t>proportionally to their consumption</w:t>
      </w:r>
      <w:r w:rsidR="00CB6845" w:rsidRPr="00317646">
        <w:rPr>
          <w:lang w:val="en-GB" w:eastAsia="en-US"/>
        </w:rPr>
        <w:t>;</w:t>
      </w:r>
    </w:p>
    <w:p w14:paraId="0645F743" w14:textId="77777777" w:rsidR="00BF71E1" w:rsidRPr="00317646" w:rsidRDefault="00BF71E1" w:rsidP="003555B4">
      <w:pPr>
        <w:pStyle w:val="textenumeration"/>
        <w:numPr>
          <w:ilvl w:val="1"/>
          <w:numId w:val="12"/>
        </w:numPr>
        <w:rPr>
          <w:lang w:val="en-GB" w:eastAsia="en-US"/>
        </w:rPr>
      </w:pPr>
      <w:r w:rsidRPr="00317646">
        <w:rPr>
          <w:lang w:val="en-GB" w:eastAsia="en-US"/>
        </w:rPr>
        <w:t xml:space="preserve">Two eights shall be divided equally between the </w:t>
      </w:r>
      <w:r w:rsidR="00971BBF" w:rsidRPr="00317646">
        <w:rPr>
          <w:lang w:val="en-GB" w:eastAsia="en-US"/>
        </w:rPr>
        <w:t>RR</w:t>
      </w:r>
      <w:r w:rsidRPr="00317646">
        <w:rPr>
          <w:lang w:val="en-GB" w:eastAsia="en-US"/>
        </w:rPr>
        <w:t xml:space="preserve"> TSOs pursuant to the common costs in accordance with Article </w:t>
      </w:r>
      <w:r w:rsidR="00CC3F86" w:rsidRPr="00317646">
        <w:rPr>
          <w:lang w:val="en-GB" w:eastAsia="en-US"/>
        </w:rPr>
        <w:t>12.</w:t>
      </w:r>
      <w:r w:rsidRPr="00317646">
        <w:rPr>
          <w:lang w:val="en-GB" w:eastAsia="en-US"/>
        </w:rPr>
        <w:t xml:space="preserve">2 </w:t>
      </w:r>
      <w:r w:rsidR="00D834C2" w:rsidRPr="00317646">
        <w:rPr>
          <w:lang w:val="en-GB" w:eastAsia="en-US"/>
        </w:rPr>
        <w:t>(</w:t>
      </w:r>
      <w:r w:rsidRPr="00317646">
        <w:rPr>
          <w:lang w:val="en-GB" w:eastAsia="en-US"/>
        </w:rPr>
        <w:t>a</w:t>
      </w:r>
      <w:r w:rsidR="00CC3F86" w:rsidRPr="00317646">
        <w:rPr>
          <w:lang w:val="en-GB" w:eastAsia="en-US"/>
        </w:rPr>
        <w:t>)</w:t>
      </w:r>
      <w:r w:rsidRPr="00317646">
        <w:rPr>
          <w:lang w:val="en-GB" w:eastAsia="en-US"/>
        </w:rPr>
        <w:t>,</w:t>
      </w:r>
      <w:r w:rsidR="008937EE" w:rsidRPr="00317646">
        <w:rPr>
          <w:lang w:val="en-GB" w:eastAsia="en-US"/>
        </w:rPr>
        <w:t xml:space="preserve"> </w:t>
      </w:r>
      <w:r w:rsidR="00CC3F86" w:rsidRPr="00317646">
        <w:rPr>
          <w:lang w:val="en-GB" w:eastAsia="en-US"/>
        </w:rPr>
        <w:t>(</w:t>
      </w:r>
      <w:r w:rsidRPr="00317646">
        <w:rPr>
          <w:lang w:val="en-GB" w:eastAsia="en-US"/>
        </w:rPr>
        <w:t>b</w:t>
      </w:r>
      <w:r w:rsidR="00CC3F86" w:rsidRPr="00317646">
        <w:rPr>
          <w:lang w:val="en-GB" w:eastAsia="en-US"/>
        </w:rPr>
        <w:t>)</w:t>
      </w:r>
      <w:r w:rsidR="00D834C2" w:rsidRPr="00317646">
        <w:rPr>
          <w:lang w:val="en-GB" w:eastAsia="en-US"/>
        </w:rPr>
        <w:t xml:space="preserve"> of this RRIF</w:t>
      </w:r>
      <w:r w:rsidR="00CB6845" w:rsidRPr="00317646">
        <w:rPr>
          <w:lang w:val="en-GB" w:eastAsia="en-US"/>
        </w:rPr>
        <w:t>;</w:t>
      </w:r>
    </w:p>
    <w:p w14:paraId="452B76B8" w14:textId="77777777" w:rsidR="00BF71E1" w:rsidRPr="00317646" w:rsidRDefault="00BF71E1" w:rsidP="003555B4">
      <w:pPr>
        <w:pStyle w:val="textenumeration"/>
        <w:numPr>
          <w:ilvl w:val="1"/>
          <w:numId w:val="12"/>
        </w:numPr>
        <w:rPr>
          <w:lang w:val="en-GB" w:eastAsia="en-US"/>
        </w:rPr>
      </w:pPr>
      <w:r w:rsidRPr="00317646">
        <w:rPr>
          <w:lang w:val="en-GB" w:eastAsia="en-US"/>
        </w:rPr>
        <w:t xml:space="preserve">The </w:t>
      </w:r>
      <w:r w:rsidR="005D11D0" w:rsidRPr="00317646">
        <w:rPr>
          <w:lang w:val="en-GB" w:eastAsia="en-US"/>
        </w:rPr>
        <w:t>RR Country’</w:t>
      </w:r>
      <w:r w:rsidR="00B870B4" w:rsidRPr="00317646">
        <w:rPr>
          <w:lang w:val="en-GB" w:eastAsia="en-US"/>
        </w:rPr>
        <w:t>s</w:t>
      </w:r>
      <w:r w:rsidRPr="00317646">
        <w:rPr>
          <w:lang w:val="en-GB" w:eastAsia="en-US"/>
        </w:rPr>
        <w:t xml:space="preserve"> share of the costs shall be borne by the </w:t>
      </w:r>
      <w:r w:rsidR="00B870B4" w:rsidRPr="00317646">
        <w:rPr>
          <w:lang w:val="en-GB" w:eastAsia="en-US"/>
        </w:rPr>
        <w:t xml:space="preserve">RR </w:t>
      </w:r>
      <w:r w:rsidRPr="00317646">
        <w:rPr>
          <w:lang w:val="en-GB" w:eastAsia="en-US"/>
        </w:rPr>
        <w:t xml:space="preserve">TSO or </w:t>
      </w:r>
      <w:r w:rsidR="00B870B4" w:rsidRPr="00317646">
        <w:rPr>
          <w:lang w:val="en-GB" w:eastAsia="en-US"/>
        </w:rPr>
        <w:t xml:space="preserve">RR </w:t>
      </w:r>
      <w:r w:rsidRPr="00317646">
        <w:rPr>
          <w:lang w:val="en-GB" w:eastAsia="en-US"/>
        </w:rPr>
        <w:t xml:space="preserve">TSOs operating in a territory of that </w:t>
      </w:r>
      <w:r w:rsidR="00B870B4" w:rsidRPr="00317646">
        <w:rPr>
          <w:lang w:val="en-GB" w:eastAsia="en-US"/>
        </w:rPr>
        <w:t>RR Country</w:t>
      </w:r>
      <w:r w:rsidRPr="00317646">
        <w:rPr>
          <w:lang w:val="en-GB" w:eastAsia="en-US"/>
        </w:rPr>
        <w:t xml:space="preserve">. In case </w:t>
      </w:r>
      <w:r w:rsidR="00B870B4" w:rsidRPr="00317646">
        <w:rPr>
          <w:lang w:val="en-GB" w:eastAsia="en-US"/>
        </w:rPr>
        <w:t>sev</w:t>
      </w:r>
      <w:r w:rsidR="005D11D0" w:rsidRPr="00317646">
        <w:rPr>
          <w:lang w:val="en-GB" w:eastAsia="en-US"/>
        </w:rPr>
        <w:t>e</w:t>
      </w:r>
      <w:r w:rsidR="00B870B4" w:rsidRPr="00317646">
        <w:rPr>
          <w:lang w:val="en-GB" w:eastAsia="en-US"/>
        </w:rPr>
        <w:t xml:space="preserve">ral </w:t>
      </w:r>
      <w:r w:rsidR="007D1700" w:rsidRPr="00317646">
        <w:rPr>
          <w:lang w:val="en-GB" w:eastAsia="en-US"/>
        </w:rPr>
        <w:t>RR TSOs</w:t>
      </w:r>
      <w:r w:rsidRPr="00317646">
        <w:rPr>
          <w:lang w:val="en-GB" w:eastAsia="en-US"/>
        </w:rPr>
        <w:t xml:space="preserve"> are operating in a </w:t>
      </w:r>
      <w:r w:rsidR="0067273B" w:rsidRPr="00317646">
        <w:rPr>
          <w:lang w:val="en-GB" w:eastAsia="en-US"/>
        </w:rPr>
        <w:t>RR Country</w:t>
      </w:r>
      <w:r w:rsidRPr="00317646">
        <w:rPr>
          <w:lang w:val="en-GB" w:eastAsia="en-US"/>
        </w:rPr>
        <w:t xml:space="preserve">, the </w:t>
      </w:r>
      <w:r w:rsidR="00BC15F1" w:rsidRPr="00317646">
        <w:rPr>
          <w:lang w:val="en-GB" w:eastAsia="en-US"/>
        </w:rPr>
        <w:t xml:space="preserve">RR Country’s </w:t>
      </w:r>
      <w:r w:rsidRPr="00317646">
        <w:rPr>
          <w:lang w:val="en-GB" w:eastAsia="en-US"/>
        </w:rPr>
        <w:t xml:space="preserve">share of the costs shall be distributed among those </w:t>
      </w:r>
      <w:r w:rsidR="00BC15F1" w:rsidRPr="00317646">
        <w:rPr>
          <w:lang w:val="en-GB" w:eastAsia="en-US"/>
        </w:rPr>
        <w:t xml:space="preserve">RR </w:t>
      </w:r>
      <w:r w:rsidRPr="00317646">
        <w:rPr>
          <w:lang w:val="en-GB" w:eastAsia="en-US"/>
        </w:rPr>
        <w:t xml:space="preserve">TSOs proportionally to the consumption in the TSOs </w:t>
      </w:r>
      <w:r w:rsidR="00BC4B05" w:rsidRPr="00317646">
        <w:rPr>
          <w:lang w:val="en-GB" w:eastAsia="en-US"/>
        </w:rPr>
        <w:t>LFC area or bidding zones</w:t>
      </w:r>
      <w:r w:rsidRPr="00317646">
        <w:rPr>
          <w:lang w:val="en-GB" w:eastAsia="en-US"/>
        </w:rPr>
        <w:t xml:space="preserve">. </w:t>
      </w:r>
    </w:p>
    <w:p w14:paraId="2F763F38" w14:textId="77777777" w:rsidR="00134BFD" w:rsidRPr="00317646" w:rsidRDefault="00BF71E1" w:rsidP="003555B4">
      <w:pPr>
        <w:pStyle w:val="textenumeration"/>
        <w:numPr>
          <w:ilvl w:val="1"/>
          <w:numId w:val="12"/>
        </w:numPr>
        <w:rPr>
          <w:rFonts w:cs="Arial"/>
          <w:color w:val="23236E"/>
          <w:sz w:val="24"/>
          <w:lang w:val="en-GB" w:eastAsia="en-US"/>
        </w:rPr>
      </w:pPr>
      <w:r w:rsidRPr="00317646">
        <w:rPr>
          <w:lang w:val="en-GB" w:eastAsia="en-US"/>
        </w:rPr>
        <w:t xml:space="preserve">To take into account changes in the common costs or changes in the </w:t>
      </w:r>
      <w:r w:rsidR="00971BBF" w:rsidRPr="00317646">
        <w:rPr>
          <w:lang w:val="en-GB" w:eastAsia="en-US"/>
        </w:rPr>
        <w:t>RR</w:t>
      </w:r>
      <w:r w:rsidRPr="00317646">
        <w:rPr>
          <w:lang w:val="en-GB" w:eastAsia="en-US"/>
        </w:rPr>
        <w:t xml:space="preserve"> TSOs, the calculation of common costs shall be regularly adapted. </w:t>
      </w:r>
    </w:p>
    <w:p w14:paraId="66642108" w14:textId="77777777" w:rsidR="00784FE3" w:rsidRPr="00317646" w:rsidRDefault="00784FE3" w:rsidP="003977E9">
      <w:pPr>
        <w:pStyle w:val="textenumeration"/>
        <w:rPr>
          <w:rFonts w:cs="Arial"/>
          <w:b/>
          <w:color w:val="23236E"/>
          <w:sz w:val="24"/>
          <w:lang w:val="en-GB" w:eastAsia="en-US"/>
        </w:rPr>
      </w:pPr>
    </w:p>
    <w:p w14:paraId="2A541A02" w14:textId="77777777" w:rsidR="00CF2EEB" w:rsidRPr="00317646" w:rsidRDefault="00CF2EEB" w:rsidP="00CF2EEB">
      <w:pPr>
        <w:spacing w:after="120" w:line="260" w:lineRule="exact"/>
        <w:jc w:val="center"/>
        <w:outlineLvl w:val="1"/>
        <w:rPr>
          <w:rFonts w:ascii="Times New Roman" w:hAnsi="Times New Roman" w:cs="Arial"/>
          <w:b/>
          <w:color w:val="23236E"/>
          <w:sz w:val="24"/>
          <w:lang w:val="en-GB" w:eastAsia="en-US"/>
        </w:rPr>
      </w:pPr>
      <w:bookmarkStart w:id="55" w:name="_Toc51082160"/>
      <w:r w:rsidRPr="00317646">
        <w:rPr>
          <w:rFonts w:ascii="Times New Roman" w:hAnsi="Times New Roman" w:cs="Arial"/>
          <w:b/>
          <w:color w:val="23236E"/>
          <w:sz w:val="24"/>
          <w:lang w:val="en-GB" w:eastAsia="en-US"/>
        </w:rPr>
        <w:t>Article 1</w:t>
      </w:r>
      <w:r w:rsidR="00FE0C1A" w:rsidRPr="00317646">
        <w:rPr>
          <w:rFonts w:ascii="Times New Roman" w:hAnsi="Times New Roman" w:cs="Arial"/>
          <w:b/>
          <w:color w:val="23236E"/>
          <w:sz w:val="24"/>
          <w:lang w:val="en-GB" w:eastAsia="en-US"/>
        </w:rPr>
        <w:t>3</w:t>
      </w:r>
      <w:r w:rsidRPr="00317646">
        <w:rPr>
          <w:rFonts w:ascii="Times New Roman" w:hAnsi="Times New Roman" w:cs="Arial"/>
          <w:b/>
          <w:color w:val="23236E"/>
          <w:sz w:val="24"/>
          <w:lang w:val="en-GB" w:eastAsia="en-US"/>
        </w:rPr>
        <w:br/>
        <w:t>Description of the optimisation algorithm</w:t>
      </w:r>
      <w:bookmarkEnd w:id="55"/>
    </w:p>
    <w:p w14:paraId="777679FE" w14:textId="77777777" w:rsidR="00CF2EEB" w:rsidRPr="00317646" w:rsidRDefault="00CF2EEB" w:rsidP="003555B4">
      <w:pPr>
        <w:pStyle w:val="textenumeration"/>
        <w:numPr>
          <w:ilvl w:val="0"/>
          <w:numId w:val="16"/>
        </w:numPr>
        <w:rPr>
          <w:lang w:val="en-GB" w:eastAsia="en-US"/>
        </w:rPr>
      </w:pPr>
      <w:bookmarkStart w:id="56" w:name="_Ref513456462"/>
      <w:bookmarkStart w:id="57" w:name="_Toc440039014"/>
      <w:bookmarkStart w:id="58" w:name="_Toc440463606"/>
      <w:bookmarkStart w:id="59" w:name="_Toc444694016"/>
      <w:bookmarkStart w:id="60" w:name="_Toc444812285"/>
      <w:r w:rsidRPr="00317646">
        <w:rPr>
          <w:lang w:val="en-GB" w:eastAsia="en-US"/>
        </w:rPr>
        <w:t>The inputs of the optimisation algorithm are:</w:t>
      </w:r>
      <w:bookmarkEnd w:id="56"/>
    </w:p>
    <w:p w14:paraId="1732F91E" w14:textId="77777777" w:rsidR="00ED05F2" w:rsidRPr="00317646" w:rsidRDefault="00C61AE5" w:rsidP="003555B4">
      <w:pPr>
        <w:pStyle w:val="ListParagraph"/>
        <w:numPr>
          <w:ilvl w:val="0"/>
          <w:numId w:val="25"/>
        </w:numPr>
        <w:rPr>
          <w:lang w:eastAsia="en-US"/>
        </w:rPr>
      </w:pPr>
      <w:r w:rsidRPr="00317646">
        <w:rPr>
          <w:lang w:eastAsia="en-US"/>
        </w:rPr>
        <w:t>CMOL</w:t>
      </w:r>
      <w:r w:rsidR="00164BB6" w:rsidRPr="00317646">
        <w:rPr>
          <w:lang w:eastAsia="en-US"/>
        </w:rPr>
        <w:t xml:space="preserve"> in accordance with Article 9</w:t>
      </w:r>
      <w:r w:rsidR="00CB6845" w:rsidRPr="00317646">
        <w:rPr>
          <w:lang w:eastAsia="en-US"/>
        </w:rPr>
        <w:t xml:space="preserve"> of this RRIF;</w:t>
      </w:r>
      <w:r w:rsidR="00CF2EEB" w:rsidRPr="00317646">
        <w:rPr>
          <w:lang w:eastAsia="en-US"/>
        </w:rPr>
        <w:t xml:space="preserve"> </w:t>
      </w:r>
    </w:p>
    <w:p w14:paraId="198BA07C" w14:textId="77777777" w:rsidR="00CF2EEB" w:rsidRPr="00317646" w:rsidRDefault="005F6CBE" w:rsidP="003555B4">
      <w:pPr>
        <w:pStyle w:val="ListParagraph"/>
        <w:numPr>
          <w:ilvl w:val="0"/>
          <w:numId w:val="25"/>
        </w:numPr>
        <w:rPr>
          <w:lang w:eastAsia="en-US"/>
        </w:rPr>
      </w:pPr>
      <w:r w:rsidRPr="00317646">
        <w:rPr>
          <w:lang w:eastAsia="en-US"/>
        </w:rPr>
        <w:t>Cross</w:t>
      </w:r>
      <w:r w:rsidR="00010959" w:rsidRPr="00317646">
        <w:rPr>
          <w:lang w:eastAsia="en-US"/>
        </w:rPr>
        <w:t>-</w:t>
      </w:r>
      <w:r w:rsidR="00CF2EEB" w:rsidRPr="00317646">
        <w:rPr>
          <w:lang w:eastAsia="en-US"/>
        </w:rPr>
        <w:t xml:space="preserve">zonal capacity calculated in accordance with Article 37 of </w:t>
      </w:r>
      <w:r w:rsidR="00F00DC7" w:rsidRPr="00317646">
        <w:rPr>
          <w:lang w:eastAsia="en-US"/>
        </w:rPr>
        <w:t xml:space="preserve">the </w:t>
      </w:r>
      <w:r w:rsidR="00547B2A" w:rsidRPr="00317646">
        <w:rPr>
          <w:lang w:eastAsia="en-US"/>
        </w:rPr>
        <w:t>EBGL</w:t>
      </w:r>
      <w:r w:rsidR="00CF2EEB" w:rsidRPr="00317646">
        <w:rPr>
          <w:lang w:eastAsia="en-US"/>
        </w:rPr>
        <w:t>.</w:t>
      </w:r>
    </w:p>
    <w:p w14:paraId="1C986B73" w14:textId="77777777" w:rsidR="00CF2EEB" w:rsidRPr="00317646" w:rsidRDefault="00CF2EEB" w:rsidP="003555B4">
      <w:pPr>
        <w:pStyle w:val="textenumeration"/>
        <w:numPr>
          <w:ilvl w:val="0"/>
          <w:numId w:val="16"/>
        </w:numPr>
        <w:rPr>
          <w:lang w:val="en-GB" w:eastAsia="en-US"/>
        </w:rPr>
      </w:pPr>
      <w:r w:rsidRPr="00317646">
        <w:rPr>
          <w:lang w:val="en-GB" w:eastAsia="en-US"/>
        </w:rPr>
        <w:t>The objective functions of the optimisation algorithm are:</w:t>
      </w:r>
    </w:p>
    <w:p w14:paraId="1E5EC94F" w14:textId="77777777" w:rsidR="00CF2EEB" w:rsidRPr="00317646" w:rsidRDefault="00D01CCF" w:rsidP="003555B4">
      <w:pPr>
        <w:pStyle w:val="ListParagraph"/>
        <w:numPr>
          <w:ilvl w:val="0"/>
          <w:numId w:val="37"/>
        </w:numPr>
      </w:pPr>
      <w:r w:rsidRPr="00317646">
        <w:t>Firstly, maximize</w:t>
      </w:r>
      <w:r w:rsidR="00CF2EEB" w:rsidRPr="00317646">
        <w:t xml:space="preserve"> the social welfare</w:t>
      </w:r>
      <w:r w:rsidR="00CB6845" w:rsidRPr="00317646">
        <w:t>;</w:t>
      </w:r>
    </w:p>
    <w:p w14:paraId="355DADD2" w14:textId="77777777" w:rsidR="00871925" w:rsidRPr="00317646" w:rsidRDefault="00871925" w:rsidP="003555B4">
      <w:pPr>
        <w:pStyle w:val="ListParagraph"/>
        <w:numPr>
          <w:ilvl w:val="0"/>
          <w:numId w:val="9"/>
        </w:numPr>
        <w:rPr>
          <w:vanish/>
        </w:rPr>
      </w:pPr>
    </w:p>
    <w:p w14:paraId="65E22E20" w14:textId="77777777" w:rsidR="00CF2EEB" w:rsidRPr="00317646" w:rsidRDefault="00A619B1" w:rsidP="003555B4">
      <w:pPr>
        <w:pStyle w:val="ListParagraph"/>
        <w:numPr>
          <w:ilvl w:val="0"/>
          <w:numId w:val="9"/>
        </w:numPr>
      </w:pPr>
      <w:r w:rsidRPr="00317646">
        <w:t>Secondly</w:t>
      </w:r>
      <w:r w:rsidR="00D01CCF" w:rsidRPr="00317646">
        <w:t>, minimize</w:t>
      </w:r>
      <w:r w:rsidR="00CF2EEB" w:rsidRPr="00317646">
        <w:t xml:space="preserve"> the amount of RR exchange </w:t>
      </w:r>
      <w:r w:rsidR="00CB6845" w:rsidRPr="00317646">
        <w:t>between bidding zones;</w:t>
      </w:r>
    </w:p>
    <w:p w14:paraId="31105D7D" w14:textId="77777777" w:rsidR="00CF2EEB" w:rsidRPr="00317646" w:rsidRDefault="00D01CCF" w:rsidP="003555B4">
      <w:pPr>
        <w:pStyle w:val="ListParagraph"/>
        <w:numPr>
          <w:ilvl w:val="0"/>
          <w:numId w:val="9"/>
        </w:numPr>
      </w:pPr>
      <w:r w:rsidRPr="00317646">
        <w:t>Finally, maximize</w:t>
      </w:r>
      <w:r w:rsidR="00CF2EEB" w:rsidRPr="00317646">
        <w:t xml:space="preserve"> the total amount of RR activation in the event of multiple optimal solutions.</w:t>
      </w:r>
    </w:p>
    <w:p w14:paraId="5BDF5269" w14:textId="77777777" w:rsidR="00A863D9" w:rsidRPr="00317646" w:rsidRDefault="00657F66" w:rsidP="00657F66">
      <w:pPr>
        <w:pStyle w:val="ListParagraph"/>
        <w:numPr>
          <w:ilvl w:val="0"/>
          <w:numId w:val="0"/>
        </w:numPr>
        <w:ind w:left="357"/>
      </w:pPr>
      <w:r w:rsidRPr="00657F66">
        <w:t>The optimization algorithm ensures that the given RR TSO’s inelastic balancing energy need is satisfied if it can be satisfied by the Bids submitted by given RR TSO.</w:t>
      </w:r>
    </w:p>
    <w:p w14:paraId="2169635C" w14:textId="77777777" w:rsidR="00CF2EEB" w:rsidRPr="00317646" w:rsidRDefault="00CF2EEB" w:rsidP="003555B4">
      <w:pPr>
        <w:pStyle w:val="textenumeration"/>
        <w:numPr>
          <w:ilvl w:val="0"/>
          <w:numId w:val="16"/>
        </w:numPr>
        <w:rPr>
          <w:lang w:val="en-GB" w:eastAsia="en-US"/>
        </w:rPr>
      </w:pPr>
      <w:r w:rsidRPr="00317646">
        <w:rPr>
          <w:lang w:val="en-GB" w:eastAsia="en-US"/>
        </w:rPr>
        <w:t>The constraints of the optimisation algorithm are</w:t>
      </w:r>
      <w:r w:rsidR="00093B36" w:rsidRPr="00317646">
        <w:rPr>
          <w:lang w:val="en-GB" w:eastAsia="en-US"/>
        </w:rPr>
        <w:t xml:space="preserve"> at least the following</w:t>
      </w:r>
      <w:r w:rsidRPr="00317646">
        <w:rPr>
          <w:lang w:val="en-GB" w:eastAsia="en-US"/>
        </w:rPr>
        <w:t>:</w:t>
      </w:r>
    </w:p>
    <w:p w14:paraId="63157266" w14:textId="77777777" w:rsidR="00CF2EEB" w:rsidRPr="00317646" w:rsidRDefault="00177DC1" w:rsidP="003555B4">
      <w:pPr>
        <w:pStyle w:val="ListParagraph"/>
        <w:numPr>
          <w:ilvl w:val="0"/>
          <w:numId w:val="26"/>
        </w:numPr>
      </w:pPr>
      <w:r w:rsidRPr="00317646">
        <w:rPr>
          <w:lang w:eastAsia="en-US"/>
        </w:rPr>
        <w:t>The sum of all</w:t>
      </w:r>
      <w:r w:rsidR="001C1AED">
        <w:rPr>
          <w:lang w:eastAsia="en-US"/>
        </w:rPr>
        <w:t xml:space="preserve"> </w:t>
      </w:r>
      <w:r w:rsidR="00B865D8" w:rsidRPr="00317646">
        <w:rPr>
          <w:lang w:eastAsia="en-US"/>
        </w:rPr>
        <w:t xml:space="preserve">resulting </w:t>
      </w:r>
      <w:r w:rsidR="00A77F05" w:rsidRPr="00317646">
        <w:rPr>
          <w:lang w:eastAsia="en-US"/>
        </w:rPr>
        <w:t xml:space="preserve">net position commercial schedules </w:t>
      </w:r>
      <w:r w:rsidRPr="00317646">
        <w:rPr>
          <w:lang w:eastAsia="en-US"/>
        </w:rPr>
        <w:t>across all bidding zones must be zero</w:t>
      </w:r>
      <w:r w:rsidR="00CB6845" w:rsidRPr="00317646">
        <w:t>;</w:t>
      </w:r>
    </w:p>
    <w:p w14:paraId="48D292D0" w14:textId="77777777" w:rsidR="00CF2EEB" w:rsidRPr="00317646" w:rsidRDefault="00CF2EEB" w:rsidP="00157779">
      <w:pPr>
        <w:pStyle w:val="ListParagraph"/>
      </w:pPr>
      <w:r w:rsidRPr="00317646">
        <w:lastRenderedPageBreak/>
        <w:t xml:space="preserve">The </w:t>
      </w:r>
      <w:r w:rsidR="00BE793A" w:rsidRPr="00317646">
        <w:t xml:space="preserve">cross-zonal </w:t>
      </w:r>
      <w:r w:rsidRPr="00317646">
        <w:t xml:space="preserve">RR exchange </w:t>
      </w:r>
      <w:r w:rsidR="005F6CBE" w:rsidRPr="00317646">
        <w:t>must not exceed the cross</w:t>
      </w:r>
      <w:r w:rsidR="00010959" w:rsidRPr="00317646">
        <w:t>-</w:t>
      </w:r>
      <w:r w:rsidRPr="00317646">
        <w:t xml:space="preserve">zonal capacity calculated in accordance with Article 37 of </w:t>
      </w:r>
      <w:r w:rsidR="00A12301" w:rsidRPr="00317646">
        <w:t xml:space="preserve">the </w:t>
      </w:r>
      <w:r w:rsidR="00547B2A" w:rsidRPr="00317646">
        <w:t>EBGL</w:t>
      </w:r>
      <w:r w:rsidR="00CB6845" w:rsidRPr="00317646">
        <w:t>;</w:t>
      </w:r>
    </w:p>
    <w:p w14:paraId="515714A5" w14:textId="77777777" w:rsidR="00CF2EEB" w:rsidRPr="00317646" w:rsidRDefault="00CF2EEB" w:rsidP="00157779">
      <w:pPr>
        <w:pStyle w:val="ListParagraph"/>
      </w:pPr>
      <w:r w:rsidRPr="00317646">
        <w:t>The</w:t>
      </w:r>
      <w:r w:rsidR="00BE793A" w:rsidRPr="00317646">
        <w:t xml:space="preserve"> cross-zonal</w:t>
      </w:r>
      <w:r w:rsidRPr="00317646">
        <w:t xml:space="preserve"> RR exchange must not exceed the limits requested by affected TSOs in accordance with Article 150 of </w:t>
      </w:r>
      <w:r w:rsidR="00A12301" w:rsidRPr="00317646">
        <w:t xml:space="preserve">the </w:t>
      </w:r>
      <w:r w:rsidR="005849DE" w:rsidRPr="00317646">
        <w:t>SOGL</w:t>
      </w:r>
      <w:r w:rsidR="00CB6845" w:rsidRPr="00317646">
        <w:t>;</w:t>
      </w:r>
    </w:p>
    <w:p w14:paraId="14BFEB0A" w14:textId="77777777" w:rsidR="00CF2EEB" w:rsidRPr="00317646" w:rsidRDefault="00CF2EEB" w:rsidP="00157779">
      <w:pPr>
        <w:pStyle w:val="ListParagraph"/>
      </w:pPr>
      <w:r w:rsidRPr="00317646">
        <w:t xml:space="preserve">The RR exchange of each bidding zone must not exceed the limits requested by affected TSOs in accordance with Article 150 of </w:t>
      </w:r>
      <w:r w:rsidR="00A12301" w:rsidRPr="00317646">
        <w:t xml:space="preserve">the </w:t>
      </w:r>
      <w:r w:rsidR="005849DE" w:rsidRPr="00317646">
        <w:t>SOGL</w:t>
      </w:r>
      <w:r w:rsidR="00CB6845" w:rsidRPr="00317646">
        <w:t>;</w:t>
      </w:r>
    </w:p>
    <w:p w14:paraId="21A8A418" w14:textId="77777777" w:rsidR="00CF2EEB" w:rsidRPr="00317646" w:rsidRDefault="00CF2EEB" w:rsidP="00157779">
      <w:pPr>
        <w:pStyle w:val="ListParagraph"/>
      </w:pPr>
      <w:r w:rsidRPr="00317646">
        <w:t>The losses in the HVDC lines must be</w:t>
      </w:r>
      <w:r w:rsidR="00CB6845" w:rsidRPr="00317646">
        <w:t xml:space="preserve"> considered in the optimisation;</w:t>
      </w:r>
    </w:p>
    <w:p w14:paraId="5DABEECE" w14:textId="77777777" w:rsidR="00F27EB1" w:rsidRPr="00317646" w:rsidRDefault="000319AA" w:rsidP="00157779">
      <w:pPr>
        <w:pStyle w:val="ListParagraph"/>
      </w:pPr>
      <w:r w:rsidRPr="00317646">
        <w:t>Controllability of interconnections when applicable will also be considered</w:t>
      </w:r>
      <w:r w:rsidR="00CB6845" w:rsidRPr="00317646">
        <w:t>.</w:t>
      </w:r>
    </w:p>
    <w:p w14:paraId="27F5369F" w14:textId="77777777" w:rsidR="00CF2EEB" w:rsidRPr="00317646" w:rsidRDefault="00CF2EEB" w:rsidP="003555B4">
      <w:pPr>
        <w:pStyle w:val="textenumeration"/>
        <w:numPr>
          <w:ilvl w:val="0"/>
          <w:numId w:val="16"/>
        </w:numPr>
        <w:rPr>
          <w:lang w:val="en-GB" w:eastAsia="en-US"/>
        </w:rPr>
      </w:pPr>
      <w:r w:rsidRPr="00317646">
        <w:rPr>
          <w:lang w:val="en-GB" w:eastAsia="en-US"/>
        </w:rPr>
        <w:t>The results of the optimisation algorithm are:</w:t>
      </w:r>
    </w:p>
    <w:p w14:paraId="053D26D1" w14:textId="77777777" w:rsidR="00CF2EEB" w:rsidRPr="00317646" w:rsidRDefault="00CB6845" w:rsidP="003555B4">
      <w:pPr>
        <w:pStyle w:val="ListParagraph"/>
        <w:numPr>
          <w:ilvl w:val="0"/>
          <w:numId w:val="27"/>
        </w:numPr>
      </w:pPr>
      <w:r w:rsidRPr="00317646">
        <w:t xml:space="preserve">The </w:t>
      </w:r>
      <w:r w:rsidR="00356CE9" w:rsidRPr="00317646">
        <w:t xml:space="preserve">accepted </w:t>
      </w:r>
      <w:r w:rsidR="00C43309" w:rsidRPr="00317646">
        <w:t>Bids</w:t>
      </w:r>
      <w:r w:rsidRPr="00317646">
        <w:t>;</w:t>
      </w:r>
    </w:p>
    <w:p w14:paraId="1606C41E" w14:textId="77777777" w:rsidR="00CF2EEB" w:rsidRPr="00317646" w:rsidRDefault="00CF2EEB" w:rsidP="003555B4">
      <w:pPr>
        <w:pStyle w:val="ListParagraph"/>
        <w:numPr>
          <w:ilvl w:val="0"/>
          <w:numId w:val="9"/>
        </w:numPr>
      </w:pPr>
      <w:r w:rsidRPr="00317646">
        <w:t>The satisfied RR</w:t>
      </w:r>
      <w:r w:rsidR="0022745F" w:rsidRPr="00317646">
        <w:t xml:space="preserve"> balancing energy need</w:t>
      </w:r>
      <w:r w:rsidR="00CB6845" w:rsidRPr="00317646">
        <w:t>s;</w:t>
      </w:r>
    </w:p>
    <w:p w14:paraId="1C9E827A" w14:textId="77777777" w:rsidR="00CF2EEB" w:rsidRPr="00317646" w:rsidRDefault="005F6CBE" w:rsidP="003555B4">
      <w:pPr>
        <w:pStyle w:val="ListParagraph"/>
        <w:numPr>
          <w:ilvl w:val="0"/>
          <w:numId w:val="9"/>
        </w:numPr>
      </w:pPr>
      <w:r w:rsidRPr="00317646">
        <w:t>The used cross</w:t>
      </w:r>
      <w:r w:rsidR="00010959" w:rsidRPr="00317646">
        <w:t>-</w:t>
      </w:r>
      <w:r w:rsidR="00CB6845" w:rsidRPr="00317646">
        <w:t>zonal capacity;</w:t>
      </w:r>
    </w:p>
    <w:p w14:paraId="0800320E" w14:textId="77777777" w:rsidR="00CF2EEB" w:rsidRPr="00317646" w:rsidRDefault="00CF2EEB" w:rsidP="003555B4">
      <w:pPr>
        <w:pStyle w:val="ListParagraph"/>
        <w:numPr>
          <w:ilvl w:val="0"/>
          <w:numId w:val="9"/>
        </w:numPr>
      </w:pPr>
      <w:r w:rsidRPr="00317646">
        <w:t xml:space="preserve">The net position </w:t>
      </w:r>
      <w:r w:rsidR="00962578" w:rsidRPr="00317646">
        <w:t xml:space="preserve">resulting from the </w:t>
      </w:r>
      <w:r w:rsidR="00DE76CC" w:rsidRPr="00317646">
        <w:t>RR-Platform</w:t>
      </w:r>
      <w:r w:rsidR="00CB6845" w:rsidRPr="00317646">
        <w:t>;</w:t>
      </w:r>
    </w:p>
    <w:p w14:paraId="0A8CEB40" w14:textId="77777777" w:rsidR="00CF2EEB" w:rsidRPr="00317646" w:rsidRDefault="00CF2EEB" w:rsidP="003555B4">
      <w:pPr>
        <w:pStyle w:val="ListParagraph"/>
        <w:numPr>
          <w:ilvl w:val="0"/>
          <w:numId w:val="9"/>
        </w:numPr>
      </w:pPr>
      <w:r w:rsidRPr="00317646">
        <w:t>The cross</w:t>
      </w:r>
      <w:r w:rsidR="00010959" w:rsidRPr="00317646">
        <w:t>-</w:t>
      </w:r>
      <w:r w:rsidR="00602369" w:rsidRPr="00317646">
        <w:t xml:space="preserve">zonal </w:t>
      </w:r>
      <w:r w:rsidRPr="00317646">
        <w:t>marginal prices.</w:t>
      </w:r>
    </w:p>
    <w:p w14:paraId="5B29B783" w14:textId="57F5DBB5" w:rsidR="00784FE3" w:rsidRPr="00317646" w:rsidRDefault="00784FE3" w:rsidP="00412079">
      <w:pPr>
        <w:pStyle w:val="textenumeration"/>
        <w:numPr>
          <w:ilvl w:val="0"/>
          <w:numId w:val="16"/>
        </w:numPr>
        <w:ind w:left="357" w:hanging="357"/>
      </w:pPr>
      <w:r w:rsidRPr="004A7F84">
        <w:rPr>
          <w:lang w:val="en-GB"/>
        </w:rPr>
        <w:t xml:space="preserve">For the go-live of the RR-Platform the AOF will allow the counter </w:t>
      </w:r>
      <w:r w:rsidRPr="00353806">
        <w:rPr>
          <w:lang w:val="en-GB"/>
        </w:rPr>
        <w:t xml:space="preserve">activations. No later than </w:t>
      </w:r>
      <w:r w:rsidR="000D5038">
        <w:rPr>
          <w:lang w:val="en-GB"/>
        </w:rPr>
        <w:t>twenty-</w:t>
      </w:r>
      <w:r w:rsidR="000823F4">
        <w:rPr>
          <w:lang w:val="en-GB"/>
        </w:rPr>
        <w:t xml:space="preserve">four </w:t>
      </w:r>
      <w:r w:rsidRPr="00353806">
        <w:rPr>
          <w:lang w:val="en-GB"/>
        </w:rPr>
        <w:t>months after the go-live of the RR-platform, the AOF will minimise the counter activations</w:t>
      </w:r>
      <w:r w:rsidR="00680699" w:rsidRPr="00353806">
        <w:rPr>
          <w:lang w:val="en-GB"/>
        </w:rPr>
        <w:t xml:space="preserve"> which at least may not serve the balancing purpose</w:t>
      </w:r>
      <w:r w:rsidRPr="00353806">
        <w:rPr>
          <w:lang w:val="en-GB"/>
        </w:rPr>
        <w:t xml:space="preserve">. </w:t>
      </w:r>
      <w:r w:rsidRPr="00353806">
        <w:rPr>
          <w:lang w:val="en-GB" w:eastAsia="en-US"/>
        </w:rPr>
        <w:t>All the RR TSOs may request</w:t>
      </w:r>
      <w:r w:rsidRPr="004A7F84">
        <w:rPr>
          <w:lang w:val="en-GB" w:eastAsia="en-US"/>
        </w:rPr>
        <w:t xml:space="preserve"> a</w:t>
      </w:r>
      <w:r w:rsidR="00E94C50">
        <w:rPr>
          <w:lang w:val="en-GB" w:eastAsia="en-US"/>
        </w:rPr>
        <w:t>n</w:t>
      </w:r>
      <w:r w:rsidRPr="004A7F84">
        <w:rPr>
          <w:lang w:val="en-GB" w:eastAsia="en-US"/>
        </w:rPr>
        <w:t xml:space="preserve"> </w:t>
      </w:r>
      <w:r w:rsidR="00E94C50">
        <w:rPr>
          <w:lang w:val="en-GB" w:eastAsia="en-US"/>
        </w:rPr>
        <w:t>amendment</w:t>
      </w:r>
      <w:r w:rsidR="00E94C50" w:rsidRPr="004A7F84">
        <w:rPr>
          <w:lang w:val="en-GB" w:eastAsia="en-US"/>
        </w:rPr>
        <w:t xml:space="preserve"> </w:t>
      </w:r>
      <w:r w:rsidRPr="004A7F84">
        <w:rPr>
          <w:lang w:val="en-GB" w:eastAsia="en-US"/>
        </w:rPr>
        <w:t>from this requirement to all RR NRAs</w:t>
      </w:r>
      <w:r w:rsidR="00C21091" w:rsidRPr="004A7F84">
        <w:rPr>
          <w:lang w:val="en-GB" w:eastAsia="en-US"/>
        </w:rPr>
        <w:t xml:space="preserve"> as allowed by </w:t>
      </w:r>
      <w:r w:rsidR="0039273E">
        <w:rPr>
          <w:lang w:val="en-GB" w:eastAsia="en-US"/>
        </w:rPr>
        <w:t xml:space="preserve">Article </w:t>
      </w:r>
      <w:r w:rsidR="0039273E" w:rsidRPr="001949B6">
        <w:rPr>
          <w:lang w:val="en-GB" w:eastAsia="en-US"/>
        </w:rPr>
        <w:t>6(3)</w:t>
      </w:r>
      <w:r w:rsidR="0039273E">
        <w:rPr>
          <w:lang w:val="en-GB" w:eastAsia="en-US"/>
        </w:rPr>
        <w:t xml:space="preserve"> of the EBGL</w:t>
      </w:r>
      <w:r w:rsidR="00493FBD">
        <w:rPr>
          <w:lang w:val="en-GB" w:eastAsia="en-US"/>
        </w:rPr>
        <w:t>.</w:t>
      </w:r>
      <w:r w:rsidR="0039273E" w:rsidRPr="004A7F84">
        <w:rPr>
          <w:lang w:val="en-GB" w:eastAsia="en-US"/>
        </w:rPr>
        <w:t xml:space="preserve"> </w:t>
      </w:r>
      <w:r w:rsidRPr="004A7F84">
        <w:rPr>
          <w:lang w:val="en-GB" w:eastAsia="en-US"/>
        </w:rPr>
        <w:t>This request shall be duly justified and supported by an analysis performed by the RR TSOs</w:t>
      </w:r>
      <w:r w:rsidRPr="00317646">
        <w:rPr>
          <w:lang w:eastAsia="en-US"/>
        </w:rPr>
        <w:t>.</w:t>
      </w:r>
    </w:p>
    <w:p w14:paraId="6A71FE72" w14:textId="77777777" w:rsidR="00A26788" w:rsidRPr="00317646" w:rsidRDefault="00CE7469" w:rsidP="00412079">
      <w:pPr>
        <w:pStyle w:val="textenumeration"/>
        <w:numPr>
          <w:ilvl w:val="0"/>
          <w:numId w:val="16"/>
        </w:numPr>
        <w:suppressAutoHyphens/>
        <w:ind w:left="357" w:hanging="357"/>
        <w:rPr>
          <w:lang w:val="en-GB" w:eastAsia="en-US"/>
        </w:rPr>
      </w:pPr>
      <w:r w:rsidRPr="00317646">
        <w:rPr>
          <w:lang w:val="en-GB" w:eastAsia="en-US"/>
        </w:rPr>
        <w:t>In the event that the optimisation algorithm will not provide results, a fall-back procedure will be applied</w:t>
      </w:r>
      <w:r w:rsidR="00C047CD" w:rsidRPr="00317646">
        <w:rPr>
          <w:lang w:val="en-GB" w:eastAsia="en-US"/>
        </w:rPr>
        <w:t xml:space="preserve"> as required by</w:t>
      </w:r>
      <w:r w:rsidR="00A12301" w:rsidRPr="00317646">
        <w:rPr>
          <w:lang w:val="en-GB" w:eastAsia="en-US"/>
        </w:rPr>
        <w:t xml:space="preserve"> Article 28 of</w:t>
      </w:r>
      <w:r w:rsidR="00C047CD" w:rsidRPr="00317646">
        <w:rPr>
          <w:lang w:val="en-GB" w:eastAsia="en-US"/>
        </w:rPr>
        <w:t xml:space="preserve"> the </w:t>
      </w:r>
      <w:r w:rsidR="00547B2A" w:rsidRPr="00317646">
        <w:rPr>
          <w:lang w:val="en-GB" w:eastAsia="en-US"/>
        </w:rPr>
        <w:t>EBGL</w:t>
      </w:r>
      <w:r w:rsidRPr="00317646">
        <w:rPr>
          <w:lang w:val="en-GB" w:eastAsia="en-US"/>
        </w:rPr>
        <w:t>.</w:t>
      </w:r>
      <w:bookmarkEnd w:id="57"/>
      <w:bookmarkEnd w:id="58"/>
      <w:bookmarkEnd w:id="59"/>
      <w:bookmarkEnd w:id="60"/>
      <w:r w:rsidR="00A26788" w:rsidRPr="00317646">
        <w:rPr>
          <w:lang w:val="en-GB" w:eastAsia="en-US"/>
        </w:rPr>
        <w:t xml:space="preserve"> In the event that the optimisation algorithm does not converge, the algorithm will run considering the previously submitted </w:t>
      </w:r>
      <w:r w:rsidR="00B865D8" w:rsidRPr="00317646">
        <w:rPr>
          <w:lang w:val="en-GB"/>
        </w:rPr>
        <w:t>Bid</w:t>
      </w:r>
      <w:r w:rsidR="00A26788" w:rsidRPr="00317646">
        <w:rPr>
          <w:lang w:val="en-GB" w:eastAsia="en-US"/>
        </w:rPr>
        <w:t xml:space="preserve">s and TSO balancing energy needs, requirements and other constraints, with cross-zonal capacity between all bidding zones equal to 0. </w:t>
      </w:r>
      <w:r w:rsidR="00A26788" w:rsidRPr="00317646">
        <w:rPr>
          <w:rFonts w:asciiTheme="minorHAnsi" w:hAnsiTheme="minorHAnsi" w:cstheme="minorHAnsi"/>
          <w:szCs w:val="22"/>
          <w:lang w:val="en-GB"/>
        </w:rPr>
        <w:t xml:space="preserve">Furthermore, each RR TSO shall ensure that national </w:t>
      </w:r>
      <w:r w:rsidR="006C1DE9" w:rsidRPr="00317646">
        <w:rPr>
          <w:rFonts w:asciiTheme="minorHAnsi" w:hAnsiTheme="minorHAnsi" w:cstheme="minorHAnsi"/>
          <w:szCs w:val="22"/>
          <w:lang w:val="en-GB"/>
        </w:rPr>
        <w:t>fall-back</w:t>
      </w:r>
      <w:r w:rsidR="00A26788" w:rsidRPr="00317646">
        <w:rPr>
          <w:rFonts w:asciiTheme="minorHAnsi" w:hAnsiTheme="minorHAnsi" w:cstheme="minorHAnsi"/>
          <w:szCs w:val="22"/>
          <w:lang w:val="en-GB"/>
        </w:rPr>
        <w:t xml:space="preserve"> solutions are in place and can decide to use the national </w:t>
      </w:r>
      <w:r w:rsidR="006C1DE9" w:rsidRPr="00317646">
        <w:rPr>
          <w:rFonts w:asciiTheme="minorHAnsi" w:hAnsiTheme="minorHAnsi" w:cstheme="minorHAnsi"/>
          <w:szCs w:val="22"/>
          <w:lang w:val="en-GB"/>
        </w:rPr>
        <w:t>fall-back</w:t>
      </w:r>
      <w:r w:rsidR="00A26788" w:rsidRPr="00317646">
        <w:rPr>
          <w:rFonts w:asciiTheme="minorHAnsi" w:hAnsiTheme="minorHAnsi" w:cstheme="minorHAnsi"/>
          <w:szCs w:val="22"/>
          <w:lang w:val="en-GB"/>
        </w:rPr>
        <w:t xml:space="preserve"> solution or the solution provided by RR-Platform </w:t>
      </w:r>
      <w:r w:rsidR="006C1DE9" w:rsidRPr="00317646">
        <w:rPr>
          <w:rFonts w:asciiTheme="minorHAnsi" w:hAnsiTheme="minorHAnsi" w:cstheme="minorHAnsi"/>
          <w:szCs w:val="22"/>
          <w:lang w:val="en-GB"/>
        </w:rPr>
        <w:t>fall-back</w:t>
      </w:r>
      <w:r w:rsidR="00A26788" w:rsidRPr="00317646">
        <w:rPr>
          <w:rFonts w:asciiTheme="minorHAnsi" w:hAnsiTheme="minorHAnsi" w:cstheme="minorHAnsi"/>
          <w:szCs w:val="22"/>
          <w:lang w:val="en-GB"/>
        </w:rPr>
        <w:t xml:space="preserve"> procedure.</w:t>
      </w:r>
    </w:p>
    <w:p w14:paraId="323B3DCC" w14:textId="77777777" w:rsidR="00D74C59" w:rsidRPr="00317646" w:rsidRDefault="00D74C59" w:rsidP="003555B4">
      <w:pPr>
        <w:pStyle w:val="textenumeration"/>
        <w:numPr>
          <w:ilvl w:val="0"/>
          <w:numId w:val="16"/>
        </w:numPr>
        <w:suppressAutoHyphens/>
        <w:rPr>
          <w:szCs w:val="22"/>
          <w:lang w:val="en-GB" w:eastAsia="en-US"/>
        </w:rPr>
      </w:pPr>
      <w:r w:rsidRPr="00317646">
        <w:rPr>
          <w:lang w:val="en-GB" w:eastAsia="en-US"/>
        </w:rPr>
        <w:t>In case the RR platform will not receive any needs, the optimization algorithm will not be executed.</w:t>
      </w:r>
    </w:p>
    <w:p w14:paraId="25BE818B" w14:textId="77777777" w:rsidR="00CF2EEB" w:rsidRPr="00317646" w:rsidRDefault="00CF2EEB" w:rsidP="00CF2EEB">
      <w:pPr>
        <w:suppressAutoHyphens/>
        <w:rPr>
          <w:lang w:val="en-GB"/>
        </w:rPr>
      </w:pPr>
    </w:p>
    <w:p w14:paraId="187C8173" w14:textId="77777777" w:rsidR="00A22A51" w:rsidRDefault="00A22A51">
      <w:pPr>
        <w:rPr>
          <w:rFonts w:ascii="Times New Roman" w:hAnsi="Times New Roman" w:cs="Arial"/>
          <w:b/>
          <w:color w:val="23236E"/>
          <w:sz w:val="24"/>
          <w:lang w:val="en-GB" w:eastAsia="en-US"/>
        </w:rPr>
      </w:pPr>
      <w:bookmarkStart w:id="61" w:name="_Toc445298921"/>
      <w:bookmarkStart w:id="62" w:name="_Toc445299183"/>
      <w:bookmarkStart w:id="63" w:name="_Toc445825439"/>
      <w:r>
        <w:rPr>
          <w:rFonts w:ascii="Times New Roman" w:hAnsi="Times New Roman" w:cs="Arial"/>
          <w:b/>
          <w:color w:val="23236E"/>
          <w:sz w:val="24"/>
          <w:lang w:val="en-GB" w:eastAsia="en-US"/>
        </w:rPr>
        <w:br w:type="page"/>
      </w:r>
    </w:p>
    <w:p w14:paraId="7B7EC4FB" w14:textId="77777777" w:rsidR="002F471A" w:rsidRPr="00317646" w:rsidRDefault="002F471A" w:rsidP="002F471A">
      <w:pPr>
        <w:spacing w:after="120" w:line="260" w:lineRule="exact"/>
        <w:jc w:val="center"/>
        <w:outlineLvl w:val="1"/>
        <w:rPr>
          <w:rFonts w:ascii="Times New Roman" w:hAnsi="Times New Roman" w:cs="Arial"/>
          <w:b/>
          <w:color w:val="23236E"/>
          <w:sz w:val="24"/>
          <w:lang w:val="en-GB" w:eastAsia="en-US"/>
        </w:rPr>
      </w:pPr>
      <w:bookmarkStart w:id="64" w:name="_Toc51082161"/>
      <w:r w:rsidRPr="00317646">
        <w:rPr>
          <w:rFonts w:ascii="Times New Roman" w:hAnsi="Times New Roman" w:cs="Arial"/>
          <w:b/>
          <w:color w:val="23236E"/>
          <w:sz w:val="24"/>
          <w:lang w:val="en-GB" w:eastAsia="en-US"/>
        </w:rPr>
        <w:lastRenderedPageBreak/>
        <w:t>Article 1</w:t>
      </w:r>
      <w:r w:rsidR="001B299E" w:rsidRPr="00317646">
        <w:rPr>
          <w:rFonts w:ascii="Times New Roman" w:hAnsi="Times New Roman" w:cs="Arial"/>
          <w:b/>
          <w:color w:val="23236E"/>
          <w:sz w:val="24"/>
          <w:lang w:val="en-GB" w:eastAsia="en-US"/>
        </w:rPr>
        <w:t>4</w:t>
      </w:r>
      <w:r w:rsidRPr="00317646">
        <w:rPr>
          <w:rFonts w:ascii="Times New Roman" w:hAnsi="Times New Roman" w:cs="Arial"/>
          <w:b/>
          <w:color w:val="23236E"/>
          <w:sz w:val="24"/>
          <w:lang w:val="en-GB" w:eastAsia="en-US"/>
        </w:rPr>
        <w:br/>
        <w:t>Language</w:t>
      </w:r>
      <w:bookmarkEnd w:id="61"/>
      <w:bookmarkEnd w:id="62"/>
      <w:bookmarkEnd w:id="63"/>
      <w:bookmarkEnd w:id="64"/>
    </w:p>
    <w:p w14:paraId="4957D7D4" w14:textId="77777777" w:rsidR="002F471A" w:rsidRPr="000542DC" w:rsidRDefault="002F471A" w:rsidP="002F471A">
      <w:pPr>
        <w:spacing w:after="120"/>
        <w:jc w:val="both"/>
        <w:rPr>
          <w:rFonts w:ascii="Times New Roman" w:hAnsi="Times New Roman"/>
          <w:szCs w:val="22"/>
          <w:lang w:val="en-GB" w:eastAsia="en-US"/>
        </w:rPr>
      </w:pPr>
      <w:r w:rsidRPr="00317646">
        <w:rPr>
          <w:rFonts w:ascii="Times New Roman" w:hAnsi="Times New Roman"/>
          <w:szCs w:val="22"/>
          <w:lang w:val="en-GB" w:eastAsia="en-US"/>
        </w:rPr>
        <w:t xml:space="preserve">The reference language for this RRIF shall be English. For the avoidance of doubt, where TSOs need to translate this RRIF into their national language(s), in the event of inconsistencies between the English version published by TSOs in accordance with Article 21 of the </w:t>
      </w:r>
      <w:r w:rsidR="00547B2A" w:rsidRPr="00317646">
        <w:rPr>
          <w:rFonts w:ascii="Times New Roman" w:hAnsi="Times New Roman"/>
          <w:szCs w:val="22"/>
          <w:lang w:val="en-GB" w:eastAsia="en-US"/>
        </w:rPr>
        <w:t>EBGL</w:t>
      </w:r>
      <w:r w:rsidRPr="00317646">
        <w:rPr>
          <w:rFonts w:ascii="Times New Roman" w:hAnsi="Times New Roman"/>
          <w:szCs w:val="22"/>
          <w:lang w:val="en-GB" w:eastAsia="en-US"/>
        </w:rPr>
        <w:t xml:space="preserve"> and any version in another language, the relevant TSOs shall be obliged to dispel any inconsistencies by providing a revised translation of this RRIF to their relevant national regulatory authorities.</w:t>
      </w:r>
    </w:p>
    <w:bookmarkEnd w:id="0"/>
    <w:bookmarkEnd w:id="48"/>
    <w:p w14:paraId="49FFC997" w14:textId="6A5E9F21" w:rsidR="00E611B7" w:rsidRDefault="00E611B7">
      <w:pPr>
        <w:rPr>
          <w:lang w:val="en-GB"/>
        </w:rPr>
      </w:pPr>
      <w:r>
        <w:rPr>
          <w:lang w:val="en-GB"/>
        </w:rPr>
        <w:br w:type="page"/>
      </w:r>
    </w:p>
    <w:p w14:paraId="4B0BA4EE" w14:textId="617E24F4" w:rsidR="00F80655" w:rsidRDefault="00E611B7" w:rsidP="00E611B7">
      <w:pPr>
        <w:spacing w:before="400" w:after="120" w:line="340" w:lineRule="exact"/>
        <w:jc w:val="center"/>
        <w:outlineLvl w:val="0"/>
        <w:rPr>
          <w:rFonts w:ascii="Times New Roman" w:hAnsi="Times New Roman" w:cs="Arial"/>
          <w:b/>
          <w:color w:val="23236E"/>
          <w:sz w:val="24"/>
          <w:szCs w:val="28"/>
          <w:lang w:val="en-GB" w:eastAsia="en-US"/>
        </w:rPr>
      </w:pPr>
      <w:bookmarkStart w:id="65" w:name="_Toc51082162"/>
      <w:r w:rsidRPr="00E611B7">
        <w:rPr>
          <w:rFonts w:ascii="Times New Roman" w:hAnsi="Times New Roman" w:cs="Arial"/>
          <w:b/>
          <w:color w:val="23236E"/>
          <w:sz w:val="24"/>
          <w:szCs w:val="28"/>
          <w:lang w:val="en-GB" w:eastAsia="en-US"/>
        </w:rPr>
        <w:lastRenderedPageBreak/>
        <w:t>Annex – Designation letter pursuant to Article 19(3) of the EBGL</w:t>
      </w:r>
      <w:bookmarkEnd w:id="65"/>
    </w:p>
    <w:p w14:paraId="43E80186" w14:textId="77777777" w:rsidR="00412079" w:rsidRDefault="00412079" w:rsidP="00412079">
      <w:pPr>
        <w:jc w:val="both"/>
        <w:rPr>
          <w:rFonts w:asciiTheme="minorHAnsi" w:hAnsiTheme="minorHAnsi" w:cstheme="minorHAnsi"/>
          <w:szCs w:val="22"/>
          <w:lang w:val="en-GB"/>
        </w:rPr>
      </w:pPr>
    </w:p>
    <w:p w14:paraId="3117AD16" w14:textId="26085AA8"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 xml:space="preserve">The purpose of this designation letter is to appoint the entities that will operate the RR Platform while demonstrating how this designation and the processes will enable good coordination and an efficient operation of the RR Platform. </w:t>
      </w:r>
    </w:p>
    <w:p w14:paraId="34F5E93D"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 xml:space="preserve">The TSOs underline that, during application of the RR process, each RR TSO remains solely responsible for the operational security of its transmission network, including the operation and activation of Replacement Reserves, regardless of the modalities of the designation. </w:t>
      </w:r>
    </w:p>
    <w:p w14:paraId="59019357"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Furthermore, the TSOs defined the operation of the RR Platform as the process by which decisions on the functioning, maintenance and evolution of the RR Platform will be made. The RR Platform itself consists of the IT Solution and the whole set of services supporting the IT Solution by means of which the TSOs perform the functions described in Article 5 of the RR Implementation Framework (RRIF). Consequently, the RR Platform must be understood as the “RR market” as a whole, and not be limited to the sole IT tool for instance.</w:t>
      </w:r>
    </w:p>
    <w:p w14:paraId="2C7E43B4"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 xml:space="preserve">All RR TSOs consequently and in accordance with article 19(3) of EBGL, hereby designate the following TSOs (hereby “RR TSOs”) </w:t>
      </w:r>
    </w:p>
    <w:p w14:paraId="02F814BB" w14:textId="77777777" w:rsidR="00412079" w:rsidRPr="00412079" w:rsidRDefault="00412079" w:rsidP="00412079">
      <w:pPr>
        <w:pStyle w:val="ListParagraph"/>
        <w:numPr>
          <w:ilvl w:val="0"/>
          <w:numId w:val="46"/>
        </w:numPr>
        <w:spacing w:line="240" w:lineRule="auto"/>
        <w:rPr>
          <w:szCs w:val="22"/>
        </w:rPr>
      </w:pPr>
      <w:r w:rsidRPr="00412079">
        <w:rPr>
          <w:szCs w:val="22"/>
        </w:rPr>
        <w:t>CEPS</w:t>
      </w:r>
    </w:p>
    <w:p w14:paraId="023FF03A" w14:textId="77777777" w:rsidR="00412079" w:rsidRPr="00412079" w:rsidRDefault="00412079" w:rsidP="00412079">
      <w:pPr>
        <w:pStyle w:val="ListParagraph"/>
        <w:numPr>
          <w:ilvl w:val="0"/>
          <w:numId w:val="46"/>
        </w:numPr>
        <w:spacing w:line="240" w:lineRule="auto"/>
        <w:rPr>
          <w:szCs w:val="22"/>
        </w:rPr>
      </w:pPr>
      <w:r w:rsidRPr="00412079">
        <w:rPr>
          <w:szCs w:val="22"/>
        </w:rPr>
        <w:t>National Grid ESO</w:t>
      </w:r>
    </w:p>
    <w:p w14:paraId="69EF8D94" w14:textId="77777777" w:rsidR="00412079" w:rsidRPr="00412079" w:rsidRDefault="00412079" w:rsidP="00412079">
      <w:pPr>
        <w:pStyle w:val="ListParagraph"/>
        <w:numPr>
          <w:ilvl w:val="0"/>
          <w:numId w:val="46"/>
        </w:numPr>
        <w:spacing w:line="240" w:lineRule="auto"/>
        <w:rPr>
          <w:szCs w:val="22"/>
        </w:rPr>
      </w:pPr>
      <w:r w:rsidRPr="00412079">
        <w:rPr>
          <w:szCs w:val="22"/>
        </w:rPr>
        <w:t>PSE</w:t>
      </w:r>
    </w:p>
    <w:p w14:paraId="2617538F" w14:textId="77777777" w:rsidR="00412079" w:rsidRPr="00412079" w:rsidRDefault="00412079" w:rsidP="00412079">
      <w:pPr>
        <w:pStyle w:val="ListParagraph"/>
        <w:numPr>
          <w:ilvl w:val="0"/>
          <w:numId w:val="46"/>
        </w:numPr>
        <w:spacing w:line="240" w:lineRule="auto"/>
        <w:rPr>
          <w:szCs w:val="22"/>
        </w:rPr>
      </w:pPr>
      <w:r w:rsidRPr="00412079">
        <w:rPr>
          <w:szCs w:val="22"/>
        </w:rPr>
        <w:t>REE</w:t>
      </w:r>
    </w:p>
    <w:p w14:paraId="67ED5D41" w14:textId="77777777" w:rsidR="00412079" w:rsidRPr="00412079" w:rsidRDefault="00412079" w:rsidP="00412079">
      <w:pPr>
        <w:pStyle w:val="ListParagraph"/>
        <w:numPr>
          <w:ilvl w:val="0"/>
          <w:numId w:val="46"/>
        </w:numPr>
        <w:spacing w:line="240" w:lineRule="auto"/>
        <w:rPr>
          <w:szCs w:val="22"/>
        </w:rPr>
      </w:pPr>
      <w:r w:rsidRPr="00412079">
        <w:rPr>
          <w:szCs w:val="22"/>
        </w:rPr>
        <w:t>REN</w:t>
      </w:r>
    </w:p>
    <w:p w14:paraId="181F6B52" w14:textId="77777777" w:rsidR="00412079" w:rsidRPr="00412079" w:rsidRDefault="00412079" w:rsidP="00412079">
      <w:pPr>
        <w:pStyle w:val="ListParagraph"/>
        <w:numPr>
          <w:ilvl w:val="0"/>
          <w:numId w:val="46"/>
        </w:numPr>
        <w:spacing w:line="240" w:lineRule="auto"/>
        <w:rPr>
          <w:szCs w:val="22"/>
        </w:rPr>
      </w:pPr>
      <w:r w:rsidRPr="00412079">
        <w:rPr>
          <w:szCs w:val="22"/>
        </w:rPr>
        <w:t>RTE</w:t>
      </w:r>
    </w:p>
    <w:p w14:paraId="0864E110" w14:textId="77777777" w:rsidR="00412079" w:rsidRPr="00412079" w:rsidRDefault="00412079" w:rsidP="00412079">
      <w:pPr>
        <w:pStyle w:val="ListParagraph"/>
        <w:numPr>
          <w:ilvl w:val="0"/>
          <w:numId w:val="46"/>
        </w:numPr>
        <w:spacing w:line="240" w:lineRule="auto"/>
        <w:rPr>
          <w:szCs w:val="22"/>
        </w:rPr>
      </w:pPr>
      <w:r w:rsidRPr="00412079">
        <w:rPr>
          <w:szCs w:val="22"/>
        </w:rPr>
        <w:t>Swissgrid</w:t>
      </w:r>
    </w:p>
    <w:p w14:paraId="1FFA2B45" w14:textId="3D698A59" w:rsidR="00412079" w:rsidRPr="00412079" w:rsidRDefault="00412079" w:rsidP="00412079">
      <w:pPr>
        <w:pStyle w:val="ListParagraph"/>
        <w:numPr>
          <w:ilvl w:val="0"/>
          <w:numId w:val="46"/>
        </w:numPr>
        <w:spacing w:line="240" w:lineRule="auto"/>
        <w:rPr>
          <w:szCs w:val="22"/>
        </w:rPr>
      </w:pPr>
      <w:r w:rsidRPr="00412079">
        <w:rPr>
          <w:szCs w:val="22"/>
        </w:rPr>
        <w:t>TERNA</w:t>
      </w:r>
    </w:p>
    <w:p w14:paraId="5B5AB5E7"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as the entities that will be responsible for the operation of the Activation Optimization function (AOF), the Cross-zonal capacity function (CZCF) and the TSO-TSO settlement function (TTSF) defined in Article 5 of the RRIF in accordance with Article 19(4) of EBGL.</w:t>
      </w:r>
    </w:p>
    <w:p w14:paraId="420155D4"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The hosting and monitoring of LIBRA, the TERRE platform, is contracted by RR TSOs to an IT service provider that guarantees the automatic operation on 24/7 of AOF, CZCF and TTSF.</w:t>
      </w:r>
    </w:p>
    <w:p w14:paraId="484689F8"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This set up has been chosen by the TSOs due to the following reasons:</w:t>
      </w:r>
    </w:p>
    <w:p w14:paraId="5527D4C5" w14:textId="77777777" w:rsidR="00412079" w:rsidRPr="00412079" w:rsidRDefault="00412079" w:rsidP="00412079">
      <w:pPr>
        <w:pStyle w:val="ListParagraph"/>
        <w:numPr>
          <w:ilvl w:val="0"/>
          <w:numId w:val="46"/>
        </w:numPr>
        <w:spacing w:line="240" w:lineRule="auto"/>
        <w:rPr>
          <w:szCs w:val="22"/>
        </w:rPr>
      </w:pPr>
      <w:r w:rsidRPr="00412079">
        <w:rPr>
          <w:szCs w:val="22"/>
        </w:rPr>
        <w:t xml:space="preserve">It is the one followed by the TERRE Project from its very beginning on and has allowed the TSOs to successfully develop the project (the conduct of six European tenders notably was managed in an efficient way), and to deliver the RR Platform in accordance with the timeline set up by EBGL (and this, even despite the fact the deadline was a tight one). </w:t>
      </w:r>
    </w:p>
    <w:p w14:paraId="741A760F" w14:textId="69A3F9E6" w:rsidR="00412079" w:rsidRPr="00412079" w:rsidRDefault="00412079" w:rsidP="00412079">
      <w:pPr>
        <w:pStyle w:val="ListParagraph"/>
        <w:numPr>
          <w:ilvl w:val="0"/>
          <w:numId w:val="46"/>
        </w:numPr>
        <w:spacing w:line="240" w:lineRule="auto"/>
        <w:rPr>
          <w:szCs w:val="22"/>
        </w:rPr>
      </w:pPr>
      <w:r w:rsidRPr="00412079">
        <w:rPr>
          <w:szCs w:val="22"/>
        </w:rPr>
        <w:t>These entities will coordinate themselves thanks to contractual arrangements defined on the TERRE Cooperation Agreement</w:t>
      </w:r>
      <w:r w:rsidR="00B17E41">
        <w:rPr>
          <w:szCs w:val="22"/>
        </w:rPr>
        <w:t xml:space="preserve"> (TCA)</w:t>
      </w:r>
      <w:r w:rsidRPr="00412079">
        <w:rPr>
          <w:szCs w:val="22"/>
        </w:rPr>
        <w:t>. The content and functioning of such contractual arrangements are further defined hereunder.</w:t>
      </w:r>
    </w:p>
    <w:p w14:paraId="36301E40" w14:textId="77777777" w:rsidR="00412079" w:rsidRPr="00412079" w:rsidRDefault="00412079" w:rsidP="00412079">
      <w:pPr>
        <w:rPr>
          <w:szCs w:val="22"/>
        </w:rPr>
      </w:pPr>
    </w:p>
    <w:p w14:paraId="6F056061" w14:textId="77777777" w:rsidR="00412079" w:rsidRPr="00412079" w:rsidRDefault="00412079" w:rsidP="00412079">
      <w:pPr>
        <w:spacing w:after="120"/>
        <w:jc w:val="both"/>
        <w:rPr>
          <w:rFonts w:asciiTheme="minorHAnsi" w:hAnsiTheme="minorHAnsi" w:cstheme="minorHAnsi"/>
          <w:b/>
          <w:i/>
          <w:szCs w:val="22"/>
          <w:lang w:val="en-GB"/>
        </w:rPr>
      </w:pPr>
      <w:r w:rsidRPr="00412079">
        <w:rPr>
          <w:rFonts w:asciiTheme="minorHAnsi" w:hAnsiTheme="minorHAnsi" w:cstheme="minorHAnsi"/>
          <w:b/>
          <w:i/>
          <w:szCs w:val="22"/>
          <w:lang w:val="en-GB"/>
        </w:rPr>
        <w:t xml:space="preserve">How does the operation of the functions work and why do the TSOs consider that such operation will be efficient in line with article 19(3) and 19(4) of </w:t>
      </w:r>
      <w:proofErr w:type="gramStart"/>
      <w:r w:rsidRPr="00412079">
        <w:rPr>
          <w:rFonts w:asciiTheme="minorHAnsi" w:hAnsiTheme="minorHAnsi" w:cstheme="minorHAnsi"/>
          <w:b/>
          <w:i/>
          <w:szCs w:val="22"/>
          <w:lang w:val="en-GB"/>
        </w:rPr>
        <w:t>EBGL:</w:t>
      </w:r>
      <w:proofErr w:type="gramEnd"/>
      <w:r w:rsidRPr="00412079">
        <w:rPr>
          <w:rFonts w:asciiTheme="minorHAnsi" w:hAnsiTheme="minorHAnsi" w:cstheme="minorHAnsi"/>
          <w:b/>
          <w:i/>
          <w:szCs w:val="22"/>
          <w:lang w:val="en-GB"/>
        </w:rPr>
        <w:t xml:space="preserve"> </w:t>
      </w:r>
    </w:p>
    <w:p w14:paraId="3C4F4EFE"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The above functions will be operated by the RR TSOs following the rules described in the TCA. The operational rules are more specifically detailed in the Operational Handbook, Annex 8 to the TCA, which elaborates on fundamental operational principles:</w:t>
      </w:r>
    </w:p>
    <w:p w14:paraId="49963386" w14:textId="77777777" w:rsidR="00412079" w:rsidRPr="00412079" w:rsidRDefault="00412079" w:rsidP="00412079">
      <w:pPr>
        <w:pStyle w:val="ListParagraph"/>
        <w:numPr>
          <w:ilvl w:val="0"/>
          <w:numId w:val="45"/>
        </w:numPr>
        <w:spacing w:line="240" w:lineRule="auto"/>
        <w:rPr>
          <w:szCs w:val="22"/>
          <w:lang w:eastAsia="en-US"/>
        </w:rPr>
      </w:pPr>
      <w:r w:rsidRPr="00412079">
        <w:rPr>
          <w:szCs w:val="22"/>
          <w:lang w:eastAsia="en-US"/>
        </w:rPr>
        <w:lastRenderedPageBreak/>
        <w:t>How the RR TSOs, will use the RR Platform;</w:t>
      </w:r>
    </w:p>
    <w:p w14:paraId="22437FF0" w14:textId="77777777" w:rsidR="00412079" w:rsidRPr="00412079" w:rsidRDefault="00412079" w:rsidP="00412079">
      <w:pPr>
        <w:pStyle w:val="ListParagraph"/>
        <w:numPr>
          <w:ilvl w:val="0"/>
          <w:numId w:val="45"/>
        </w:numPr>
        <w:spacing w:line="240" w:lineRule="auto"/>
        <w:rPr>
          <w:szCs w:val="22"/>
          <w:lang w:eastAsia="en-US"/>
        </w:rPr>
      </w:pPr>
      <w:r w:rsidRPr="00412079">
        <w:rPr>
          <w:szCs w:val="22"/>
          <w:lang w:eastAsia="en-US"/>
        </w:rPr>
        <w:t>Data exchanges between local systems at TSOs and the RR Platform;</w:t>
      </w:r>
    </w:p>
    <w:p w14:paraId="128FCF04" w14:textId="77777777" w:rsidR="00412079" w:rsidRPr="00412079" w:rsidRDefault="00412079" w:rsidP="00412079">
      <w:pPr>
        <w:pStyle w:val="ListParagraph"/>
        <w:numPr>
          <w:ilvl w:val="0"/>
          <w:numId w:val="45"/>
        </w:numPr>
        <w:spacing w:line="240" w:lineRule="auto"/>
        <w:rPr>
          <w:szCs w:val="22"/>
          <w:lang w:eastAsia="en-US"/>
        </w:rPr>
      </w:pPr>
      <w:r w:rsidRPr="00412079">
        <w:rPr>
          <w:szCs w:val="22"/>
          <w:lang w:eastAsia="en-US"/>
        </w:rPr>
        <w:t>Exception handling, fallback measures; and</w:t>
      </w:r>
    </w:p>
    <w:p w14:paraId="3205821A" w14:textId="77777777" w:rsidR="00412079" w:rsidRPr="00412079" w:rsidRDefault="00412079" w:rsidP="00412079">
      <w:pPr>
        <w:pStyle w:val="ListParagraph"/>
        <w:numPr>
          <w:ilvl w:val="0"/>
          <w:numId w:val="45"/>
        </w:numPr>
        <w:spacing w:line="240" w:lineRule="auto"/>
        <w:rPr>
          <w:szCs w:val="22"/>
          <w:lang w:eastAsia="en-US"/>
        </w:rPr>
      </w:pPr>
      <w:r w:rsidRPr="00412079">
        <w:rPr>
          <w:szCs w:val="22"/>
          <w:lang w:eastAsia="en-US"/>
        </w:rPr>
        <w:t>Procedures for raising and escalating incidents.</w:t>
      </w:r>
    </w:p>
    <w:p w14:paraId="185CFB63" w14:textId="77777777" w:rsidR="00412079" w:rsidRPr="002905BE" w:rsidRDefault="00412079" w:rsidP="002905BE">
      <w:pPr>
        <w:rPr>
          <w:szCs w:val="22"/>
        </w:rPr>
      </w:pPr>
    </w:p>
    <w:p w14:paraId="4224B392"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 xml:space="preserve">More precisely: </w:t>
      </w:r>
    </w:p>
    <w:p w14:paraId="1509C122" w14:textId="77777777" w:rsidR="00412079" w:rsidRPr="00412079" w:rsidRDefault="00412079" w:rsidP="00412079">
      <w:pPr>
        <w:pStyle w:val="ListParagraph"/>
        <w:numPr>
          <w:ilvl w:val="0"/>
          <w:numId w:val="45"/>
        </w:numPr>
        <w:spacing w:line="240" w:lineRule="auto"/>
        <w:rPr>
          <w:szCs w:val="22"/>
        </w:rPr>
      </w:pPr>
      <w:r w:rsidRPr="00412079">
        <w:rPr>
          <w:szCs w:val="22"/>
        </w:rPr>
        <w:t>Operating the RR Platform means making decisions at two different “timeframes”: there are the day to day/real-time decisions on the one hand;</w:t>
      </w:r>
    </w:p>
    <w:p w14:paraId="3242E7B4" w14:textId="77777777" w:rsidR="00412079" w:rsidRPr="00412079" w:rsidRDefault="00412079" w:rsidP="00412079">
      <w:pPr>
        <w:pStyle w:val="ListParagraph"/>
        <w:numPr>
          <w:ilvl w:val="0"/>
          <w:numId w:val="45"/>
        </w:numPr>
        <w:spacing w:line="240" w:lineRule="auto"/>
        <w:rPr>
          <w:szCs w:val="22"/>
        </w:rPr>
      </w:pPr>
      <w:r w:rsidRPr="00412079">
        <w:rPr>
          <w:szCs w:val="22"/>
        </w:rPr>
        <w:t>And there are, on the other hand the “long-term” decisions notably the ones aiming at defining:</w:t>
      </w:r>
    </w:p>
    <w:p w14:paraId="4BBFC0A1" w14:textId="77777777" w:rsidR="00412079" w:rsidRPr="00412079" w:rsidRDefault="00412079" w:rsidP="00412079">
      <w:pPr>
        <w:pStyle w:val="ListParagraph"/>
        <w:numPr>
          <w:ilvl w:val="0"/>
          <w:numId w:val="48"/>
        </w:numPr>
        <w:spacing w:line="240" w:lineRule="auto"/>
        <w:rPr>
          <w:szCs w:val="22"/>
        </w:rPr>
      </w:pPr>
      <w:r w:rsidRPr="00412079">
        <w:rPr>
          <w:szCs w:val="22"/>
        </w:rPr>
        <w:t xml:space="preserve">The budget allowed to the project; </w:t>
      </w:r>
    </w:p>
    <w:p w14:paraId="164DAAF8" w14:textId="77777777" w:rsidR="00412079" w:rsidRPr="00412079" w:rsidRDefault="00412079" w:rsidP="00412079">
      <w:pPr>
        <w:pStyle w:val="ListParagraph"/>
        <w:numPr>
          <w:ilvl w:val="0"/>
          <w:numId w:val="48"/>
        </w:numPr>
        <w:spacing w:line="240" w:lineRule="auto"/>
        <w:rPr>
          <w:szCs w:val="22"/>
        </w:rPr>
      </w:pPr>
      <w:r w:rsidRPr="00412079">
        <w:rPr>
          <w:szCs w:val="22"/>
        </w:rPr>
        <w:t xml:space="preserve">The allocation of resources to the project; </w:t>
      </w:r>
    </w:p>
    <w:p w14:paraId="3CA4B4B3" w14:textId="77777777" w:rsidR="00412079" w:rsidRPr="00412079" w:rsidRDefault="00412079" w:rsidP="00412079">
      <w:pPr>
        <w:pStyle w:val="ListParagraph"/>
        <w:numPr>
          <w:ilvl w:val="0"/>
          <w:numId w:val="48"/>
        </w:numPr>
        <w:spacing w:line="240" w:lineRule="auto"/>
        <w:rPr>
          <w:szCs w:val="22"/>
        </w:rPr>
      </w:pPr>
      <w:r w:rsidRPr="00412079">
        <w:rPr>
          <w:szCs w:val="22"/>
        </w:rPr>
        <w:t>The evolutions of the IT solution with respect to the needs of the RR Platform.</w:t>
      </w:r>
    </w:p>
    <w:p w14:paraId="15B5113E" w14:textId="77777777" w:rsidR="00412079" w:rsidRPr="002905BE" w:rsidRDefault="00412079" w:rsidP="002905BE">
      <w:pPr>
        <w:rPr>
          <w:szCs w:val="22"/>
        </w:rPr>
      </w:pPr>
    </w:p>
    <w:p w14:paraId="5E6345AC"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The day-to-day/real-time decisions, to be transmitted to the IT service provider, will be made by the TERRE Members by means of an Operational Working Group (OWG) as defined in the TCA. The OWG will guarantee the cooperation of the several entities but the legal responsibility of these decisions will remain in each of the TSOs. This group will be mandated to make all binding decisions concerning all topics listed below, based on operational procedures. This group will be notably in charge of:</w:t>
      </w:r>
    </w:p>
    <w:p w14:paraId="2174C2A2" w14:textId="77777777" w:rsidR="00412079" w:rsidRPr="00412079" w:rsidRDefault="00412079" w:rsidP="00412079">
      <w:pPr>
        <w:pStyle w:val="ListParagraph"/>
        <w:numPr>
          <w:ilvl w:val="0"/>
          <w:numId w:val="45"/>
        </w:numPr>
        <w:spacing w:line="240" w:lineRule="auto"/>
        <w:rPr>
          <w:szCs w:val="22"/>
          <w:lang w:eastAsia="en-US"/>
        </w:rPr>
      </w:pPr>
      <w:r w:rsidRPr="00412079">
        <w:rPr>
          <w:szCs w:val="22"/>
          <w:lang w:eastAsia="en-US"/>
        </w:rPr>
        <w:t>Operating the RR Platform, meaning that the OWG will make all operational decisions concerning the IT Solution on behalf of the TERRE Members in relation to exceptional conditions, suspending/re-starting the RR process on the IT Solution, etc.;</w:t>
      </w:r>
    </w:p>
    <w:p w14:paraId="175B90F4" w14:textId="77777777" w:rsidR="00412079" w:rsidRPr="00412079" w:rsidRDefault="00412079" w:rsidP="00412079">
      <w:pPr>
        <w:pStyle w:val="ListParagraph"/>
        <w:numPr>
          <w:ilvl w:val="0"/>
          <w:numId w:val="45"/>
        </w:numPr>
        <w:spacing w:line="240" w:lineRule="auto"/>
        <w:rPr>
          <w:szCs w:val="22"/>
          <w:lang w:eastAsia="en-US"/>
        </w:rPr>
      </w:pPr>
      <w:r w:rsidRPr="00412079">
        <w:rPr>
          <w:szCs w:val="22"/>
          <w:lang w:eastAsia="en-US"/>
        </w:rPr>
        <w:t>Dealing with day-to-day operational decisions, on the operation of the RR Platform and, consequently, on the operation of the IT Solution;</w:t>
      </w:r>
    </w:p>
    <w:p w14:paraId="2ED49AC9" w14:textId="77777777" w:rsidR="00412079" w:rsidRPr="00412079" w:rsidRDefault="00412079" w:rsidP="00412079">
      <w:pPr>
        <w:pStyle w:val="ListParagraph"/>
        <w:numPr>
          <w:ilvl w:val="0"/>
          <w:numId w:val="45"/>
        </w:numPr>
        <w:spacing w:line="240" w:lineRule="auto"/>
        <w:rPr>
          <w:szCs w:val="22"/>
          <w:lang w:eastAsia="en-US"/>
        </w:rPr>
      </w:pPr>
      <w:r w:rsidRPr="00412079">
        <w:rPr>
          <w:szCs w:val="22"/>
          <w:lang w:eastAsia="en-US"/>
        </w:rPr>
        <w:t>Managing incidents.</w:t>
      </w:r>
    </w:p>
    <w:p w14:paraId="2D42E910" w14:textId="77777777" w:rsidR="00412079" w:rsidRPr="00412079" w:rsidRDefault="00412079" w:rsidP="00412079">
      <w:pPr>
        <w:widowControl w:val="0"/>
        <w:adjustRightInd w:val="0"/>
        <w:spacing w:after="120" w:line="300" w:lineRule="atLeast"/>
        <w:contextualSpacing/>
        <w:jc w:val="both"/>
        <w:rPr>
          <w:rFonts w:asciiTheme="minorHAnsi" w:hAnsiTheme="minorHAnsi" w:cstheme="minorHAnsi"/>
          <w:szCs w:val="22"/>
          <w:lang w:val="en-GB"/>
        </w:rPr>
      </w:pPr>
    </w:p>
    <w:p w14:paraId="7AF3CEB2" w14:textId="77777777" w:rsidR="00412079" w:rsidRPr="00412079" w:rsidRDefault="00412079" w:rsidP="00412079">
      <w:pPr>
        <w:widowControl w:val="0"/>
        <w:adjustRightInd w:val="0"/>
        <w:spacing w:after="120" w:line="300" w:lineRule="atLeast"/>
        <w:contextualSpacing/>
        <w:jc w:val="both"/>
        <w:rPr>
          <w:rFonts w:asciiTheme="minorHAnsi" w:hAnsiTheme="minorHAnsi" w:cstheme="minorHAnsi"/>
          <w:szCs w:val="22"/>
          <w:lang w:val="en-GB"/>
        </w:rPr>
      </w:pPr>
      <w:r w:rsidRPr="00412079">
        <w:rPr>
          <w:rFonts w:asciiTheme="minorHAnsi" w:hAnsiTheme="minorHAnsi" w:cstheme="minorHAnsi"/>
          <w:szCs w:val="22"/>
          <w:lang w:val="en-GB"/>
        </w:rPr>
        <w:t>It is underlined here by the TSOs that the governance rules dedicated to the OWG allow for:</w:t>
      </w:r>
    </w:p>
    <w:p w14:paraId="764D723B" w14:textId="77777777" w:rsidR="00412079" w:rsidRPr="00412079" w:rsidRDefault="00412079" w:rsidP="00412079">
      <w:pPr>
        <w:pStyle w:val="ListParagraph"/>
        <w:widowControl w:val="0"/>
        <w:numPr>
          <w:ilvl w:val="0"/>
          <w:numId w:val="45"/>
        </w:numPr>
        <w:adjustRightInd w:val="0"/>
        <w:spacing w:line="300" w:lineRule="atLeast"/>
        <w:contextualSpacing/>
        <w:rPr>
          <w:szCs w:val="22"/>
        </w:rPr>
      </w:pPr>
      <w:r w:rsidRPr="00412079">
        <w:rPr>
          <w:szCs w:val="22"/>
        </w:rPr>
        <w:t>A representation of each TSO, meaning each country involved in the RR exchanges, which is necessary in order to allow each TSO to have the appropriate information to ensure, at a national level, a safe operation of the grid;</w:t>
      </w:r>
    </w:p>
    <w:p w14:paraId="14242D1C" w14:textId="77777777" w:rsidR="00412079" w:rsidRPr="00412079" w:rsidRDefault="00412079" w:rsidP="00412079">
      <w:pPr>
        <w:pStyle w:val="ListParagraph"/>
        <w:widowControl w:val="0"/>
        <w:numPr>
          <w:ilvl w:val="0"/>
          <w:numId w:val="45"/>
        </w:numPr>
        <w:adjustRightInd w:val="0"/>
        <w:spacing w:line="300" w:lineRule="atLeast"/>
        <w:contextualSpacing/>
        <w:rPr>
          <w:szCs w:val="22"/>
        </w:rPr>
      </w:pPr>
      <w:r w:rsidRPr="00412079">
        <w:rPr>
          <w:szCs w:val="22"/>
        </w:rPr>
        <w:t xml:space="preserve">The decision-making rules ensure that such group is in a position to make quick decisions and should there be an issue requiring a very urgent decision, then the OWG has been empowered (article 6(11) of the TCA) to make such decision, which is then reported to the TERRE Steering Committee (TSC) to ensure good and smooth communication within all groups of the cooperation. </w:t>
      </w:r>
    </w:p>
    <w:p w14:paraId="4AE33F66" w14:textId="77777777" w:rsidR="00412079" w:rsidRPr="00412079" w:rsidRDefault="00412079" w:rsidP="00412079">
      <w:pPr>
        <w:widowControl w:val="0"/>
        <w:adjustRightInd w:val="0"/>
        <w:spacing w:after="120" w:line="300" w:lineRule="atLeast"/>
        <w:contextualSpacing/>
        <w:jc w:val="both"/>
        <w:rPr>
          <w:rFonts w:asciiTheme="minorHAnsi" w:hAnsiTheme="minorHAnsi" w:cstheme="minorHAnsi"/>
          <w:szCs w:val="22"/>
          <w:lang w:val="en-GB"/>
        </w:rPr>
      </w:pPr>
    </w:p>
    <w:p w14:paraId="0B03F6B0" w14:textId="77777777" w:rsidR="00412079" w:rsidRPr="00412079" w:rsidRDefault="00412079" w:rsidP="00412079">
      <w:pPr>
        <w:widowControl w:val="0"/>
        <w:adjustRightInd w:val="0"/>
        <w:spacing w:after="120" w:line="300" w:lineRule="atLeast"/>
        <w:contextualSpacing/>
        <w:jc w:val="both"/>
        <w:rPr>
          <w:rFonts w:asciiTheme="minorHAnsi" w:hAnsiTheme="minorHAnsi" w:cstheme="minorHAnsi"/>
          <w:szCs w:val="22"/>
          <w:lang w:val="en-GB"/>
        </w:rPr>
      </w:pPr>
      <w:r w:rsidRPr="00412079">
        <w:rPr>
          <w:rFonts w:asciiTheme="minorHAnsi" w:hAnsiTheme="minorHAnsi" w:cstheme="minorHAnsi"/>
          <w:szCs w:val="22"/>
          <w:lang w:val="en-GB"/>
        </w:rPr>
        <w:t xml:space="preserve">In addition, the OWG will be composed of trained and skilled personnel of each TSO. Following up the functioning of the RR Platform namely necessitates to have recourse to personnel that knows about: </w:t>
      </w:r>
    </w:p>
    <w:p w14:paraId="321B6E1E" w14:textId="77777777" w:rsidR="00412079" w:rsidRPr="00412079" w:rsidRDefault="00412079" w:rsidP="00412079">
      <w:pPr>
        <w:pStyle w:val="ListParagraph"/>
        <w:widowControl w:val="0"/>
        <w:numPr>
          <w:ilvl w:val="0"/>
          <w:numId w:val="47"/>
        </w:numPr>
        <w:adjustRightInd w:val="0"/>
        <w:spacing w:line="300" w:lineRule="atLeast"/>
        <w:contextualSpacing/>
        <w:rPr>
          <w:szCs w:val="22"/>
        </w:rPr>
      </w:pPr>
      <w:r w:rsidRPr="00412079">
        <w:rPr>
          <w:szCs w:val="22"/>
        </w:rPr>
        <w:t xml:space="preserve">The functioning of a grid; </w:t>
      </w:r>
    </w:p>
    <w:p w14:paraId="615C46DE" w14:textId="77777777" w:rsidR="00412079" w:rsidRPr="00412079" w:rsidRDefault="00412079" w:rsidP="00412079">
      <w:pPr>
        <w:pStyle w:val="ListParagraph"/>
        <w:widowControl w:val="0"/>
        <w:numPr>
          <w:ilvl w:val="0"/>
          <w:numId w:val="47"/>
        </w:numPr>
        <w:adjustRightInd w:val="0"/>
        <w:spacing w:line="300" w:lineRule="atLeast"/>
        <w:contextualSpacing/>
        <w:rPr>
          <w:szCs w:val="22"/>
        </w:rPr>
      </w:pPr>
      <w:r w:rsidRPr="00412079">
        <w:rPr>
          <w:szCs w:val="22"/>
        </w:rPr>
        <w:t>The emergency procedures to be followed;</w:t>
      </w:r>
    </w:p>
    <w:p w14:paraId="2C17A7EA" w14:textId="77777777" w:rsidR="00412079" w:rsidRPr="00412079" w:rsidRDefault="00412079" w:rsidP="00412079">
      <w:pPr>
        <w:pStyle w:val="ListParagraph"/>
        <w:widowControl w:val="0"/>
        <w:numPr>
          <w:ilvl w:val="0"/>
          <w:numId w:val="47"/>
        </w:numPr>
        <w:adjustRightInd w:val="0"/>
        <w:spacing w:line="300" w:lineRule="atLeast"/>
        <w:contextualSpacing/>
        <w:rPr>
          <w:szCs w:val="22"/>
        </w:rPr>
      </w:pPr>
      <w:r w:rsidRPr="00412079">
        <w:rPr>
          <w:szCs w:val="22"/>
        </w:rPr>
        <w:t xml:space="preserve">The safety rules for a safe operation of the grid; </w:t>
      </w:r>
    </w:p>
    <w:p w14:paraId="229179C0" w14:textId="77777777" w:rsidR="00412079" w:rsidRPr="00412079" w:rsidRDefault="00412079" w:rsidP="00412079">
      <w:pPr>
        <w:pStyle w:val="ListParagraph"/>
        <w:widowControl w:val="0"/>
        <w:numPr>
          <w:ilvl w:val="0"/>
          <w:numId w:val="47"/>
        </w:numPr>
        <w:adjustRightInd w:val="0"/>
        <w:spacing w:line="300" w:lineRule="atLeast"/>
        <w:contextualSpacing/>
        <w:rPr>
          <w:szCs w:val="22"/>
        </w:rPr>
      </w:pPr>
      <w:r w:rsidRPr="00412079">
        <w:rPr>
          <w:szCs w:val="22"/>
        </w:rPr>
        <w:t xml:space="preserve">More generally, personnel that is trained to the functioning of specific grid IT tools in order </w:t>
      </w:r>
      <w:r w:rsidRPr="00412079">
        <w:rPr>
          <w:szCs w:val="22"/>
        </w:rPr>
        <w:lastRenderedPageBreak/>
        <w:t>to be able to perform first-hand corrective/remedial action.</w:t>
      </w:r>
    </w:p>
    <w:p w14:paraId="41F88800" w14:textId="77777777" w:rsidR="00412079" w:rsidRPr="00412079" w:rsidRDefault="00412079" w:rsidP="00412079">
      <w:pPr>
        <w:widowControl w:val="0"/>
        <w:adjustRightInd w:val="0"/>
        <w:spacing w:after="120" w:line="300" w:lineRule="atLeast"/>
        <w:contextualSpacing/>
        <w:jc w:val="both"/>
        <w:rPr>
          <w:rFonts w:asciiTheme="minorHAnsi" w:hAnsiTheme="minorHAnsi" w:cstheme="minorHAnsi"/>
          <w:szCs w:val="22"/>
          <w:lang w:val="en-GB"/>
        </w:rPr>
      </w:pPr>
    </w:p>
    <w:p w14:paraId="76864C40" w14:textId="77777777" w:rsidR="00412079" w:rsidRPr="00412079" w:rsidRDefault="00412079" w:rsidP="00412079">
      <w:pPr>
        <w:widowControl w:val="0"/>
        <w:adjustRightInd w:val="0"/>
        <w:spacing w:after="120" w:line="300" w:lineRule="atLeast"/>
        <w:contextualSpacing/>
        <w:jc w:val="both"/>
        <w:rPr>
          <w:rFonts w:asciiTheme="minorHAnsi" w:hAnsiTheme="minorHAnsi" w:cstheme="minorHAnsi"/>
          <w:szCs w:val="22"/>
          <w:lang w:val="en-GB"/>
        </w:rPr>
      </w:pPr>
      <w:r w:rsidRPr="00412079">
        <w:rPr>
          <w:rFonts w:asciiTheme="minorHAnsi" w:hAnsiTheme="minorHAnsi" w:cstheme="minorHAnsi"/>
          <w:szCs w:val="22"/>
          <w:lang w:val="en-GB"/>
        </w:rPr>
        <w:t xml:space="preserve">There is no other alternative solution that can ensure the delivery of such trained personnel at a minimum and optimized costs for the consumers. Those resources are the only ones having the know-how, the experience and consequently the ability to operate such a close to real time process. </w:t>
      </w:r>
    </w:p>
    <w:p w14:paraId="192834CE" w14:textId="77777777" w:rsidR="00412079" w:rsidRPr="00412079" w:rsidRDefault="00412079" w:rsidP="00412079">
      <w:pPr>
        <w:widowControl w:val="0"/>
        <w:adjustRightInd w:val="0"/>
        <w:spacing w:after="120" w:line="300" w:lineRule="atLeast"/>
        <w:contextualSpacing/>
        <w:jc w:val="both"/>
        <w:rPr>
          <w:rFonts w:asciiTheme="minorHAnsi" w:hAnsiTheme="minorHAnsi" w:cstheme="minorHAnsi"/>
          <w:szCs w:val="22"/>
          <w:lang w:val="en-GB"/>
        </w:rPr>
      </w:pPr>
    </w:p>
    <w:p w14:paraId="367E788F" w14:textId="77777777" w:rsidR="00412079" w:rsidRPr="00412079" w:rsidRDefault="00412079" w:rsidP="00412079">
      <w:pPr>
        <w:widowControl w:val="0"/>
        <w:adjustRightInd w:val="0"/>
        <w:spacing w:after="120" w:line="300" w:lineRule="atLeast"/>
        <w:contextualSpacing/>
        <w:jc w:val="both"/>
        <w:rPr>
          <w:rFonts w:asciiTheme="minorHAnsi" w:hAnsiTheme="minorHAnsi" w:cstheme="minorHAnsi"/>
          <w:szCs w:val="22"/>
          <w:lang w:val="en-GB"/>
        </w:rPr>
      </w:pPr>
      <w:r w:rsidRPr="00412079">
        <w:rPr>
          <w:rFonts w:asciiTheme="minorHAnsi" w:hAnsiTheme="minorHAnsi" w:cstheme="minorHAnsi"/>
          <w:szCs w:val="22"/>
          <w:lang w:val="en-GB"/>
        </w:rPr>
        <w:t>Moreover, such group will benefit from the support of the above referred IT monitoring service provider, which is to ensure that the RR process keeps running 24/7. Therefore, the IT monitoring staff will be mandated to:</w:t>
      </w:r>
    </w:p>
    <w:p w14:paraId="2CE3E8DB" w14:textId="77777777" w:rsidR="00412079" w:rsidRPr="00412079" w:rsidRDefault="00412079" w:rsidP="00412079">
      <w:pPr>
        <w:pStyle w:val="ListParagraph"/>
        <w:numPr>
          <w:ilvl w:val="0"/>
          <w:numId w:val="45"/>
        </w:numPr>
        <w:spacing w:line="240" w:lineRule="auto"/>
        <w:rPr>
          <w:szCs w:val="22"/>
          <w:lang w:eastAsia="en-US"/>
        </w:rPr>
      </w:pPr>
      <w:r w:rsidRPr="00412079">
        <w:rPr>
          <w:szCs w:val="22"/>
          <w:lang w:eastAsia="en-US"/>
        </w:rPr>
        <w:t>Carry out routine maintenance activities, as detailed by the Standard Monitoring Procedures which were approved by the OWG</w:t>
      </w:r>
    </w:p>
    <w:p w14:paraId="3E68EA68" w14:textId="77777777" w:rsidR="00412079" w:rsidRPr="00412079" w:rsidRDefault="00412079" w:rsidP="00412079">
      <w:pPr>
        <w:pStyle w:val="ListParagraph"/>
        <w:numPr>
          <w:ilvl w:val="0"/>
          <w:numId w:val="45"/>
        </w:numPr>
        <w:spacing w:line="240" w:lineRule="auto"/>
        <w:rPr>
          <w:szCs w:val="22"/>
          <w:lang w:eastAsia="en-US"/>
        </w:rPr>
      </w:pPr>
      <w:r w:rsidRPr="00412079">
        <w:rPr>
          <w:szCs w:val="22"/>
          <w:lang w:eastAsia="en-US"/>
        </w:rPr>
        <w:t>Handle all incidents occurring in the IT solution and, within that context, convene the OWG when required</w:t>
      </w:r>
    </w:p>
    <w:p w14:paraId="59F5713F" w14:textId="77777777" w:rsidR="00412079" w:rsidRPr="002905BE" w:rsidRDefault="00412079" w:rsidP="002905BE">
      <w:pPr>
        <w:rPr>
          <w:szCs w:val="22"/>
          <w:lang w:eastAsia="en-US"/>
        </w:rPr>
      </w:pPr>
    </w:p>
    <w:p w14:paraId="38065315"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 xml:space="preserve">The service provider responsible for IT monitoring is accountable to the OWG, where all participating TSOs are represented. </w:t>
      </w:r>
    </w:p>
    <w:p w14:paraId="65AE1442"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 xml:space="preserve">The RR process has been designed for robustness, to ensure that it continues to execute on the common IT solution no matter if one or several TSOs are facing operational challenges or problems in the data exchange. If some expected input data is not received and successfully validated by the IT solution by the time of gate closure, the concerned data provider will be notified. However, by default, the process will continue to run. Likewise, if some output data is not positively acknowledged by a data consumer the process shall also continue. All parties participating in the RR process will receive automatic notification if a data consumer rejects output data deemed as critical (i.e. resulting cross-border flows or bids and demands selected for activation). In such scenario, TSOs will apply measures according to their local procedures to handle any potential imbalances.   </w:t>
      </w:r>
    </w:p>
    <w:p w14:paraId="624C1AB1"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 xml:space="preserve">For what concerns the “long-term decisions”, such decisions will then be made by the TSC. This governance body will be the one making the decisions concerning more generally the functioning of the cooperation and will be the forum allowing the TSOs to discuss how to improve the functioning of the RR Platform in order to keep it as efficient and as cost optimized as possible. </w:t>
      </w:r>
    </w:p>
    <w:p w14:paraId="1CA8D5AA"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More precisely, the TSC will include representatives from TERRE Members and Observers. However, only representatives from TERRE Members will have voting rights. The TSC has a chairman, who will be one representative from a TERRE Member and will change every six months unless agreed within TSC otherwise.</w:t>
      </w:r>
      <w:r w:rsidRPr="00412079">
        <w:rPr>
          <w:rFonts w:asciiTheme="minorHAnsi" w:hAnsiTheme="minorHAnsi" w:cstheme="minorHAnsi"/>
          <w:color w:val="222222"/>
          <w:szCs w:val="22"/>
          <w:lang w:val="en-GB"/>
        </w:rPr>
        <w:t xml:space="preserve"> </w:t>
      </w:r>
      <w:r w:rsidRPr="00412079">
        <w:rPr>
          <w:rFonts w:asciiTheme="minorHAnsi" w:hAnsiTheme="minorHAnsi" w:cstheme="minorHAnsi"/>
          <w:szCs w:val="22"/>
          <w:lang w:val="en-GB"/>
        </w:rPr>
        <w:t xml:space="preserve">An effective coordination and decision-making process to resolve any conflicting positions within these groups will be set up based on the following rules: decisions shall be reached by unanimity of all TERRE Members or, in case no consensus is reached, following the voting and decision distribution key as follows:  </w:t>
      </w:r>
    </w:p>
    <w:p w14:paraId="14199AAD" w14:textId="77777777" w:rsidR="00412079" w:rsidRPr="00412079" w:rsidRDefault="00412079" w:rsidP="00412079">
      <w:pPr>
        <w:pStyle w:val="ListParagraph"/>
        <w:numPr>
          <w:ilvl w:val="1"/>
          <w:numId w:val="43"/>
        </w:numPr>
        <w:rPr>
          <w:szCs w:val="22"/>
        </w:rPr>
      </w:pPr>
      <w:r w:rsidRPr="00412079">
        <w:rPr>
          <w:szCs w:val="22"/>
          <w:lang w:eastAsia="en-US"/>
        </w:rPr>
        <w:t xml:space="preserve">In accordance with Article </w:t>
      </w:r>
      <w:r w:rsidRPr="00412079">
        <w:rPr>
          <w:szCs w:val="22"/>
        </w:rPr>
        <w:t xml:space="preserve">4(4) of the EBGL, since the RR Platform is composed of more than five RR Countries, decision shall require majority of: </w:t>
      </w:r>
    </w:p>
    <w:p w14:paraId="354F9000" w14:textId="77777777" w:rsidR="00412079" w:rsidRPr="00412079" w:rsidRDefault="00412079" w:rsidP="00412079">
      <w:pPr>
        <w:pStyle w:val="ListenabsatzNew"/>
        <w:numPr>
          <w:ilvl w:val="0"/>
          <w:numId w:val="44"/>
        </w:numPr>
        <w:rPr>
          <w:rFonts w:asciiTheme="minorHAnsi" w:hAnsiTheme="minorHAnsi" w:cstheme="minorHAnsi"/>
          <w:lang w:val="en-GB"/>
        </w:rPr>
      </w:pPr>
      <w:r w:rsidRPr="00412079">
        <w:rPr>
          <w:rFonts w:asciiTheme="minorHAnsi" w:hAnsiTheme="minorHAnsi" w:cstheme="minorHAnsi"/>
          <w:lang w:val="en-GB"/>
        </w:rPr>
        <w:t xml:space="preserve">Members representing at least 72% of the RR Countries concerned; and </w:t>
      </w:r>
    </w:p>
    <w:p w14:paraId="48542FD5" w14:textId="77777777" w:rsidR="00412079" w:rsidRPr="00412079" w:rsidRDefault="00412079" w:rsidP="00412079">
      <w:pPr>
        <w:pStyle w:val="ListenabsatzNew"/>
        <w:numPr>
          <w:ilvl w:val="0"/>
          <w:numId w:val="44"/>
        </w:numPr>
        <w:rPr>
          <w:rFonts w:asciiTheme="minorHAnsi" w:hAnsiTheme="minorHAnsi" w:cstheme="minorHAnsi"/>
          <w:lang w:val="en-GB"/>
        </w:rPr>
      </w:pPr>
      <w:r w:rsidRPr="00412079">
        <w:rPr>
          <w:rFonts w:asciiTheme="minorHAnsi" w:hAnsiTheme="minorHAnsi" w:cstheme="minorHAnsi"/>
          <w:lang w:val="en-GB"/>
        </w:rPr>
        <w:t xml:space="preserve">Members representing RR countries comprising at least 65% of the population of the concerned region. </w:t>
      </w:r>
    </w:p>
    <w:p w14:paraId="60BBE46E" w14:textId="77777777" w:rsidR="00412079" w:rsidRPr="00412079" w:rsidRDefault="00412079" w:rsidP="00412079">
      <w:pPr>
        <w:pStyle w:val="ListParagraph"/>
        <w:numPr>
          <w:ilvl w:val="1"/>
          <w:numId w:val="43"/>
        </w:numPr>
        <w:rPr>
          <w:szCs w:val="22"/>
        </w:rPr>
      </w:pPr>
      <w:r w:rsidRPr="00412079">
        <w:rPr>
          <w:szCs w:val="22"/>
        </w:rPr>
        <w:t>A blocking minority for decisions in accordance with Article 5(3) of the EBGL must include at least a minimum number of Members representing more than 35% of the population of the participating RR countries, plus Members representing at least one additional RR Country concerned, failing of which the qualified majority shall be deemed attained.</w:t>
      </w:r>
    </w:p>
    <w:p w14:paraId="233738F0" w14:textId="77777777" w:rsidR="00412079" w:rsidRPr="00412079" w:rsidRDefault="00412079" w:rsidP="00412079">
      <w:pPr>
        <w:spacing w:after="120"/>
        <w:rPr>
          <w:rFonts w:asciiTheme="minorHAnsi" w:hAnsiTheme="minorHAnsi" w:cstheme="minorHAnsi"/>
          <w:szCs w:val="22"/>
          <w:lang w:val="en-GB" w:eastAsia="fr-FR"/>
        </w:rPr>
      </w:pPr>
      <w:r w:rsidRPr="00412079">
        <w:rPr>
          <w:rFonts w:asciiTheme="minorHAnsi" w:hAnsiTheme="minorHAnsi" w:cstheme="minorHAnsi"/>
          <w:szCs w:val="22"/>
          <w:lang w:val="en-GB"/>
        </w:rPr>
        <w:lastRenderedPageBreak/>
        <w:t>In addition, the TCA creates the Libra Project Management Board, which is the decision-making body taking any relevant decision for the management of Libra. The LPMB comprises representatives from both TERRE Members and Project Members. It also has a chairman, who can be a representative from a TERRE Member or a Project Member.</w:t>
      </w:r>
    </w:p>
    <w:p w14:paraId="18901506"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 xml:space="preserve">As in the OWG, the resources allocated to the TSC are TSOs resources who are well trained on the functioning of balancing processes and the safe operation of the grid. Each TSO is represented in the TSC, whose decision-making rules are based on the cost-sharing and decision-making rules of EBGL, which ensures a fair and balanced governance. </w:t>
      </w:r>
    </w:p>
    <w:p w14:paraId="6A8345BE" w14:textId="77777777"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There is no other alternative solution that can ensure the implementation of such an efficient governance while preserving the decision-making power of each TSO. Namely, the TSOs have emphasized that they are the ones in charge of operating each their national grid. Consequently, disconnecting or recoupling to the RR Platform is a decision that can only be made by a TSO individually, based on the reality of the flows on its grid. Having a governance without all the TSOs creates huge risks for the safety of the grids, since there may be a risk of having an inconsistency between the reality of the grid and the results of the Platform.</w:t>
      </w:r>
    </w:p>
    <w:p w14:paraId="3F5C8D04" w14:textId="43010AC0" w:rsidR="00412079" w:rsidRPr="00412079" w:rsidRDefault="00412079" w:rsidP="00412079">
      <w:pPr>
        <w:spacing w:after="120"/>
        <w:jc w:val="both"/>
        <w:rPr>
          <w:rFonts w:asciiTheme="minorHAnsi" w:hAnsiTheme="minorHAnsi" w:cstheme="minorHAnsi"/>
          <w:szCs w:val="22"/>
          <w:lang w:val="en-GB"/>
        </w:rPr>
      </w:pPr>
      <w:r w:rsidRPr="00412079">
        <w:rPr>
          <w:rFonts w:asciiTheme="minorHAnsi" w:hAnsiTheme="minorHAnsi" w:cstheme="minorHAnsi"/>
          <w:szCs w:val="22"/>
          <w:lang w:val="en-GB"/>
        </w:rPr>
        <w:t xml:space="preserve">Therefore, the setup is not only efficient but it is the only one that ensures a safe operation of those functions, and behind it, safeguards the safe operation of the grids. </w:t>
      </w:r>
    </w:p>
    <w:sectPr w:rsidR="00412079" w:rsidRPr="00412079" w:rsidSect="001A55A2">
      <w:headerReference w:type="even" r:id="rId12"/>
      <w:headerReference w:type="default" r:id="rId13"/>
      <w:footerReference w:type="default" r:id="rId14"/>
      <w:headerReference w:type="first" r:id="rId15"/>
      <w:footerReference w:type="first" r:id="rId16"/>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2EC60" w14:textId="77777777" w:rsidR="0073035F" w:rsidRDefault="0073035F" w:rsidP="00B04144">
      <w:r>
        <w:separator/>
      </w:r>
    </w:p>
  </w:endnote>
  <w:endnote w:type="continuationSeparator" w:id="0">
    <w:p w14:paraId="35214ECC" w14:textId="77777777" w:rsidR="0073035F" w:rsidRDefault="0073035F" w:rsidP="00B04144">
      <w:r>
        <w:continuationSeparator/>
      </w:r>
    </w:p>
  </w:endnote>
  <w:endnote w:type="continuationNotice" w:id="1">
    <w:p w14:paraId="6BCED65C" w14:textId="77777777" w:rsidR="0073035F" w:rsidRDefault="00730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Next LT Com Demi">
    <w:panose1 w:val="00000000000000000000"/>
    <w:charset w:val="00"/>
    <w:family w:val="roman"/>
    <w:notTrueType/>
    <w:pitch w:val="default"/>
    <w:sig w:usb0="00000003" w:usb1="00000000" w:usb2="00000000" w:usb3="00000000" w:csb0="00000001" w:csb1="00000000"/>
  </w:font>
  <w:font w:name="AvenirNext LT Com Regular">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E611B7" w:rsidRPr="00926984" w14:paraId="15B54FF9" w14:textId="77777777" w:rsidTr="003D0965">
      <w:trPr>
        <w:trHeight w:hRule="exact" w:val="284"/>
      </w:trPr>
      <w:tc>
        <w:tcPr>
          <w:tcW w:w="9923" w:type="dxa"/>
          <w:vAlign w:val="center"/>
        </w:tcPr>
        <w:p w14:paraId="41AFF0CA" w14:textId="55E17997" w:rsidR="00E611B7" w:rsidRPr="003D0965" w:rsidRDefault="00E611B7" w:rsidP="00CD009F">
          <w:pPr>
            <w:pStyle w:val="Footer"/>
            <w:rPr>
              <w:rFonts w:asciiTheme="majorHAnsi" w:hAnsiTheme="majorHAnsi" w:cstheme="majorHAnsi"/>
              <w:sz w:val="14"/>
              <w:szCs w:val="14"/>
            </w:rPr>
          </w:pPr>
          <w:r w:rsidRPr="003D0965">
            <w:rPr>
              <w:rFonts w:asciiTheme="majorHAnsi" w:hAnsiTheme="majorHAnsi" w:cstheme="majorHAnsi"/>
              <w:sz w:val="14"/>
              <w:szCs w:val="14"/>
            </w:rPr>
            <w:t xml:space="preserve">ENTSO-E </w:t>
          </w:r>
          <w:r w:rsidRPr="003D0965">
            <w:rPr>
              <w:rFonts w:asciiTheme="majorHAnsi" w:hAnsiTheme="majorHAnsi" w:cstheme="majorHAnsi"/>
              <w:sz w:val="10"/>
              <w:szCs w:val="14"/>
            </w:rPr>
            <w:t>AISBL</w:t>
          </w:r>
          <w:r w:rsidRPr="003D0965">
            <w:rPr>
              <w:rFonts w:asciiTheme="majorHAnsi" w:hAnsiTheme="majorHAnsi" w:cstheme="majorHAnsi"/>
              <w:sz w:val="14"/>
              <w:szCs w:val="14"/>
            </w:rPr>
            <w:t xml:space="preserve"> • </w:t>
          </w:r>
          <w:r w:rsidR="004E79E2">
            <w:rPr>
              <w:rFonts w:asciiTheme="majorHAnsi" w:hAnsiTheme="majorHAnsi" w:cstheme="majorHAnsi"/>
              <w:sz w:val="14"/>
              <w:szCs w:val="14"/>
            </w:rPr>
            <w:t xml:space="preserve">Rue de Spa 8 </w:t>
          </w:r>
          <w:r w:rsidRPr="003D0965">
            <w:rPr>
              <w:rFonts w:asciiTheme="majorHAnsi" w:hAnsiTheme="majorHAnsi" w:cstheme="majorHAnsi"/>
              <w:sz w:val="14"/>
              <w:szCs w:val="14"/>
            </w:rPr>
            <w:t>• 1000 Brussels • Belgium • Tel + 32 2 741 09 50 • Fax + 32 2 741 09 51 • info@entsoe.eu • www. entsoe.eu</w:t>
          </w:r>
        </w:p>
      </w:tc>
    </w:tr>
  </w:tbl>
  <w:tbl>
    <w:tblPr>
      <w:tblStyle w:val="TableGrid"/>
      <w:tblpPr w:leftFromText="142" w:rightFromText="142" w:vertAnchor="page" w:horzAnchor="page" w:tblpX="10661"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E611B7" w14:paraId="43F3F889" w14:textId="77777777" w:rsidTr="003D0965">
      <w:trPr>
        <w:trHeight w:hRule="exact" w:val="284"/>
      </w:trPr>
      <w:tc>
        <w:tcPr>
          <w:tcW w:w="624" w:type="dxa"/>
        </w:tcPr>
        <w:p w14:paraId="67C9CE15" w14:textId="14A0157E" w:rsidR="00E611B7" w:rsidRDefault="00E611B7" w:rsidP="00F80655">
          <w:pPr>
            <w:pStyle w:val="Footer"/>
            <w:jc w:val="right"/>
          </w:pPr>
          <w:r>
            <w:fldChar w:fldCharType="begin"/>
          </w:r>
          <w:r>
            <w:instrText xml:space="preserve"> PAGE   \* MERGEFORMAT </w:instrText>
          </w:r>
          <w:r>
            <w:fldChar w:fldCharType="separate"/>
          </w:r>
          <w:r>
            <w:rPr>
              <w:noProof/>
            </w:rPr>
            <w:t>14</w:t>
          </w:r>
          <w:r>
            <w:rPr>
              <w:noProof/>
            </w:rPr>
            <w:fldChar w:fldCharType="end"/>
          </w:r>
        </w:p>
      </w:tc>
    </w:tr>
  </w:tbl>
  <w:p w14:paraId="019271BF" w14:textId="77777777" w:rsidR="00E611B7" w:rsidRPr="003D0965" w:rsidRDefault="00E611B7" w:rsidP="003D0965">
    <w:pPr>
      <w:pStyle w:val="Footer"/>
    </w:pPr>
    <w:r w:rsidRPr="008C038C">
      <w:rPr>
        <w:noProof/>
        <w:lang w:val="en-GB" w:eastAsia="en-GB"/>
      </w:rPr>
      <w:drawing>
        <wp:anchor distT="0" distB="0" distL="114300" distR="114300" simplePos="0" relativeHeight="251655680" behindDoc="1" locked="1" layoutInCell="1" allowOverlap="1" wp14:anchorId="18D13EE5" wp14:editId="2E66A69E">
          <wp:simplePos x="0" y="0"/>
          <wp:positionH relativeFrom="page">
            <wp:posOffset>0</wp:posOffset>
          </wp:positionH>
          <wp:positionV relativeFrom="page">
            <wp:posOffset>9721215</wp:posOffset>
          </wp:positionV>
          <wp:extent cx="7596000" cy="426325"/>
          <wp:effectExtent l="19050" t="0" r="4950" b="0"/>
          <wp:wrapNone/>
          <wp:docPr id="5"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96000" cy="4263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E611B7" w14:paraId="5D70F298" w14:textId="77777777" w:rsidTr="003D0965">
      <w:trPr>
        <w:trHeight w:hRule="exact" w:val="284"/>
      </w:trPr>
      <w:tc>
        <w:tcPr>
          <w:tcW w:w="9923" w:type="dxa"/>
          <w:vAlign w:val="center"/>
        </w:tcPr>
        <w:p w14:paraId="4316D187" w14:textId="77777777" w:rsidR="00E611B7" w:rsidRPr="001A55A2" w:rsidRDefault="00E611B7" w:rsidP="003D0965">
          <w:pPr>
            <w:pStyle w:val="Footer"/>
            <w:rPr>
              <w:rFonts w:asciiTheme="majorHAnsi" w:hAnsiTheme="majorHAnsi" w:cstheme="majorHAnsi"/>
              <w:sz w:val="14"/>
              <w:szCs w:val="14"/>
            </w:rPr>
          </w:pPr>
          <w:r w:rsidRPr="001A55A2">
            <w:rPr>
              <w:rFonts w:asciiTheme="majorHAnsi" w:hAnsiTheme="majorHAnsi" w:cstheme="majorHAnsi"/>
              <w:sz w:val="14"/>
              <w:szCs w:val="14"/>
            </w:rPr>
            <w:t xml:space="preserve">ENTSO-E </w:t>
          </w:r>
          <w:r w:rsidRPr="00F80655">
            <w:rPr>
              <w:rFonts w:asciiTheme="majorHAnsi" w:hAnsiTheme="majorHAnsi" w:cstheme="majorHAnsi"/>
              <w:sz w:val="10"/>
              <w:szCs w:val="14"/>
            </w:rPr>
            <w:t>AISBL</w:t>
          </w:r>
          <w:r w:rsidRPr="001A55A2">
            <w:rPr>
              <w:rFonts w:asciiTheme="majorHAnsi" w:hAnsiTheme="majorHAnsi" w:cstheme="majorHAnsi"/>
              <w:sz w:val="14"/>
              <w:szCs w:val="14"/>
            </w:rPr>
            <w:t xml:space="preserve"> </w:t>
          </w:r>
          <w:r w:rsidRPr="001A55A2">
            <w:rPr>
              <w:rFonts w:asciiTheme="majorHAnsi" w:hAnsiTheme="majorHAnsi" w:cstheme="majorHAnsi"/>
              <w:sz w:val="14"/>
              <w:szCs w:val="14"/>
            </w:rPr>
            <w:t>• Avenue de Cortenbergh 100 • 1000 Brussels • Belgium • Tel + 32 2 741 09 50 • Fax + 32 2 741 09 51 • info@entsoe.eu • www. entsoe.eu</w:t>
          </w:r>
        </w:p>
      </w:tc>
    </w:tr>
  </w:tbl>
  <w:p w14:paraId="5117A728" w14:textId="77777777" w:rsidR="00E611B7" w:rsidRDefault="00E611B7">
    <w:pPr>
      <w:pStyle w:val="Footer"/>
    </w:pPr>
    <w:r>
      <w:rPr>
        <w:noProof/>
        <w:lang w:val="en-GB" w:eastAsia="en-GB"/>
      </w:rPr>
      <mc:AlternateContent>
        <mc:Choice Requires="wps">
          <w:drawing>
            <wp:anchor distT="0" distB="0" distL="114300" distR="114300" simplePos="0" relativeHeight="251665920" behindDoc="1" locked="0" layoutInCell="1" allowOverlap="1" wp14:anchorId="77A56492" wp14:editId="1F101E04">
              <wp:simplePos x="0" y="0"/>
              <wp:positionH relativeFrom="column">
                <wp:posOffset>-864235</wp:posOffset>
              </wp:positionH>
              <wp:positionV relativeFrom="paragraph">
                <wp:posOffset>-299085</wp:posOffset>
              </wp:positionV>
              <wp:extent cx="7578090" cy="638175"/>
              <wp:effectExtent l="0" t="0" r="381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E795318" id="Rectangle 6" o:spid="_x0000_s1026" style="position:absolute;margin-left:-68.05pt;margin-top:-23.55pt;width:596.7pt;height:5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" fillcolor="white [3212]" stroked="f" strokecolor="#7f5a9b [3206]"/>
          </w:pict>
        </mc:Fallback>
      </mc:AlternateContent>
    </w:r>
    <w:r>
      <w:rPr>
        <w:noProof/>
        <w:lang w:val="en-GB" w:eastAsia="en-GB"/>
      </w:rPr>
      <mc:AlternateContent>
        <mc:Choice Requires="wps">
          <w:drawing>
            <wp:anchor distT="0" distB="0" distL="114300" distR="114300" simplePos="0" relativeHeight="251664896" behindDoc="1" locked="1" layoutInCell="1" allowOverlap="1" wp14:anchorId="485C455C" wp14:editId="16DDC652">
              <wp:simplePos x="0" y="0"/>
              <wp:positionH relativeFrom="page">
                <wp:posOffset>0</wp:posOffset>
              </wp:positionH>
              <wp:positionV relativeFrom="page">
                <wp:posOffset>6642735</wp:posOffset>
              </wp:positionV>
              <wp:extent cx="7578090" cy="3834130"/>
              <wp:effectExtent l="0" t="0" r="381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83413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86A148" id="Rectangle 5" o:spid="_x0000_s1026" style="position:absolute;margin-left:0;margin-top:523.05pt;width:596.7pt;height:301.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" stroked="f">
              <v:fill opacity=".25" color2="#dcdcdc" rotate="t" focus="100%" type="gradient"/>
              <w10:wrap anchorx="page" anchory="page"/>
              <w10:anchorlock/>
            </v:rect>
          </w:pict>
        </mc:Fallback>
      </mc:AlternateContent>
    </w:r>
    <w:r>
      <w:rPr>
        <w:noProof/>
        <w:lang w:val="en-GB" w:eastAsia="en-GB"/>
      </w:rPr>
      <w:drawing>
        <wp:anchor distT="0" distB="0" distL="114300" distR="114300" simplePos="0" relativeHeight="251657728" behindDoc="1" locked="1" layoutInCell="1" allowOverlap="1" wp14:anchorId="550E00D8" wp14:editId="15433C22">
          <wp:simplePos x="0" y="0"/>
          <wp:positionH relativeFrom="page">
            <wp:posOffset>0</wp:posOffset>
          </wp:positionH>
          <wp:positionV relativeFrom="page">
            <wp:posOffset>9721215</wp:posOffset>
          </wp:positionV>
          <wp:extent cx="7596000" cy="426325"/>
          <wp:effectExtent l="19050" t="0" r="4950" b="0"/>
          <wp:wrapNone/>
          <wp:docPr id="4"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96000" cy="4263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75F9B" w14:textId="77777777" w:rsidR="0073035F" w:rsidRDefault="0073035F" w:rsidP="00B04144">
      <w:r>
        <w:separator/>
      </w:r>
    </w:p>
  </w:footnote>
  <w:footnote w:type="continuationSeparator" w:id="0">
    <w:p w14:paraId="21E645D6" w14:textId="77777777" w:rsidR="0073035F" w:rsidRDefault="0073035F" w:rsidP="00B04144">
      <w:r>
        <w:continuationSeparator/>
      </w:r>
    </w:p>
  </w:footnote>
  <w:footnote w:type="continuationNotice" w:id="1">
    <w:p w14:paraId="3C143455" w14:textId="77777777" w:rsidR="0073035F" w:rsidRDefault="0073035F"/>
  </w:footnote>
  <w:footnote w:id="2">
    <w:p w14:paraId="4F6699C6" w14:textId="77777777" w:rsidR="00E611B7" w:rsidRPr="00002717" w:rsidRDefault="00E611B7">
      <w:pPr>
        <w:pStyle w:val="FootnoteText"/>
        <w:rPr>
          <w:rFonts w:asciiTheme="minorHAnsi" w:hAnsiTheme="minorHAnsi" w:cstheme="minorHAnsi"/>
          <w:sz w:val="20"/>
          <w:szCs w:val="22"/>
        </w:rPr>
      </w:pPr>
      <w:r w:rsidRPr="00002717">
        <w:rPr>
          <w:rStyle w:val="FootnoteReference"/>
          <w:rFonts w:asciiTheme="minorHAnsi" w:hAnsiTheme="minorHAnsi" w:cstheme="minorHAnsi"/>
          <w:sz w:val="20"/>
          <w:szCs w:val="22"/>
        </w:rPr>
        <w:footnoteRef/>
      </w:r>
      <w:r w:rsidRPr="00002717">
        <w:rPr>
          <w:rFonts w:asciiTheme="minorHAnsi" w:hAnsiTheme="minorHAnsi" w:cstheme="minorHAnsi"/>
          <w:sz w:val="20"/>
          <w:szCs w:val="22"/>
        </w:rPr>
        <w:t xml:space="preserve"> The national and local involvement of the BSPs is under the responsibility of the connecting TSO</w:t>
      </w:r>
    </w:p>
  </w:footnote>
  <w:footnote w:id="3">
    <w:p w14:paraId="2E262E54" w14:textId="77777777" w:rsidR="00E611B7" w:rsidRPr="00C71610" w:rsidRDefault="00E611B7">
      <w:pPr>
        <w:pStyle w:val="FootnoteText"/>
        <w:rPr>
          <w:rFonts w:asciiTheme="minorHAnsi" w:hAnsiTheme="minorHAnsi" w:cstheme="minorHAnsi"/>
          <w:sz w:val="20"/>
        </w:rPr>
      </w:pPr>
      <w:r w:rsidRPr="00C71610">
        <w:rPr>
          <w:rStyle w:val="FootnoteReference"/>
          <w:rFonts w:asciiTheme="minorHAnsi" w:hAnsiTheme="minorHAnsi" w:cstheme="minorHAnsi"/>
          <w:sz w:val="20"/>
        </w:rPr>
        <w:footnoteRef/>
      </w:r>
      <w:r w:rsidRPr="00C71610">
        <w:rPr>
          <w:rFonts w:asciiTheme="minorHAnsi" w:hAnsiTheme="minorHAnsi" w:cstheme="minorHAnsi"/>
          <w:sz w:val="20"/>
        </w:rPr>
        <w:t xml:space="preserve"> The maximum delivery period depends on the number of daily gates. The RR-Platform will start with 24 daily gates (one optimization which will cover 60min balancing duration) and maximum delivery period of 60min. For example, in case of moving the RR-Platform to 48 gates, the maximum delivery period will be 30min (for 96 daily gates, maximum delivery period will be 15min).</w:t>
      </w:r>
    </w:p>
  </w:footnote>
  <w:footnote w:id="4">
    <w:p w14:paraId="09CC077D" w14:textId="77777777" w:rsidR="00E611B7" w:rsidRPr="00C71610" w:rsidRDefault="00E611B7">
      <w:pPr>
        <w:pStyle w:val="FootnoteText"/>
        <w:rPr>
          <w:rFonts w:asciiTheme="minorHAnsi" w:hAnsiTheme="minorHAnsi" w:cstheme="minorHAnsi"/>
          <w:sz w:val="20"/>
        </w:rPr>
      </w:pPr>
      <w:r w:rsidRPr="00C71610">
        <w:rPr>
          <w:rStyle w:val="FootnoteReference"/>
          <w:rFonts w:asciiTheme="minorHAnsi" w:hAnsiTheme="minorHAnsi" w:cstheme="minorHAnsi"/>
          <w:sz w:val="20"/>
        </w:rPr>
        <w:footnoteRef/>
      </w:r>
      <w:r w:rsidRPr="00C71610">
        <w:rPr>
          <w:rFonts w:asciiTheme="minorHAnsi" w:hAnsiTheme="minorHAnsi" w:cstheme="minorHAnsi"/>
          <w:sz w:val="20"/>
        </w:rPr>
        <w:t xml:space="preserve"> It is a </w:t>
      </w:r>
      <w:r w:rsidRPr="00C71610">
        <w:rPr>
          <w:rFonts w:asciiTheme="minorHAnsi" w:hAnsiTheme="minorHAnsi" w:cstheme="minorHAnsi"/>
          <w:sz w:val="20"/>
          <w:lang w:val="en-GB"/>
        </w:rPr>
        <w:t>parameter of the balancing energy need, submitted by the TSO as an extra acceptable volume which can optimize need coverage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1E0D" w14:textId="77777777" w:rsidR="00E611B7" w:rsidRDefault="00E611B7">
    <w:pPr>
      <w:pStyle w:val="Header"/>
    </w:pPr>
  </w:p>
  <w:p w14:paraId="57D2D747" w14:textId="77777777" w:rsidR="00E611B7" w:rsidRDefault="00E611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51"/>
    </w:tblGrid>
    <w:tr w:rsidR="00E611B7" w:rsidRPr="001678FF" w14:paraId="53D325A8" w14:textId="77777777" w:rsidTr="00297F75">
      <w:trPr>
        <w:trHeight w:hRule="exact" w:val="953"/>
      </w:trPr>
      <w:sdt>
        <w:sdtPr>
          <w:rPr>
            <w:sz w:val="18"/>
            <w:lang w:val="en-US"/>
          </w:rPr>
          <w:alias w:val="Titel"/>
          <w:tag w:val="Titel"/>
          <w:id w:val="3483916"/>
          <w:dataBinding w:prefixMappings="xmlns:ns0='http://purl.org/dc/elements/1.1/' xmlns:ns1='http://schemas.openxmlformats.org/package/2006/metadata/core-properties' " w:xpath="/ns1:coreProperties[1]/ns0:title[1]" w:storeItemID="{6C3C8BC8-F283-45AE-878A-BAB7291924A1}"/>
          <w:text w:multiLine="1"/>
        </w:sdtPr>
        <w:sdtEndPr/>
        <w:sdtContent>
          <w:tc>
            <w:tcPr>
              <w:tcW w:w="7351" w:type="dxa"/>
            </w:tcPr>
            <w:p w14:paraId="74509E3B" w14:textId="77777777" w:rsidR="00E611B7" w:rsidRPr="00C16D92" w:rsidRDefault="00E611B7" w:rsidP="003D0E89">
              <w:pPr>
                <w:rPr>
                  <w:lang w:val="en-GB"/>
                </w:rPr>
              </w:pPr>
              <w:r>
                <w:rPr>
                  <w:sz w:val="18"/>
                  <w:lang w:val="en-US"/>
                </w:rPr>
                <w:t>The proposal of all Transmission System Operators performing the reserve replacement for the implementation framework for the exchange of balancing energy from Replacement Reserves in accordance with Article 19 of Commission Regulation (EU) 2017/2195 of 2</w:t>
              </w:r>
            </w:p>
          </w:tc>
        </w:sdtContent>
      </w:sdt>
    </w:tr>
  </w:tbl>
  <w:p w14:paraId="66589158" w14:textId="77777777" w:rsidR="00E611B7" w:rsidRDefault="00E611B7" w:rsidP="003D0965">
    <w:pPr>
      <w:pStyle w:val="Footer"/>
    </w:pPr>
    <w:r>
      <w:rPr>
        <w:noProof/>
        <w:lang w:val="en-GB" w:eastAsia="en-GB"/>
      </w:rPr>
      <mc:AlternateContent>
        <mc:Choice Requires="wps">
          <w:drawing>
            <wp:anchor distT="4294967293" distB="4294967293" distL="114300" distR="114300" simplePos="0" relativeHeight="251662848" behindDoc="0" locked="1" layoutInCell="1" allowOverlap="1" wp14:anchorId="766D26ED" wp14:editId="547B5A64">
              <wp:simplePos x="0" y="0"/>
              <wp:positionH relativeFrom="page">
                <wp:posOffset>864235</wp:posOffset>
              </wp:positionH>
              <wp:positionV relativeFrom="page">
                <wp:posOffset>1062354</wp:posOffset>
              </wp:positionV>
              <wp:extent cx="6047740" cy="0"/>
              <wp:effectExtent l="0" t="0" r="2921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88521B0"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628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L6NQIAAHMEAAAOAAAAZHJzL2Uyb0RvYy54bWysVMGO2yAQvVfqPyDfs7azbp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" strokecolor="#23236e [3215]" strokeweight="1pt">
              <w10:wrap anchorx="page" anchory="page"/>
              <w10:anchorlock/>
            </v:shape>
          </w:pict>
        </mc:Fallback>
      </mc:AlternateContent>
    </w:r>
    <w:r>
      <w:rPr>
        <w:noProof/>
        <w:lang w:val="en-GB" w:eastAsia="en-GB"/>
      </w:rPr>
      <w:drawing>
        <wp:anchor distT="0" distB="0" distL="114300" distR="114300" simplePos="0" relativeHeight="251654656" behindDoc="0" locked="1" layoutInCell="1" allowOverlap="1" wp14:anchorId="1B4797C1" wp14:editId="24959065">
          <wp:simplePos x="0" y="0"/>
          <wp:positionH relativeFrom="page">
            <wp:posOffset>5483225</wp:posOffset>
          </wp:positionH>
          <wp:positionV relativeFrom="page">
            <wp:posOffset>360045</wp:posOffset>
          </wp:positionV>
          <wp:extent cx="1514475" cy="381000"/>
          <wp:effectExtent l="0" t="0" r="9525" b="0"/>
          <wp:wrapNone/>
          <wp:docPr id="9"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C5D7" w14:textId="77777777" w:rsidR="00E611B7" w:rsidRDefault="00E611B7">
    <w:pPr>
      <w:pStyle w:val="Header"/>
    </w:pPr>
    <w:r>
      <w:rPr>
        <w:noProof/>
        <w:lang w:val="en-GB" w:eastAsia="en-GB"/>
      </w:rPr>
      <w:drawing>
        <wp:anchor distT="0" distB="0" distL="114300" distR="114300" simplePos="0" relativeHeight="251656704" behindDoc="0" locked="1" layoutInCell="1" allowOverlap="1" wp14:anchorId="3312C38E" wp14:editId="71E4F55A">
          <wp:simplePos x="0" y="0"/>
          <wp:positionH relativeFrom="page">
            <wp:posOffset>4068445</wp:posOffset>
          </wp:positionH>
          <wp:positionV relativeFrom="page">
            <wp:posOffset>720090</wp:posOffset>
          </wp:positionV>
          <wp:extent cx="2930400" cy="383059"/>
          <wp:effectExtent l="19050" t="0" r="3300" b="0"/>
          <wp:wrapNone/>
          <wp:docPr id="6"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tretch>
                    <a:fillRect/>
                  </a:stretch>
                </pic:blipFill>
                <pic:spPr>
                  <a:xfrm>
                    <a:off x="0" y="0"/>
                    <a:ext cx="2930400" cy="383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63EE"/>
    <w:multiLevelType w:val="multilevel"/>
    <w:tmpl w:val="81D06928"/>
    <w:lvl w:ilvl="0">
      <w:start w:val="1"/>
      <w:numFmt w:val="decimal"/>
      <w:lvlText w:val="(%1)"/>
      <w:lvlJc w:val="left"/>
      <w:pPr>
        <w:ind w:left="360" w:hanging="360"/>
      </w:pPr>
      <w:rPr>
        <w:rFonts w:hint="default"/>
        <w:sz w:val="22"/>
      </w:rPr>
    </w:lvl>
    <w:lvl w:ilvl="1">
      <w:start w:val="1"/>
      <w:numFmt w:val="lowerLetter"/>
      <w:lvlText w:val="(%2)"/>
      <w:lvlJc w:val="left"/>
      <w:pPr>
        <w:ind w:left="454" w:hanging="341"/>
      </w:pPr>
      <w:rPr>
        <w:rFonts w:ascii="Times New Roman" w:hAnsi="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63845D5"/>
    <w:multiLevelType w:val="multilevel"/>
    <w:tmpl w:val="81D06928"/>
    <w:lvl w:ilvl="0">
      <w:start w:val="1"/>
      <w:numFmt w:val="decimal"/>
      <w:lvlText w:val="(%1)"/>
      <w:lvlJc w:val="left"/>
      <w:pPr>
        <w:ind w:left="360" w:hanging="360"/>
      </w:pPr>
      <w:rPr>
        <w:rFonts w:hint="default"/>
        <w:sz w:val="22"/>
      </w:rPr>
    </w:lvl>
    <w:lvl w:ilvl="1">
      <w:start w:val="1"/>
      <w:numFmt w:val="lowerLetter"/>
      <w:lvlText w:val="(%2)"/>
      <w:lvlJc w:val="left"/>
      <w:pPr>
        <w:ind w:left="454" w:hanging="341"/>
      </w:pPr>
      <w:rPr>
        <w:rFonts w:ascii="Times New Roman" w:hAnsi="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AD52F67"/>
    <w:multiLevelType w:val="hybridMultilevel"/>
    <w:tmpl w:val="90A46144"/>
    <w:lvl w:ilvl="0" w:tplc="14F0A202">
      <w:start w:val="1"/>
      <w:numFmt w:val="lowerLetter"/>
      <w:lvlText w:val="(%1)"/>
      <w:lvlJc w:val="left"/>
      <w:pPr>
        <w:ind w:left="360" w:hanging="360"/>
      </w:pPr>
      <w:rPr>
        <w:rFonts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E0179A3"/>
    <w:multiLevelType w:val="hybridMultilevel"/>
    <w:tmpl w:val="702CE12A"/>
    <w:lvl w:ilvl="0" w:tplc="13004E0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2A6098"/>
    <w:multiLevelType w:val="hybridMultilevel"/>
    <w:tmpl w:val="E3F4B396"/>
    <w:lvl w:ilvl="0" w:tplc="79EE455A">
      <w:start w:val="1"/>
      <w:numFmt w:val="decimal"/>
      <w:lvlText w:val="(%1)"/>
      <w:lvlJc w:val="left"/>
      <w:pPr>
        <w:ind w:left="720" w:hanging="360"/>
      </w:pPr>
      <w:rPr>
        <w:rFonts w:hint="default"/>
        <w:b w:val="0"/>
      </w:rPr>
    </w:lvl>
    <w:lvl w:ilvl="1" w:tplc="0106ACE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00F3"/>
    <w:multiLevelType w:val="multilevel"/>
    <w:tmpl w:val="81D06928"/>
    <w:lvl w:ilvl="0">
      <w:start w:val="1"/>
      <w:numFmt w:val="decimal"/>
      <w:lvlText w:val="(%1)"/>
      <w:lvlJc w:val="left"/>
      <w:pPr>
        <w:ind w:left="473" w:hanging="360"/>
      </w:pPr>
      <w:rPr>
        <w:rFonts w:hint="default"/>
        <w:sz w:val="22"/>
      </w:rPr>
    </w:lvl>
    <w:lvl w:ilvl="1">
      <w:start w:val="1"/>
      <w:numFmt w:val="lowerLetter"/>
      <w:lvlText w:val="(%2)"/>
      <w:lvlJc w:val="left"/>
      <w:pPr>
        <w:ind w:left="567" w:hanging="341"/>
      </w:pPr>
      <w:rPr>
        <w:rFonts w:ascii="Times New Roman" w:hAnsi="Times New Roman" w:hint="default"/>
        <w:color w:val="auto"/>
        <w:sz w:val="22"/>
      </w:rPr>
    </w:lvl>
    <w:lvl w:ilvl="2">
      <w:start w:val="1"/>
      <w:numFmt w:val="none"/>
      <w:lvlText w:val=""/>
      <w:lvlJc w:val="left"/>
      <w:pPr>
        <w:ind w:left="113" w:firstLine="0"/>
      </w:pPr>
      <w:rPr>
        <w:rFonts w:hint="default"/>
      </w:rPr>
    </w:lvl>
    <w:lvl w:ilvl="3">
      <w:start w:val="1"/>
      <w:numFmt w:val="none"/>
      <w:lvlText w:val=""/>
      <w:lvlJc w:val="left"/>
      <w:pPr>
        <w:ind w:left="113" w:firstLine="0"/>
      </w:pPr>
      <w:rPr>
        <w:rFonts w:hint="default"/>
      </w:rPr>
    </w:lvl>
    <w:lvl w:ilvl="4">
      <w:start w:val="1"/>
      <w:numFmt w:val="none"/>
      <w:lvlText w:val=""/>
      <w:lvlJc w:val="left"/>
      <w:pPr>
        <w:ind w:left="113" w:firstLine="0"/>
      </w:pPr>
      <w:rPr>
        <w:rFonts w:hint="default"/>
      </w:rPr>
    </w:lvl>
    <w:lvl w:ilvl="5">
      <w:start w:val="1"/>
      <w:numFmt w:val="none"/>
      <w:lvlText w:val=""/>
      <w:lvlJc w:val="left"/>
      <w:pPr>
        <w:ind w:left="113" w:firstLine="0"/>
      </w:pPr>
      <w:rPr>
        <w:rFonts w:hint="default"/>
      </w:rPr>
    </w:lvl>
    <w:lvl w:ilvl="6">
      <w:start w:val="1"/>
      <w:numFmt w:val="none"/>
      <w:lvlText w:val=""/>
      <w:lvlJc w:val="left"/>
      <w:pPr>
        <w:ind w:left="113" w:firstLine="0"/>
      </w:pPr>
      <w:rPr>
        <w:rFonts w:hint="default"/>
      </w:rPr>
    </w:lvl>
    <w:lvl w:ilvl="7">
      <w:start w:val="1"/>
      <w:numFmt w:val="none"/>
      <w:lvlText w:val=""/>
      <w:lvlJc w:val="left"/>
      <w:pPr>
        <w:ind w:left="113" w:firstLine="0"/>
      </w:pPr>
      <w:rPr>
        <w:rFonts w:hint="default"/>
      </w:rPr>
    </w:lvl>
    <w:lvl w:ilvl="8">
      <w:start w:val="1"/>
      <w:numFmt w:val="none"/>
      <w:lvlText w:val=""/>
      <w:lvlJc w:val="left"/>
      <w:pPr>
        <w:ind w:left="113" w:firstLine="0"/>
      </w:pPr>
      <w:rPr>
        <w:rFonts w:hint="default"/>
      </w:rPr>
    </w:lvl>
  </w:abstractNum>
  <w:abstractNum w:abstractNumId="6" w15:restartNumberingAfterBreak="0">
    <w:nsid w:val="18566293"/>
    <w:multiLevelType w:val="multilevel"/>
    <w:tmpl w:val="81D06928"/>
    <w:lvl w:ilvl="0">
      <w:start w:val="1"/>
      <w:numFmt w:val="decimal"/>
      <w:lvlText w:val="(%1)"/>
      <w:lvlJc w:val="left"/>
      <w:pPr>
        <w:ind w:left="360" w:hanging="360"/>
      </w:pPr>
      <w:rPr>
        <w:rFonts w:hint="default"/>
        <w:sz w:val="22"/>
      </w:rPr>
    </w:lvl>
    <w:lvl w:ilvl="1">
      <w:start w:val="1"/>
      <w:numFmt w:val="lowerLetter"/>
      <w:lvlText w:val="(%2)"/>
      <w:lvlJc w:val="left"/>
      <w:pPr>
        <w:ind w:left="454" w:hanging="341"/>
      </w:pPr>
      <w:rPr>
        <w:rFonts w:ascii="Times New Roman" w:hAnsi="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AE16525"/>
    <w:multiLevelType w:val="multilevel"/>
    <w:tmpl w:val="81D06928"/>
    <w:lvl w:ilvl="0">
      <w:start w:val="1"/>
      <w:numFmt w:val="decimal"/>
      <w:lvlText w:val="(%1)"/>
      <w:lvlJc w:val="left"/>
      <w:pPr>
        <w:ind w:left="360" w:hanging="360"/>
      </w:pPr>
      <w:rPr>
        <w:rFonts w:hint="default"/>
        <w:sz w:val="22"/>
      </w:rPr>
    </w:lvl>
    <w:lvl w:ilvl="1">
      <w:start w:val="1"/>
      <w:numFmt w:val="lowerLetter"/>
      <w:lvlText w:val="(%2)"/>
      <w:lvlJc w:val="left"/>
      <w:pPr>
        <w:ind w:left="454" w:hanging="341"/>
      </w:pPr>
      <w:rPr>
        <w:rFonts w:ascii="Times New Roman" w:hAnsi="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B3C78B8"/>
    <w:multiLevelType w:val="multilevel"/>
    <w:tmpl w:val="2ED4F4D0"/>
    <w:name w:val="4.708505E-0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F7923C8"/>
    <w:multiLevelType w:val="multilevel"/>
    <w:tmpl w:val="1FDA3BA6"/>
    <w:lvl w:ilvl="0">
      <w:start w:val="1"/>
      <w:numFmt w:val="decimal"/>
      <w:lvlText w:val="(%1)"/>
      <w:lvlJc w:val="left"/>
      <w:pPr>
        <w:ind w:left="473" w:hanging="360"/>
      </w:pPr>
      <w:rPr>
        <w:sz w:val="22"/>
      </w:rPr>
    </w:lvl>
    <w:lvl w:ilvl="1">
      <w:start w:val="1"/>
      <w:numFmt w:val="lowerLetter"/>
      <w:pStyle w:val="Numbering2"/>
      <w:lvlText w:val="(%2)"/>
      <w:lvlJc w:val="left"/>
      <w:pPr>
        <w:ind w:left="680" w:hanging="34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none"/>
      <w:lvlText w:val=""/>
      <w:lvlJc w:val="left"/>
      <w:pPr>
        <w:ind w:left="113" w:firstLine="0"/>
      </w:pPr>
    </w:lvl>
    <w:lvl w:ilvl="3">
      <w:start w:val="1"/>
      <w:numFmt w:val="none"/>
      <w:lvlText w:val=""/>
      <w:lvlJc w:val="left"/>
      <w:pPr>
        <w:ind w:left="113" w:firstLine="0"/>
      </w:pPr>
    </w:lvl>
    <w:lvl w:ilvl="4">
      <w:start w:val="1"/>
      <w:numFmt w:val="none"/>
      <w:lvlText w:val=""/>
      <w:lvlJc w:val="left"/>
      <w:pPr>
        <w:ind w:left="113" w:firstLine="0"/>
      </w:pPr>
    </w:lvl>
    <w:lvl w:ilvl="5">
      <w:start w:val="1"/>
      <w:numFmt w:val="none"/>
      <w:lvlText w:val=""/>
      <w:lvlJc w:val="left"/>
      <w:pPr>
        <w:ind w:left="113" w:firstLine="0"/>
      </w:pPr>
    </w:lvl>
    <w:lvl w:ilvl="6">
      <w:start w:val="1"/>
      <w:numFmt w:val="none"/>
      <w:lvlText w:val=""/>
      <w:lvlJc w:val="left"/>
      <w:pPr>
        <w:ind w:left="113" w:firstLine="0"/>
      </w:pPr>
    </w:lvl>
    <w:lvl w:ilvl="7">
      <w:start w:val="1"/>
      <w:numFmt w:val="none"/>
      <w:lvlText w:val=""/>
      <w:lvlJc w:val="left"/>
      <w:pPr>
        <w:ind w:left="113" w:firstLine="0"/>
      </w:pPr>
    </w:lvl>
    <w:lvl w:ilvl="8">
      <w:start w:val="1"/>
      <w:numFmt w:val="none"/>
      <w:lvlText w:val=""/>
      <w:lvlJc w:val="left"/>
      <w:pPr>
        <w:ind w:left="113" w:firstLine="0"/>
      </w:pPr>
    </w:lvl>
  </w:abstractNum>
  <w:abstractNum w:abstractNumId="10" w15:restartNumberingAfterBreak="0">
    <w:nsid w:val="216C7791"/>
    <w:multiLevelType w:val="multilevel"/>
    <w:tmpl w:val="81D06928"/>
    <w:lvl w:ilvl="0">
      <w:start w:val="1"/>
      <w:numFmt w:val="decimal"/>
      <w:lvlText w:val="(%1)"/>
      <w:lvlJc w:val="left"/>
      <w:pPr>
        <w:ind w:left="473" w:hanging="360"/>
      </w:pPr>
      <w:rPr>
        <w:rFonts w:hint="default"/>
        <w:sz w:val="22"/>
      </w:rPr>
    </w:lvl>
    <w:lvl w:ilvl="1">
      <w:start w:val="1"/>
      <w:numFmt w:val="lowerLetter"/>
      <w:lvlText w:val="(%2)"/>
      <w:lvlJc w:val="left"/>
      <w:pPr>
        <w:ind w:left="567" w:hanging="341"/>
      </w:pPr>
      <w:rPr>
        <w:rFonts w:ascii="Times New Roman" w:hAnsi="Times New Roman" w:hint="default"/>
        <w:color w:val="auto"/>
        <w:sz w:val="22"/>
      </w:rPr>
    </w:lvl>
    <w:lvl w:ilvl="2">
      <w:start w:val="1"/>
      <w:numFmt w:val="none"/>
      <w:lvlText w:val=""/>
      <w:lvlJc w:val="left"/>
      <w:pPr>
        <w:ind w:left="113" w:firstLine="0"/>
      </w:pPr>
      <w:rPr>
        <w:rFonts w:hint="default"/>
      </w:rPr>
    </w:lvl>
    <w:lvl w:ilvl="3">
      <w:start w:val="1"/>
      <w:numFmt w:val="none"/>
      <w:lvlText w:val=""/>
      <w:lvlJc w:val="left"/>
      <w:pPr>
        <w:ind w:left="113" w:firstLine="0"/>
      </w:pPr>
      <w:rPr>
        <w:rFonts w:hint="default"/>
      </w:rPr>
    </w:lvl>
    <w:lvl w:ilvl="4">
      <w:start w:val="1"/>
      <w:numFmt w:val="none"/>
      <w:lvlText w:val=""/>
      <w:lvlJc w:val="left"/>
      <w:pPr>
        <w:ind w:left="113" w:firstLine="0"/>
      </w:pPr>
      <w:rPr>
        <w:rFonts w:hint="default"/>
      </w:rPr>
    </w:lvl>
    <w:lvl w:ilvl="5">
      <w:start w:val="1"/>
      <w:numFmt w:val="none"/>
      <w:lvlText w:val=""/>
      <w:lvlJc w:val="left"/>
      <w:pPr>
        <w:ind w:left="113" w:firstLine="0"/>
      </w:pPr>
      <w:rPr>
        <w:rFonts w:hint="default"/>
      </w:rPr>
    </w:lvl>
    <w:lvl w:ilvl="6">
      <w:start w:val="1"/>
      <w:numFmt w:val="none"/>
      <w:lvlText w:val=""/>
      <w:lvlJc w:val="left"/>
      <w:pPr>
        <w:ind w:left="113" w:firstLine="0"/>
      </w:pPr>
      <w:rPr>
        <w:rFonts w:hint="default"/>
      </w:rPr>
    </w:lvl>
    <w:lvl w:ilvl="7">
      <w:start w:val="1"/>
      <w:numFmt w:val="none"/>
      <w:lvlText w:val=""/>
      <w:lvlJc w:val="left"/>
      <w:pPr>
        <w:ind w:left="113" w:firstLine="0"/>
      </w:pPr>
      <w:rPr>
        <w:rFonts w:hint="default"/>
      </w:rPr>
    </w:lvl>
    <w:lvl w:ilvl="8">
      <w:start w:val="1"/>
      <w:numFmt w:val="none"/>
      <w:lvlText w:val=""/>
      <w:lvlJc w:val="left"/>
      <w:pPr>
        <w:ind w:left="113" w:firstLine="0"/>
      </w:pPr>
      <w:rPr>
        <w:rFonts w:hint="default"/>
      </w:rPr>
    </w:lvl>
  </w:abstractNum>
  <w:abstractNum w:abstractNumId="11" w15:restartNumberingAfterBreak="0">
    <w:nsid w:val="23A06610"/>
    <w:multiLevelType w:val="singleLevel"/>
    <w:tmpl w:val="7B8E70E6"/>
    <w:lvl w:ilvl="0">
      <w:start w:val="1"/>
      <w:numFmt w:val="decimal"/>
      <w:pStyle w:val="Code"/>
      <w:lvlText w:val="%1 "/>
      <w:lvlJc w:val="left"/>
      <w:pPr>
        <w:ind w:left="360" w:hanging="360"/>
      </w:pPr>
      <w:rPr>
        <w:rFonts w:ascii="Consolas" w:hAnsi="Consolas" w:cs="Times New Roman" w:hint="default"/>
        <w:b w:val="0"/>
        <w:i w:val="0"/>
        <w:sz w:val="18"/>
        <w:vertAlign w:val="baseline"/>
      </w:rPr>
    </w:lvl>
  </w:abstractNum>
  <w:abstractNum w:abstractNumId="12"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3" w15:restartNumberingAfterBreak="0">
    <w:nsid w:val="2863261B"/>
    <w:multiLevelType w:val="hybridMultilevel"/>
    <w:tmpl w:val="A824E4B0"/>
    <w:lvl w:ilvl="0" w:tplc="B14670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DC44F2"/>
    <w:multiLevelType w:val="hybridMultilevel"/>
    <w:tmpl w:val="58DA3156"/>
    <w:lvl w:ilvl="0" w:tplc="47BA24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960E3"/>
    <w:multiLevelType w:val="hybridMultilevel"/>
    <w:tmpl w:val="21AAF342"/>
    <w:lvl w:ilvl="0" w:tplc="C12C5A44">
      <w:start w:val="1"/>
      <w:numFmt w:val="lowerLetter"/>
      <w:pStyle w:val="ListParagraph"/>
      <w:lvlText w:val="(%1)"/>
      <w:lvlJc w:val="left"/>
      <w:pPr>
        <w:ind w:left="642" w:hanging="360"/>
      </w:pPr>
      <w:rPr>
        <w:rFonts w:hint="default"/>
        <w:b w:val="0"/>
      </w:rPr>
    </w:lvl>
    <w:lvl w:ilvl="1" w:tplc="B57E3C26">
      <w:start w:val="1"/>
      <w:numFmt w:val="lowerRoman"/>
      <w:lvlText w:val="%2."/>
      <w:lvlJc w:val="right"/>
      <w:pPr>
        <w:ind w:left="1362" w:hanging="360"/>
      </w:pPr>
      <w:rPr>
        <w:rFonts w:hint="default"/>
        <w:b w:val="0"/>
      </w:rPr>
    </w:lvl>
    <w:lvl w:ilvl="2" w:tplc="040B001B">
      <w:start w:val="1"/>
      <w:numFmt w:val="lowerRoman"/>
      <w:lvlText w:val="%3."/>
      <w:lvlJc w:val="right"/>
      <w:pPr>
        <w:ind w:left="2082" w:hanging="180"/>
      </w:pPr>
    </w:lvl>
    <w:lvl w:ilvl="3" w:tplc="040B000F">
      <w:start w:val="1"/>
      <w:numFmt w:val="decimal"/>
      <w:lvlText w:val="%4."/>
      <w:lvlJc w:val="left"/>
      <w:pPr>
        <w:ind w:left="2802" w:hanging="360"/>
      </w:pPr>
    </w:lvl>
    <w:lvl w:ilvl="4" w:tplc="040B0019">
      <w:start w:val="1"/>
      <w:numFmt w:val="lowerLetter"/>
      <w:lvlText w:val="%5."/>
      <w:lvlJc w:val="left"/>
      <w:pPr>
        <w:ind w:left="3522" w:hanging="360"/>
      </w:pPr>
    </w:lvl>
    <w:lvl w:ilvl="5" w:tplc="040B001B">
      <w:start w:val="1"/>
      <w:numFmt w:val="lowerRoman"/>
      <w:lvlText w:val="%6."/>
      <w:lvlJc w:val="right"/>
      <w:pPr>
        <w:ind w:left="4242" w:hanging="180"/>
      </w:pPr>
    </w:lvl>
    <w:lvl w:ilvl="6" w:tplc="040B000F">
      <w:start w:val="1"/>
      <w:numFmt w:val="decimal"/>
      <w:lvlText w:val="%7."/>
      <w:lvlJc w:val="left"/>
      <w:pPr>
        <w:ind w:left="4962" w:hanging="360"/>
      </w:pPr>
    </w:lvl>
    <w:lvl w:ilvl="7" w:tplc="040B0019">
      <w:start w:val="1"/>
      <w:numFmt w:val="lowerLetter"/>
      <w:lvlText w:val="%8."/>
      <w:lvlJc w:val="left"/>
      <w:pPr>
        <w:ind w:left="5682" w:hanging="360"/>
      </w:pPr>
    </w:lvl>
    <w:lvl w:ilvl="8" w:tplc="040B001B">
      <w:start w:val="1"/>
      <w:numFmt w:val="lowerRoman"/>
      <w:lvlText w:val="%9."/>
      <w:lvlJc w:val="right"/>
      <w:pPr>
        <w:ind w:left="6402" w:hanging="180"/>
      </w:pPr>
    </w:lvl>
  </w:abstractNum>
  <w:abstractNum w:abstractNumId="16" w15:restartNumberingAfterBreak="0">
    <w:nsid w:val="2BBD3BE2"/>
    <w:multiLevelType w:val="hybridMultilevel"/>
    <w:tmpl w:val="48706E32"/>
    <w:lvl w:ilvl="0" w:tplc="040B001B">
      <w:start w:val="1"/>
      <w:numFmt w:val="lowerRoman"/>
      <w:lvlText w:val="%1."/>
      <w:lvlJc w:val="right"/>
      <w:pPr>
        <w:ind w:left="1068" w:hanging="360"/>
      </w:p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7" w15:restartNumberingAfterBreak="0">
    <w:nsid w:val="2D6A7E4C"/>
    <w:multiLevelType w:val="multilevel"/>
    <w:tmpl w:val="458EE464"/>
    <w:lvl w:ilvl="0">
      <w:start w:val="1"/>
      <w:numFmt w:val="decimal"/>
      <w:lvlText w:val="(%1)"/>
      <w:lvlJc w:val="left"/>
      <w:pPr>
        <w:ind w:left="473" w:hanging="360"/>
      </w:pPr>
      <w:rPr>
        <w:rFonts w:hint="default"/>
        <w:sz w:val="22"/>
      </w:rPr>
    </w:lvl>
    <w:lvl w:ilvl="1">
      <w:start w:val="1"/>
      <w:numFmt w:val="bullet"/>
      <w:lvlText w:val=""/>
      <w:lvlJc w:val="left"/>
      <w:pPr>
        <w:ind w:left="567" w:hanging="341"/>
      </w:pPr>
      <w:rPr>
        <w:rFonts w:ascii="Symbol" w:hAnsi="Symbol" w:hint="default"/>
        <w:color w:val="auto"/>
        <w:sz w:val="22"/>
      </w:rPr>
    </w:lvl>
    <w:lvl w:ilvl="2">
      <w:start w:val="1"/>
      <w:numFmt w:val="none"/>
      <w:lvlText w:val=""/>
      <w:lvlJc w:val="left"/>
      <w:pPr>
        <w:ind w:left="113" w:firstLine="0"/>
      </w:pPr>
      <w:rPr>
        <w:rFonts w:hint="default"/>
      </w:rPr>
    </w:lvl>
    <w:lvl w:ilvl="3">
      <w:start w:val="1"/>
      <w:numFmt w:val="none"/>
      <w:lvlText w:val=""/>
      <w:lvlJc w:val="left"/>
      <w:pPr>
        <w:ind w:left="113" w:firstLine="0"/>
      </w:pPr>
      <w:rPr>
        <w:rFonts w:hint="default"/>
      </w:rPr>
    </w:lvl>
    <w:lvl w:ilvl="4">
      <w:start w:val="1"/>
      <w:numFmt w:val="none"/>
      <w:lvlText w:val=""/>
      <w:lvlJc w:val="left"/>
      <w:pPr>
        <w:ind w:left="113" w:firstLine="0"/>
      </w:pPr>
      <w:rPr>
        <w:rFonts w:hint="default"/>
      </w:rPr>
    </w:lvl>
    <w:lvl w:ilvl="5">
      <w:start w:val="1"/>
      <w:numFmt w:val="none"/>
      <w:lvlText w:val=""/>
      <w:lvlJc w:val="left"/>
      <w:pPr>
        <w:ind w:left="113" w:firstLine="0"/>
      </w:pPr>
      <w:rPr>
        <w:rFonts w:hint="default"/>
      </w:rPr>
    </w:lvl>
    <w:lvl w:ilvl="6">
      <w:start w:val="1"/>
      <w:numFmt w:val="none"/>
      <w:lvlText w:val=""/>
      <w:lvlJc w:val="left"/>
      <w:pPr>
        <w:ind w:left="113" w:firstLine="0"/>
      </w:pPr>
      <w:rPr>
        <w:rFonts w:hint="default"/>
      </w:rPr>
    </w:lvl>
    <w:lvl w:ilvl="7">
      <w:start w:val="1"/>
      <w:numFmt w:val="none"/>
      <w:lvlText w:val=""/>
      <w:lvlJc w:val="left"/>
      <w:pPr>
        <w:ind w:left="113" w:firstLine="0"/>
      </w:pPr>
      <w:rPr>
        <w:rFonts w:hint="default"/>
      </w:rPr>
    </w:lvl>
    <w:lvl w:ilvl="8">
      <w:start w:val="1"/>
      <w:numFmt w:val="none"/>
      <w:lvlText w:val=""/>
      <w:lvlJc w:val="left"/>
      <w:pPr>
        <w:ind w:left="113" w:firstLine="0"/>
      </w:pPr>
      <w:rPr>
        <w:rFonts w:hint="default"/>
      </w:rPr>
    </w:lvl>
  </w:abstractNum>
  <w:abstractNum w:abstractNumId="18" w15:restartNumberingAfterBreak="0">
    <w:nsid w:val="2FA63E4C"/>
    <w:multiLevelType w:val="multilevel"/>
    <w:tmpl w:val="458EE464"/>
    <w:lvl w:ilvl="0">
      <w:start w:val="1"/>
      <w:numFmt w:val="decimal"/>
      <w:lvlText w:val="(%1)"/>
      <w:lvlJc w:val="left"/>
      <w:pPr>
        <w:ind w:left="473" w:hanging="360"/>
      </w:pPr>
      <w:rPr>
        <w:rFonts w:hint="default"/>
        <w:sz w:val="22"/>
      </w:rPr>
    </w:lvl>
    <w:lvl w:ilvl="1">
      <w:start w:val="1"/>
      <w:numFmt w:val="bullet"/>
      <w:lvlText w:val=""/>
      <w:lvlJc w:val="left"/>
      <w:pPr>
        <w:ind w:left="567" w:hanging="341"/>
      </w:pPr>
      <w:rPr>
        <w:rFonts w:ascii="Symbol" w:hAnsi="Symbol" w:hint="default"/>
        <w:color w:val="auto"/>
        <w:sz w:val="22"/>
      </w:rPr>
    </w:lvl>
    <w:lvl w:ilvl="2">
      <w:start w:val="1"/>
      <w:numFmt w:val="none"/>
      <w:lvlText w:val=""/>
      <w:lvlJc w:val="left"/>
      <w:pPr>
        <w:ind w:left="113" w:firstLine="0"/>
      </w:pPr>
      <w:rPr>
        <w:rFonts w:hint="default"/>
      </w:rPr>
    </w:lvl>
    <w:lvl w:ilvl="3">
      <w:start w:val="1"/>
      <w:numFmt w:val="none"/>
      <w:lvlText w:val=""/>
      <w:lvlJc w:val="left"/>
      <w:pPr>
        <w:ind w:left="113" w:firstLine="0"/>
      </w:pPr>
      <w:rPr>
        <w:rFonts w:hint="default"/>
      </w:rPr>
    </w:lvl>
    <w:lvl w:ilvl="4">
      <w:start w:val="1"/>
      <w:numFmt w:val="none"/>
      <w:lvlText w:val=""/>
      <w:lvlJc w:val="left"/>
      <w:pPr>
        <w:ind w:left="113" w:firstLine="0"/>
      </w:pPr>
      <w:rPr>
        <w:rFonts w:hint="default"/>
      </w:rPr>
    </w:lvl>
    <w:lvl w:ilvl="5">
      <w:start w:val="1"/>
      <w:numFmt w:val="none"/>
      <w:lvlText w:val=""/>
      <w:lvlJc w:val="left"/>
      <w:pPr>
        <w:ind w:left="113" w:firstLine="0"/>
      </w:pPr>
      <w:rPr>
        <w:rFonts w:hint="default"/>
      </w:rPr>
    </w:lvl>
    <w:lvl w:ilvl="6">
      <w:start w:val="1"/>
      <w:numFmt w:val="none"/>
      <w:lvlText w:val=""/>
      <w:lvlJc w:val="left"/>
      <w:pPr>
        <w:ind w:left="113" w:firstLine="0"/>
      </w:pPr>
      <w:rPr>
        <w:rFonts w:hint="default"/>
      </w:rPr>
    </w:lvl>
    <w:lvl w:ilvl="7">
      <w:start w:val="1"/>
      <w:numFmt w:val="none"/>
      <w:lvlText w:val=""/>
      <w:lvlJc w:val="left"/>
      <w:pPr>
        <w:ind w:left="113" w:firstLine="0"/>
      </w:pPr>
      <w:rPr>
        <w:rFonts w:hint="default"/>
      </w:rPr>
    </w:lvl>
    <w:lvl w:ilvl="8">
      <w:start w:val="1"/>
      <w:numFmt w:val="none"/>
      <w:lvlText w:val=""/>
      <w:lvlJc w:val="left"/>
      <w:pPr>
        <w:ind w:left="113" w:firstLine="0"/>
      </w:pPr>
      <w:rPr>
        <w:rFonts w:hint="default"/>
      </w:rPr>
    </w:lvl>
  </w:abstractNum>
  <w:abstractNum w:abstractNumId="19" w15:restartNumberingAfterBreak="0">
    <w:nsid w:val="30847753"/>
    <w:multiLevelType w:val="hybridMultilevel"/>
    <w:tmpl w:val="48706E32"/>
    <w:lvl w:ilvl="0" w:tplc="040B001B">
      <w:start w:val="1"/>
      <w:numFmt w:val="lowerRoman"/>
      <w:lvlText w:val="%1."/>
      <w:lvlJc w:val="right"/>
      <w:pPr>
        <w:ind w:left="1068" w:hanging="360"/>
      </w:p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0" w15:restartNumberingAfterBreak="0">
    <w:nsid w:val="316D512C"/>
    <w:multiLevelType w:val="multilevel"/>
    <w:tmpl w:val="81D06928"/>
    <w:lvl w:ilvl="0">
      <w:start w:val="1"/>
      <w:numFmt w:val="decimal"/>
      <w:lvlText w:val="(%1)"/>
      <w:lvlJc w:val="left"/>
      <w:pPr>
        <w:ind w:left="360" w:hanging="360"/>
      </w:pPr>
      <w:rPr>
        <w:rFonts w:hint="default"/>
        <w:sz w:val="22"/>
      </w:rPr>
    </w:lvl>
    <w:lvl w:ilvl="1">
      <w:start w:val="1"/>
      <w:numFmt w:val="lowerLetter"/>
      <w:lvlText w:val="(%2)"/>
      <w:lvlJc w:val="left"/>
      <w:pPr>
        <w:ind w:left="454" w:hanging="341"/>
      </w:pPr>
      <w:rPr>
        <w:rFonts w:ascii="Times New Roman" w:hAnsi="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30C136B"/>
    <w:multiLevelType w:val="hybridMultilevel"/>
    <w:tmpl w:val="1C204052"/>
    <w:lvl w:ilvl="0" w:tplc="0EA088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7F01E0D"/>
    <w:multiLevelType w:val="multilevel"/>
    <w:tmpl w:val="81D06928"/>
    <w:lvl w:ilvl="0">
      <w:start w:val="1"/>
      <w:numFmt w:val="decimal"/>
      <w:lvlText w:val="(%1)"/>
      <w:lvlJc w:val="left"/>
      <w:pPr>
        <w:ind w:left="360" w:hanging="360"/>
      </w:pPr>
      <w:rPr>
        <w:rFonts w:hint="default"/>
        <w:sz w:val="22"/>
      </w:rPr>
    </w:lvl>
    <w:lvl w:ilvl="1">
      <w:start w:val="1"/>
      <w:numFmt w:val="lowerLetter"/>
      <w:lvlText w:val="(%2)"/>
      <w:lvlJc w:val="left"/>
      <w:pPr>
        <w:ind w:left="454" w:hanging="341"/>
      </w:pPr>
      <w:rPr>
        <w:rFonts w:ascii="Times New Roman" w:hAnsi="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C2E5EFE"/>
    <w:multiLevelType w:val="hybridMultilevel"/>
    <w:tmpl w:val="48706E32"/>
    <w:lvl w:ilvl="0" w:tplc="040B001B">
      <w:start w:val="1"/>
      <w:numFmt w:val="lowerRoman"/>
      <w:lvlText w:val="%1."/>
      <w:lvlJc w:val="right"/>
      <w:pPr>
        <w:ind w:left="1068" w:hanging="360"/>
      </w:p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4" w15:restartNumberingAfterBreak="0">
    <w:nsid w:val="3D884C28"/>
    <w:multiLevelType w:val="multilevel"/>
    <w:tmpl w:val="81D06928"/>
    <w:lvl w:ilvl="0">
      <w:start w:val="1"/>
      <w:numFmt w:val="decimal"/>
      <w:lvlText w:val="(%1)"/>
      <w:lvlJc w:val="left"/>
      <w:pPr>
        <w:ind w:left="473" w:hanging="360"/>
      </w:pPr>
      <w:rPr>
        <w:rFonts w:hint="default"/>
        <w:sz w:val="22"/>
      </w:rPr>
    </w:lvl>
    <w:lvl w:ilvl="1">
      <w:start w:val="1"/>
      <w:numFmt w:val="lowerLetter"/>
      <w:lvlText w:val="(%2)"/>
      <w:lvlJc w:val="left"/>
      <w:pPr>
        <w:ind w:left="567" w:hanging="341"/>
      </w:pPr>
      <w:rPr>
        <w:rFonts w:ascii="Times New Roman" w:hAnsi="Times New Roman" w:hint="default"/>
        <w:color w:val="auto"/>
        <w:sz w:val="22"/>
      </w:rPr>
    </w:lvl>
    <w:lvl w:ilvl="2">
      <w:start w:val="1"/>
      <w:numFmt w:val="none"/>
      <w:lvlText w:val=""/>
      <w:lvlJc w:val="left"/>
      <w:pPr>
        <w:ind w:left="113" w:firstLine="0"/>
      </w:pPr>
      <w:rPr>
        <w:rFonts w:hint="default"/>
      </w:rPr>
    </w:lvl>
    <w:lvl w:ilvl="3">
      <w:start w:val="1"/>
      <w:numFmt w:val="none"/>
      <w:lvlText w:val=""/>
      <w:lvlJc w:val="left"/>
      <w:pPr>
        <w:ind w:left="113" w:firstLine="0"/>
      </w:pPr>
      <w:rPr>
        <w:rFonts w:hint="default"/>
      </w:rPr>
    </w:lvl>
    <w:lvl w:ilvl="4">
      <w:start w:val="1"/>
      <w:numFmt w:val="none"/>
      <w:lvlText w:val=""/>
      <w:lvlJc w:val="left"/>
      <w:pPr>
        <w:ind w:left="113" w:firstLine="0"/>
      </w:pPr>
      <w:rPr>
        <w:rFonts w:hint="default"/>
      </w:rPr>
    </w:lvl>
    <w:lvl w:ilvl="5">
      <w:start w:val="1"/>
      <w:numFmt w:val="none"/>
      <w:lvlText w:val=""/>
      <w:lvlJc w:val="left"/>
      <w:pPr>
        <w:ind w:left="113" w:firstLine="0"/>
      </w:pPr>
      <w:rPr>
        <w:rFonts w:hint="default"/>
      </w:rPr>
    </w:lvl>
    <w:lvl w:ilvl="6">
      <w:start w:val="1"/>
      <w:numFmt w:val="none"/>
      <w:lvlText w:val=""/>
      <w:lvlJc w:val="left"/>
      <w:pPr>
        <w:ind w:left="113" w:firstLine="0"/>
      </w:pPr>
      <w:rPr>
        <w:rFonts w:hint="default"/>
      </w:rPr>
    </w:lvl>
    <w:lvl w:ilvl="7">
      <w:start w:val="1"/>
      <w:numFmt w:val="none"/>
      <w:lvlText w:val=""/>
      <w:lvlJc w:val="left"/>
      <w:pPr>
        <w:ind w:left="113" w:firstLine="0"/>
      </w:pPr>
      <w:rPr>
        <w:rFonts w:hint="default"/>
      </w:rPr>
    </w:lvl>
    <w:lvl w:ilvl="8">
      <w:start w:val="1"/>
      <w:numFmt w:val="none"/>
      <w:lvlText w:val=""/>
      <w:lvlJc w:val="left"/>
      <w:pPr>
        <w:ind w:left="113" w:firstLine="0"/>
      </w:pPr>
      <w:rPr>
        <w:rFonts w:hint="default"/>
      </w:rPr>
    </w:lvl>
  </w:abstractNum>
  <w:abstractNum w:abstractNumId="25" w15:restartNumberingAfterBreak="0">
    <w:nsid w:val="3E6D2157"/>
    <w:multiLevelType w:val="multilevel"/>
    <w:tmpl w:val="81D06928"/>
    <w:lvl w:ilvl="0">
      <w:start w:val="1"/>
      <w:numFmt w:val="decimal"/>
      <w:lvlText w:val="(%1)"/>
      <w:lvlJc w:val="left"/>
      <w:pPr>
        <w:ind w:left="360" w:hanging="360"/>
      </w:pPr>
      <w:rPr>
        <w:rFonts w:hint="default"/>
        <w:sz w:val="22"/>
      </w:rPr>
    </w:lvl>
    <w:lvl w:ilvl="1">
      <w:start w:val="1"/>
      <w:numFmt w:val="lowerLetter"/>
      <w:lvlText w:val="(%2)"/>
      <w:lvlJc w:val="left"/>
      <w:pPr>
        <w:ind w:left="454" w:hanging="341"/>
      </w:pPr>
      <w:rPr>
        <w:rFonts w:ascii="Times New Roman" w:hAnsi="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7C81523"/>
    <w:multiLevelType w:val="multilevel"/>
    <w:tmpl w:val="81D06928"/>
    <w:lvl w:ilvl="0">
      <w:start w:val="1"/>
      <w:numFmt w:val="decimal"/>
      <w:lvlText w:val="(%1)"/>
      <w:lvlJc w:val="left"/>
      <w:pPr>
        <w:ind w:left="360" w:hanging="360"/>
      </w:pPr>
      <w:rPr>
        <w:rFonts w:hint="default"/>
        <w:sz w:val="22"/>
      </w:rPr>
    </w:lvl>
    <w:lvl w:ilvl="1">
      <w:start w:val="1"/>
      <w:numFmt w:val="lowerLetter"/>
      <w:lvlText w:val="(%2)"/>
      <w:lvlJc w:val="left"/>
      <w:pPr>
        <w:ind w:left="454" w:hanging="341"/>
      </w:pPr>
      <w:rPr>
        <w:rFonts w:ascii="Times New Roman" w:hAnsi="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D5C78EE"/>
    <w:multiLevelType w:val="multilevel"/>
    <w:tmpl w:val="81D06928"/>
    <w:styleLink w:val="XXXNummerierung"/>
    <w:lvl w:ilvl="0">
      <w:start w:val="1"/>
      <w:numFmt w:val="decimal"/>
      <w:lvlText w:val="(%1)"/>
      <w:lvlJc w:val="left"/>
      <w:pPr>
        <w:ind w:left="360" w:hanging="360"/>
      </w:pPr>
      <w:rPr>
        <w:rFonts w:hint="default"/>
        <w:sz w:val="22"/>
      </w:rPr>
    </w:lvl>
    <w:lvl w:ilvl="1">
      <w:start w:val="1"/>
      <w:numFmt w:val="lowerLetter"/>
      <w:lvlText w:val="(%2)"/>
      <w:lvlJc w:val="left"/>
      <w:pPr>
        <w:ind w:left="454" w:hanging="341"/>
      </w:pPr>
      <w:rPr>
        <w:rFonts w:ascii="Times New Roman" w:hAnsi="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51CF26E7"/>
    <w:multiLevelType w:val="multilevel"/>
    <w:tmpl w:val="81D06928"/>
    <w:lvl w:ilvl="0">
      <w:start w:val="1"/>
      <w:numFmt w:val="decimal"/>
      <w:lvlText w:val="(%1)"/>
      <w:lvlJc w:val="left"/>
      <w:pPr>
        <w:ind w:left="473" w:hanging="360"/>
      </w:pPr>
      <w:rPr>
        <w:rFonts w:hint="default"/>
        <w:sz w:val="22"/>
      </w:rPr>
    </w:lvl>
    <w:lvl w:ilvl="1">
      <w:start w:val="1"/>
      <w:numFmt w:val="lowerLetter"/>
      <w:lvlText w:val="(%2)"/>
      <w:lvlJc w:val="left"/>
      <w:pPr>
        <w:ind w:left="567" w:hanging="341"/>
      </w:pPr>
      <w:rPr>
        <w:rFonts w:ascii="Times New Roman" w:hAnsi="Times New Roman" w:hint="default"/>
        <w:color w:val="auto"/>
        <w:sz w:val="22"/>
      </w:rPr>
    </w:lvl>
    <w:lvl w:ilvl="2">
      <w:start w:val="1"/>
      <w:numFmt w:val="none"/>
      <w:lvlText w:val=""/>
      <w:lvlJc w:val="left"/>
      <w:pPr>
        <w:ind w:left="113" w:firstLine="0"/>
      </w:pPr>
      <w:rPr>
        <w:rFonts w:hint="default"/>
      </w:rPr>
    </w:lvl>
    <w:lvl w:ilvl="3">
      <w:start w:val="1"/>
      <w:numFmt w:val="none"/>
      <w:lvlText w:val=""/>
      <w:lvlJc w:val="left"/>
      <w:pPr>
        <w:ind w:left="113" w:firstLine="0"/>
      </w:pPr>
      <w:rPr>
        <w:rFonts w:hint="default"/>
      </w:rPr>
    </w:lvl>
    <w:lvl w:ilvl="4">
      <w:start w:val="1"/>
      <w:numFmt w:val="none"/>
      <w:lvlText w:val=""/>
      <w:lvlJc w:val="left"/>
      <w:pPr>
        <w:ind w:left="113" w:firstLine="0"/>
      </w:pPr>
      <w:rPr>
        <w:rFonts w:hint="default"/>
      </w:rPr>
    </w:lvl>
    <w:lvl w:ilvl="5">
      <w:start w:val="1"/>
      <w:numFmt w:val="none"/>
      <w:lvlText w:val=""/>
      <w:lvlJc w:val="left"/>
      <w:pPr>
        <w:ind w:left="113" w:firstLine="0"/>
      </w:pPr>
      <w:rPr>
        <w:rFonts w:hint="default"/>
      </w:rPr>
    </w:lvl>
    <w:lvl w:ilvl="6">
      <w:start w:val="1"/>
      <w:numFmt w:val="none"/>
      <w:lvlText w:val=""/>
      <w:lvlJc w:val="left"/>
      <w:pPr>
        <w:ind w:left="113" w:firstLine="0"/>
      </w:pPr>
      <w:rPr>
        <w:rFonts w:hint="default"/>
      </w:rPr>
    </w:lvl>
    <w:lvl w:ilvl="7">
      <w:start w:val="1"/>
      <w:numFmt w:val="none"/>
      <w:lvlText w:val=""/>
      <w:lvlJc w:val="left"/>
      <w:pPr>
        <w:ind w:left="113" w:firstLine="0"/>
      </w:pPr>
      <w:rPr>
        <w:rFonts w:hint="default"/>
      </w:rPr>
    </w:lvl>
    <w:lvl w:ilvl="8">
      <w:start w:val="1"/>
      <w:numFmt w:val="none"/>
      <w:lvlText w:val=""/>
      <w:lvlJc w:val="left"/>
      <w:pPr>
        <w:ind w:left="113" w:firstLine="0"/>
      </w:pPr>
      <w:rPr>
        <w:rFonts w:hint="default"/>
      </w:rPr>
    </w:lvl>
  </w:abstractNum>
  <w:abstractNum w:abstractNumId="29" w15:restartNumberingAfterBreak="0">
    <w:nsid w:val="580A382A"/>
    <w:multiLevelType w:val="hybridMultilevel"/>
    <w:tmpl w:val="BF1077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5A373D83"/>
    <w:multiLevelType w:val="hybridMultilevel"/>
    <w:tmpl w:val="787CBD70"/>
    <w:lvl w:ilvl="0" w:tplc="47BA24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4A3354"/>
    <w:multiLevelType w:val="multilevel"/>
    <w:tmpl w:val="AF40A21E"/>
    <w:styleLink w:val="XXXList"/>
    <w:lvl w:ilvl="0">
      <w:start w:val="1"/>
      <w:numFmt w:val="decimal"/>
      <w:pStyle w:val="headline1"/>
      <w:lvlText w:val="%1."/>
      <w:lvlJc w:val="left"/>
      <w:pPr>
        <w:ind w:left="357" w:hanging="357"/>
      </w:pPr>
      <w:rPr>
        <w:rFonts w:asciiTheme="majorHAnsi" w:hAnsiTheme="majorHAnsi" w:hint="default"/>
        <w:b/>
        <w:i w:val="0"/>
        <w:color w:val="23236E" w:themeColor="text2"/>
        <w:sz w:val="28"/>
        <w:u w:color="23236E"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asciiTheme="majorHAnsi" w:hAnsiTheme="majorHAnsi" w:hint="default"/>
        <w:b/>
        <w:i w:val="0"/>
        <w:color w:val="23236E" w:themeColor="text2"/>
        <w:sz w:val="28"/>
        <w:u w:color="23236E" w:themeColor="text2"/>
      </w:rPr>
    </w:lvl>
  </w:abstractNum>
  <w:abstractNum w:abstractNumId="32" w15:restartNumberingAfterBreak="0">
    <w:nsid w:val="5D635E74"/>
    <w:multiLevelType w:val="hybridMultilevel"/>
    <w:tmpl w:val="BD841B24"/>
    <w:lvl w:ilvl="0" w:tplc="32E861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1584114"/>
    <w:multiLevelType w:val="multilevel"/>
    <w:tmpl w:val="81D06928"/>
    <w:lvl w:ilvl="0">
      <w:start w:val="1"/>
      <w:numFmt w:val="decimal"/>
      <w:lvlText w:val="(%1)"/>
      <w:lvlJc w:val="left"/>
      <w:pPr>
        <w:ind w:left="473" w:hanging="360"/>
      </w:pPr>
      <w:rPr>
        <w:rFonts w:hint="default"/>
        <w:sz w:val="22"/>
      </w:rPr>
    </w:lvl>
    <w:lvl w:ilvl="1">
      <w:start w:val="1"/>
      <w:numFmt w:val="lowerLetter"/>
      <w:lvlText w:val="(%2)"/>
      <w:lvlJc w:val="left"/>
      <w:pPr>
        <w:ind w:left="567" w:hanging="341"/>
      </w:pPr>
      <w:rPr>
        <w:rFonts w:ascii="Times New Roman" w:hAnsi="Times New Roman" w:hint="default"/>
        <w:color w:val="auto"/>
        <w:sz w:val="22"/>
      </w:rPr>
    </w:lvl>
    <w:lvl w:ilvl="2">
      <w:start w:val="1"/>
      <w:numFmt w:val="none"/>
      <w:lvlText w:val=""/>
      <w:lvlJc w:val="left"/>
      <w:pPr>
        <w:ind w:left="113" w:firstLine="0"/>
      </w:pPr>
      <w:rPr>
        <w:rFonts w:hint="default"/>
      </w:rPr>
    </w:lvl>
    <w:lvl w:ilvl="3">
      <w:start w:val="1"/>
      <w:numFmt w:val="none"/>
      <w:lvlText w:val=""/>
      <w:lvlJc w:val="left"/>
      <w:pPr>
        <w:ind w:left="113" w:firstLine="0"/>
      </w:pPr>
      <w:rPr>
        <w:rFonts w:hint="default"/>
      </w:rPr>
    </w:lvl>
    <w:lvl w:ilvl="4">
      <w:start w:val="1"/>
      <w:numFmt w:val="none"/>
      <w:lvlText w:val=""/>
      <w:lvlJc w:val="left"/>
      <w:pPr>
        <w:ind w:left="113" w:firstLine="0"/>
      </w:pPr>
      <w:rPr>
        <w:rFonts w:hint="default"/>
      </w:rPr>
    </w:lvl>
    <w:lvl w:ilvl="5">
      <w:start w:val="1"/>
      <w:numFmt w:val="none"/>
      <w:lvlText w:val=""/>
      <w:lvlJc w:val="left"/>
      <w:pPr>
        <w:ind w:left="113" w:firstLine="0"/>
      </w:pPr>
      <w:rPr>
        <w:rFonts w:hint="default"/>
      </w:rPr>
    </w:lvl>
    <w:lvl w:ilvl="6">
      <w:start w:val="1"/>
      <w:numFmt w:val="none"/>
      <w:lvlText w:val=""/>
      <w:lvlJc w:val="left"/>
      <w:pPr>
        <w:ind w:left="113" w:firstLine="0"/>
      </w:pPr>
      <w:rPr>
        <w:rFonts w:hint="default"/>
      </w:rPr>
    </w:lvl>
    <w:lvl w:ilvl="7">
      <w:start w:val="1"/>
      <w:numFmt w:val="none"/>
      <w:lvlText w:val=""/>
      <w:lvlJc w:val="left"/>
      <w:pPr>
        <w:ind w:left="113" w:firstLine="0"/>
      </w:pPr>
      <w:rPr>
        <w:rFonts w:hint="default"/>
      </w:rPr>
    </w:lvl>
    <w:lvl w:ilvl="8">
      <w:start w:val="1"/>
      <w:numFmt w:val="none"/>
      <w:lvlText w:val=""/>
      <w:lvlJc w:val="left"/>
      <w:pPr>
        <w:ind w:left="113" w:firstLine="0"/>
      </w:pPr>
      <w:rPr>
        <w:rFonts w:hint="default"/>
      </w:rPr>
    </w:lvl>
  </w:abstractNum>
  <w:abstractNum w:abstractNumId="35" w15:restartNumberingAfterBreak="0">
    <w:nsid w:val="67FB5684"/>
    <w:multiLevelType w:val="hybridMultilevel"/>
    <w:tmpl w:val="FD1A987A"/>
    <w:lvl w:ilvl="0" w:tplc="4FB2C9E4">
      <w:start w:val="1"/>
      <w:numFmt w:val="lowerLetter"/>
      <w:lvlText w:val="(%1)"/>
      <w:lvlJc w:val="left"/>
      <w:pPr>
        <w:ind w:left="717" w:hanging="360"/>
      </w:pPr>
      <w:rPr>
        <w:rFonts w:hint="default"/>
        <w:b w:val="0"/>
      </w:rPr>
    </w:lvl>
    <w:lvl w:ilvl="1" w:tplc="D3281D72">
      <w:start w:val="1"/>
      <w:numFmt w:val="lowerRoman"/>
      <w:lvlText w:val="%2."/>
      <w:lvlJc w:val="right"/>
      <w:pPr>
        <w:ind w:left="1437" w:hanging="360"/>
      </w:pPr>
      <w:rPr>
        <w:rFonts w:hint="default"/>
        <w:b w:val="0"/>
      </w:rPr>
    </w:lvl>
    <w:lvl w:ilvl="2" w:tplc="040B001B">
      <w:start w:val="1"/>
      <w:numFmt w:val="lowerRoman"/>
      <w:lvlText w:val="%3."/>
      <w:lvlJc w:val="right"/>
      <w:pPr>
        <w:ind w:left="2157" w:hanging="180"/>
      </w:pPr>
    </w:lvl>
    <w:lvl w:ilvl="3" w:tplc="040B000F">
      <w:start w:val="1"/>
      <w:numFmt w:val="decimal"/>
      <w:lvlText w:val="%4."/>
      <w:lvlJc w:val="left"/>
      <w:pPr>
        <w:ind w:left="2877" w:hanging="360"/>
      </w:pPr>
    </w:lvl>
    <w:lvl w:ilvl="4" w:tplc="040B0019">
      <w:start w:val="1"/>
      <w:numFmt w:val="lowerLetter"/>
      <w:lvlText w:val="%5."/>
      <w:lvlJc w:val="left"/>
      <w:pPr>
        <w:ind w:left="3597" w:hanging="360"/>
      </w:pPr>
    </w:lvl>
    <w:lvl w:ilvl="5" w:tplc="040B001B">
      <w:start w:val="1"/>
      <w:numFmt w:val="lowerRoman"/>
      <w:lvlText w:val="%6."/>
      <w:lvlJc w:val="right"/>
      <w:pPr>
        <w:ind w:left="4317" w:hanging="180"/>
      </w:pPr>
    </w:lvl>
    <w:lvl w:ilvl="6" w:tplc="040B000F">
      <w:start w:val="1"/>
      <w:numFmt w:val="decimal"/>
      <w:lvlText w:val="%7."/>
      <w:lvlJc w:val="left"/>
      <w:pPr>
        <w:ind w:left="5037" w:hanging="360"/>
      </w:pPr>
    </w:lvl>
    <w:lvl w:ilvl="7" w:tplc="040B0019">
      <w:start w:val="1"/>
      <w:numFmt w:val="lowerLetter"/>
      <w:lvlText w:val="%8."/>
      <w:lvlJc w:val="left"/>
      <w:pPr>
        <w:ind w:left="5757" w:hanging="360"/>
      </w:pPr>
    </w:lvl>
    <w:lvl w:ilvl="8" w:tplc="040B001B">
      <w:start w:val="1"/>
      <w:numFmt w:val="lowerRoman"/>
      <w:lvlText w:val="%9."/>
      <w:lvlJc w:val="right"/>
      <w:pPr>
        <w:ind w:left="6477" w:hanging="180"/>
      </w:pPr>
    </w:lvl>
  </w:abstractNum>
  <w:abstractNum w:abstractNumId="36" w15:restartNumberingAfterBreak="0">
    <w:nsid w:val="719F28DB"/>
    <w:multiLevelType w:val="multilevel"/>
    <w:tmpl w:val="81D06928"/>
    <w:numStyleLink w:val="XXXNummerierung"/>
  </w:abstractNum>
  <w:abstractNum w:abstractNumId="37" w15:restartNumberingAfterBreak="0">
    <w:nsid w:val="7DA62A1D"/>
    <w:multiLevelType w:val="hybridMultilevel"/>
    <w:tmpl w:val="007E3B5A"/>
    <w:lvl w:ilvl="0" w:tplc="57F0FC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74B50"/>
    <w:multiLevelType w:val="multilevel"/>
    <w:tmpl w:val="81D06928"/>
    <w:lvl w:ilvl="0">
      <w:start w:val="1"/>
      <w:numFmt w:val="decimal"/>
      <w:lvlText w:val="(%1)"/>
      <w:lvlJc w:val="left"/>
      <w:pPr>
        <w:ind w:left="360" w:hanging="360"/>
      </w:pPr>
      <w:rPr>
        <w:rFonts w:hint="default"/>
        <w:sz w:val="22"/>
      </w:rPr>
    </w:lvl>
    <w:lvl w:ilvl="1">
      <w:start w:val="1"/>
      <w:numFmt w:val="lowerLetter"/>
      <w:lvlText w:val="(%2)"/>
      <w:lvlJc w:val="left"/>
      <w:pPr>
        <w:ind w:left="454" w:hanging="341"/>
      </w:pPr>
      <w:rPr>
        <w:rFonts w:ascii="Times New Roman" w:hAnsi="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F1A5E96"/>
    <w:multiLevelType w:val="multilevel"/>
    <w:tmpl w:val="99502E1C"/>
    <w:lvl w:ilvl="0">
      <w:start w:val="1"/>
      <w:numFmt w:val="decimal"/>
      <w:pStyle w:val="AnnexeTitre1"/>
      <w:lvlText w:val="Annexe %1."/>
      <w:lvlJc w:val="left"/>
      <w:pPr>
        <w:tabs>
          <w:tab w:val="num" w:pos="1418"/>
        </w:tabs>
      </w:pPr>
      <w:rPr>
        <w:rFonts w:ascii="Arial" w:hAnsi="Arial" w:cs="Times New Roman" w:hint="default"/>
        <w:b/>
        <w:i w:val="0"/>
        <w:caps/>
        <w:strike w:val="0"/>
        <w:dstrike w:val="0"/>
        <w:vanish w:val="0"/>
        <w:sz w:val="24"/>
        <w:vertAlign w:val="baseline"/>
      </w:rPr>
    </w:lvl>
    <w:lvl w:ilvl="1">
      <w:start w:val="1"/>
      <w:numFmt w:val="decimal"/>
      <w:pStyle w:val="AnnexeTitre2"/>
      <w:lvlText w:val="%1.%2"/>
      <w:lvlJc w:val="left"/>
      <w:pPr>
        <w:tabs>
          <w:tab w:val="num" w:pos="851"/>
        </w:tabs>
      </w:pPr>
      <w:rPr>
        <w:rFonts w:ascii="Arial" w:hAnsi="Arial" w:cs="Times New Roman" w:hint="default"/>
        <w:b/>
        <w:bCs w:val="0"/>
        <w:i w:val="0"/>
        <w:iCs w:val="0"/>
        <w:caps w:val="0"/>
        <w:smallCaps w:val="0"/>
        <w:strike w:val="0"/>
        <w:dstrike w:val="0"/>
        <w:vanish w:val="0"/>
        <w:spacing w:val="0"/>
        <w:kern w:val="0"/>
        <w:position w:val="0"/>
        <w:sz w:val="24"/>
        <w:u w:val="none"/>
        <w:vertAlign w:val="baseline"/>
      </w:rPr>
    </w:lvl>
    <w:lvl w:ilvl="2">
      <w:start w:val="1"/>
      <w:numFmt w:val="decimal"/>
      <w:pStyle w:val="AnnexeTitre3"/>
      <w:lvlText w:val="%1.%2.%3"/>
      <w:lvlJc w:val="left"/>
      <w:pPr>
        <w:tabs>
          <w:tab w:val="num" w:pos="1134"/>
        </w:tabs>
      </w:pPr>
      <w:rPr>
        <w:rFonts w:ascii="Arial" w:hAnsi="Arial" w:cs="Times New Roman" w:hint="default"/>
        <w:b/>
        <w:sz w:val="24"/>
      </w:rPr>
    </w:lvl>
    <w:lvl w:ilvl="3">
      <w:start w:val="1"/>
      <w:numFmt w:val="decimal"/>
      <w:pStyle w:val="AnnexeTitre4"/>
      <w:lvlText w:val="%1.%2.%3.%4"/>
      <w:lvlJc w:val="left"/>
      <w:pPr>
        <w:tabs>
          <w:tab w:val="num" w:pos="1418"/>
        </w:tabs>
      </w:pPr>
      <w:rPr>
        <w:rFonts w:ascii="Arial" w:hAnsi="Arial" w:cs="Times New Roman" w:hint="default"/>
        <w:i/>
        <w:sz w:val="24"/>
      </w:rPr>
    </w:lvl>
    <w:lvl w:ilvl="4">
      <w:start w:val="1"/>
      <w:numFmt w:val="decimal"/>
      <w:lvlText w:val="%1.%2.%3.%4.%5"/>
      <w:lvlJc w:val="left"/>
      <w:pPr>
        <w:tabs>
          <w:tab w:val="num" w:pos="1278"/>
        </w:tabs>
        <w:ind w:left="1278"/>
      </w:pPr>
      <w:rPr>
        <w:rFonts w:cs="Times New Roman" w:hint="default"/>
      </w:rPr>
    </w:lvl>
    <w:lvl w:ilvl="5">
      <w:start w:val="1"/>
      <w:numFmt w:val="decimal"/>
      <w:lvlText w:val="%1.%2.%3.%4.%5.%6"/>
      <w:lvlJc w:val="left"/>
      <w:pPr>
        <w:tabs>
          <w:tab w:val="num" w:pos="1278"/>
        </w:tabs>
        <w:ind w:left="1278"/>
      </w:pPr>
      <w:rPr>
        <w:rFonts w:cs="Times New Roman" w:hint="default"/>
      </w:rPr>
    </w:lvl>
    <w:lvl w:ilvl="6">
      <w:start w:val="1"/>
      <w:numFmt w:val="decimal"/>
      <w:lvlText w:val="%1.%2.%3.%4.%5.%6.%7"/>
      <w:lvlJc w:val="left"/>
      <w:pPr>
        <w:tabs>
          <w:tab w:val="num" w:pos="1278"/>
        </w:tabs>
        <w:ind w:left="1278"/>
      </w:pPr>
      <w:rPr>
        <w:rFonts w:cs="Times New Roman" w:hint="default"/>
      </w:rPr>
    </w:lvl>
    <w:lvl w:ilvl="7">
      <w:start w:val="1"/>
      <w:numFmt w:val="decimal"/>
      <w:lvlText w:val="%1.%2.%3.%4.%5.%6.%7.%8"/>
      <w:lvlJc w:val="left"/>
      <w:pPr>
        <w:tabs>
          <w:tab w:val="num" w:pos="1278"/>
        </w:tabs>
        <w:ind w:left="1278"/>
      </w:pPr>
      <w:rPr>
        <w:rFonts w:cs="Times New Roman" w:hint="default"/>
      </w:rPr>
    </w:lvl>
    <w:lvl w:ilvl="8">
      <w:start w:val="1"/>
      <w:numFmt w:val="decimal"/>
      <w:lvlText w:val="%1.%2.%3.%4.%5.%6.%7.%8.%9"/>
      <w:lvlJc w:val="left"/>
      <w:pPr>
        <w:tabs>
          <w:tab w:val="num" w:pos="1278"/>
        </w:tabs>
        <w:ind w:left="1278"/>
      </w:pPr>
      <w:rPr>
        <w:rFonts w:cs="Times New Roman" w:hint="default"/>
      </w:rPr>
    </w:lvl>
  </w:abstractNum>
  <w:num w:numId="1">
    <w:abstractNumId w:val="31"/>
  </w:num>
  <w:num w:numId="2">
    <w:abstractNumId w:val="33"/>
  </w:num>
  <w:num w:numId="3">
    <w:abstractNumId w:val="27"/>
  </w:num>
  <w:num w:numId="4">
    <w:abstractNumId w:val="12"/>
  </w:num>
  <w:num w:numId="5">
    <w:abstractNumId w:val="4"/>
  </w:num>
  <w:num w:numId="6">
    <w:abstractNumId w:val="39"/>
  </w:num>
  <w:num w:numId="7">
    <w:abstractNumId w:val="11"/>
    <w:lvlOverride w:ilvl="0">
      <w:startOverride w:val="1"/>
    </w:lvlOverride>
  </w:num>
  <w:num w:numId="8">
    <w:abstractNumId w:val="8"/>
  </w:num>
  <w:num w:numId="9">
    <w:abstractNumId w:val="15"/>
    <w:lvlOverride w:ilvl="0">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5"/>
  </w:num>
  <w:num w:numId="13">
    <w:abstractNumId w:val="10"/>
  </w:num>
  <w:num w:numId="14">
    <w:abstractNumId w:val="34"/>
  </w:num>
  <w:num w:numId="15">
    <w:abstractNumId w:val="38"/>
  </w:num>
  <w:num w:numId="16">
    <w:abstractNumId w:val="26"/>
  </w:num>
  <w:num w:numId="17">
    <w:abstractNumId w:val="15"/>
  </w:num>
  <w:num w:numId="18">
    <w:abstractNumId w:val="20"/>
  </w:num>
  <w:num w:numId="19">
    <w:abstractNumId w:val="7"/>
  </w:num>
  <w:num w:numId="20">
    <w:abstractNumId w:val="23"/>
  </w:num>
  <w:num w:numId="21">
    <w:abstractNumId w:val="36"/>
  </w:num>
  <w:num w:numId="22">
    <w:abstractNumId w:val="6"/>
  </w:num>
  <w:num w:numId="23">
    <w:abstractNumId w:val="2"/>
  </w:num>
  <w:num w:numId="24">
    <w:abstractNumId w:val="22"/>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6"/>
  </w:num>
  <w:num w:numId="29">
    <w:abstractNumId w:val="5"/>
  </w:num>
  <w:num w:numId="30">
    <w:abstractNumId w:val="19"/>
  </w:num>
  <w:num w:numId="31">
    <w:abstractNumId w:val="24"/>
  </w:num>
  <w:num w:numId="32">
    <w:abstractNumId w:val="0"/>
  </w:num>
  <w:num w:numId="33">
    <w:abstractNumId w:val="18"/>
  </w:num>
  <w:num w:numId="34">
    <w:abstractNumId w:val="1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5"/>
    <w:lvlOverride w:ilvl="0">
      <w:startOverride w:val="1"/>
    </w:lvlOverride>
  </w:num>
  <w:num w:numId="38">
    <w:abstractNumId w:val="30"/>
  </w:num>
  <w:num w:numId="39">
    <w:abstractNumId w:val="14"/>
  </w:num>
  <w:num w:numId="40">
    <w:abstractNumId w:val="28"/>
  </w:num>
  <w:num w:numId="41">
    <w:abstractNumId w:val="29"/>
  </w:num>
  <w:num w:numId="42">
    <w:abstractNumId w:val="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21"/>
  </w:num>
  <w:num w:numId="4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5D"/>
    <w:rsid w:val="00000F46"/>
    <w:rsid w:val="000020A1"/>
    <w:rsid w:val="00002717"/>
    <w:rsid w:val="00003BED"/>
    <w:rsid w:val="00003F17"/>
    <w:rsid w:val="00004E31"/>
    <w:rsid w:val="00007241"/>
    <w:rsid w:val="00010959"/>
    <w:rsid w:val="00010E6C"/>
    <w:rsid w:val="000118B0"/>
    <w:rsid w:val="00011911"/>
    <w:rsid w:val="00012BB5"/>
    <w:rsid w:val="000130C9"/>
    <w:rsid w:val="00014DBE"/>
    <w:rsid w:val="00014DFF"/>
    <w:rsid w:val="00014FAA"/>
    <w:rsid w:val="00017D1C"/>
    <w:rsid w:val="000207C3"/>
    <w:rsid w:val="00021A62"/>
    <w:rsid w:val="00022DE5"/>
    <w:rsid w:val="00023BC8"/>
    <w:rsid w:val="00023D59"/>
    <w:rsid w:val="00024BBE"/>
    <w:rsid w:val="00025DF0"/>
    <w:rsid w:val="0002749B"/>
    <w:rsid w:val="000310DA"/>
    <w:rsid w:val="00031715"/>
    <w:rsid w:val="000319AA"/>
    <w:rsid w:val="0003644E"/>
    <w:rsid w:val="000364BF"/>
    <w:rsid w:val="00037049"/>
    <w:rsid w:val="000409FE"/>
    <w:rsid w:val="00040EB8"/>
    <w:rsid w:val="0004444E"/>
    <w:rsid w:val="00045250"/>
    <w:rsid w:val="0004596D"/>
    <w:rsid w:val="00045B26"/>
    <w:rsid w:val="00046D0D"/>
    <w:rsid w:val="00046F6B"/>
    <w:rsid w:val="00047063"/>
    <w:rsid w:val="0004775E"/>
    <w:rsid w:val="00052C9C"/>
    <w:rsid w:val="0005373C"/>
    <w:rsid w:val="0005374C"/>
    <w:rsid w:val="000542DC"/>
    <w:rsid w:val="000557BC"/>
    <w:rsid w:val="00055C57"/>
    <w:rsid w:val="000567CD"/>
    <w:rsid w:val="000573CC"/>
    <w:rsid w:val="00061034"/>
    <w:rsid w:val="00062015"/>
    <w:rsid w:val="0006326C"/>
    <w:rsid w:val="0006467A"/>
    <w:rsid w:val="00064DD2"/>
    <w:rsid w:val="0006659F"/>
    <w:rsid w:val="00066FC5"/>
    <w:rsid w:val="00067985"/>
    <w:rsid w:val="00070686"/>
    <w:rsid w:val="00070D5D"/>
    <w:rsid w:val="00072485"/>
    <w:rsid w:val="00072A42"/>
    <w:rsid w:val="00074051"/>
    <w:rsid w:val="0007444B"/>
    <w:rsid w:val="00074992"/>
    <w:rsid w:val="0007506B"/>
    <w:rsid w:val="00076EEB"/>
    <w:rsid w:val="00077A49"/>
    <w:rsid w:val="00080809"/>
    <w:rsid w:val="000822FE"/>
    <w:rsid w:val="000823F4"/>
    <w:rsid w:val="00084A4F"/>
    <w:rsid w:val="000852E2"/>
    <w:rsid w:val="00085833"/>
    <w:rsid w:val="000858EB"/>
    <w:rsid w:val="000859C5"/>
    <w:rsid w:val="00090C38"/>
    <w:rsid w:val="00093173"/>
    <w:rsid w:val="00093B36"/>
    <w:rsid w:val="0009421F"/>
    <w:rsid w:val="00094F64"/>
    <w:rsid w:val="000950F5"/>
    <w:rsid w:val="000961F8"/>
    <w:rsid w:val="00096A77"/>
    <w:rsid w:val="000979E0"/>
    <w:rsid w:val="00097C13"/>
    <w:rsid w:val="000A0253"/>
    <w:rsid w:val="000A0FA2"/>
    <w:rsid w:val="000A2FF3"/>
    <w:rsid w:val="000A496C"/>
    <w:rsid w:val="000A4ACE"/>
    <w:rsid w:val="000A4CDF"/>
    <w:rsid w:val="000A5B52"/>
    <w:rsid w:val="000B070A"/>
    <w:rsid w:val="000B0CBD"/>
    <w:rsid w:val="000B1C34"/>
    <w:rsid w:val="000B3B3B"/>
    <w:rsid w:val="000B4CAA"/>
    <w:rsid w:val="000B7421"/>
    <w:rsid w:val="000B7A66"/>
    <w:rsid w:val="000C03BC"/>
    <w:rsid w:val="000C0591"/>
    <w:rsid w:val="000C1425"/>
    <w:rsid w:val="000C4EBB"/>
    <w:rsid w:val="000C6089"/>
    <w:rsid w:val="000C61C3"/>
    <w:rsid w:val="000C6497"/>
    <w:rsid w:val="000C75F9"/>
    <w:rsid w:val="000D1958"/>
    <w:rsid w:val="000D3DFC"/>
    <w:rsid w:val="000D4A81"/>
    <w:rsid w:val="000D4B13"/>
    <w:rsid w:val="000D5038"/>
    <w:rsid w:val="000D5E1A"/>
    <w:rsid w:val="000D7A46"/>
    <w:rsid w:val="000E0CB8"/>
    <w:rsid w:val="000E1180"/>
    <w:rsid w:val="000E1BB6"/>
    <w:rsid w:val="000E1E30"/>
    <w:rsid w:val="000E2EEE"/>
    <w:rsid w:val="000E2F74"/>
    <w:rsid w:val="000E32FA"/>
    <w:rsid w:val="000E4356"/>
    <w:rsid w:val="000E4E31"/>
    <w:rsid w:val="000E51CA"/>
    <w:rsid w:val="000E58D4"/>
    <w:rsid w:val="000E6479"/>
    <w:rsid w:val="000E6B0F"/>
    <w:rsid w:val="000F0037"/>
    <w:rsid w:val="000F1BD7"/>
    <w:rsid w:val="000F293F"/>
    <w:rsid w:val="000F396B"/>
    <w:rsid w:val="000F3C99"/>
    <w:rsid w:val="000F4870"/>
    <w:rsid w:val="000F693C"/>
    <w:rsid w:val="000F6ACE"/>
    <w:rsid w:val="00100ABD"/>
    <w:rsid w:val="00100C7D"/>
    <w:rsid w:val="001011CB"/>
    <w:rsid w:val="00102658"/>
    <w:rsid w:val="00105C5D"/>
    <w:rsid w:val="00106B74"/>
    <w:rsid w:val="001076E3"/>
    <w:rsid w:val="00107946"/>
    <w:rsid w:val="0011336B"/>
    <w:rsid w:val="0011394F"/>
    <w:rsid w:val="00113AC0"/>
    <w:rsid w:val="001148CB"/>
    <w:rsid w:val="0011608C"/>
    <w:rsid w:val="00116B1D"/>
    <w:rsid w:val="00117864"/>
    <w:rsid w:val="00117E01"/>
    <w:rsid w:val="00117F7A"/>
    <w:rsid w:val="00120F96"/>
    <w:rsid w:val="00121048"/>
    <w:rsid w:val="001213D9"/>
    <w:rsid w:val="0012175C"/>
    <w:rsid w:val="001217BB"/>
    <w:rsid w:val="00121E7D"/>
    <w:rsid w:val="0012302E"/>
    <w:rsid w:val="00123C8F"/>
    <w:rsid w:val="00124A37"/>
    <w:rsid w:val="0012578F"/>
    <w:rsid w:val="00125FB3"/>
    <w:rsid w:val="00126336"/>
    <w:rsid w:val="0012660E"/>
    <w:rsid w:val="00127D8A"/>
    <w:rsid w:val="00127E4E"/>
    <w:rsid w:val="00134BFD"/>
    <w:rsid w:val="00135715"/>
    <w:rsid w:val="001377CC"/>
    <w:rsid w:val="001377CE"/>
    <w:rsid w:val="00141F75"/>
    <w:rsid w:val="00142AFC"/>
    <w:rsid w:val="00142BC8"/>
    <w:rsid w:val="00143A4D"/>
    <w:rsid w:val="00145114"/>
    <w:rsid w:val="001452CD"/>
    <w:rsid w:val="00146226"/>
    <w:rsid w:val="00146448"/>
    <w:rsid w:val="00146934"/>
    <w:rsid w:val="001503E6"/>
    <w:rsid w:val="00152CAE"/>
    <w:rsid w:val="001559CE"/>
    <w:rsid w:val="001572A8"/>
    <w:rsid w:val="00157779"/>
    <w:rsid w:val="0016297B"/>
    <w:rsid w:val="00162B68"/>
    <w:rsid w:val="00162CEF"/>
    <w:rsid w:val="00163B46"/>
    <w:rsid w:val="00164BB6"/>
    <w:rsid w:val="001650D6"/>
    <w:rsid w:val="00165BEC"/>
    <w:rsid w:val="00166431"/>
    <w:rsid w:val="00167299"/>
    <w:rsid w:val="001678FF"/>
    <w:rsid w:val="00167AA0"/>
    <w:rsid w:val="00167C79"/>
    <w:rsid w:val="001709A6"/>
    <w:rsid w:val="00171154"/>
    <w:rsid w:val="00173D50"/>
    <w:rsid w:val="00174474"/>
    <w:rsid w:val="00175832"/>
    <w:rsid w:val="00175A9F"/>
    <w:rsid w:val="00177DC1"/>
    <w:rsid w:val="00177E7B"/>
    <w:rsid w:val="00181D6D"/>
    <w:rsid w:val="00182345"/>
    <w:rsid w:val="00184118"/>
    <w:rsid w:val="00184343"/>
    <w:rsid w:val="001843DC"/>
    <w:rsid w:val="00184D15"/>
    <w:rsid w:val="0018540A"/>
    <w:rsid w:val="00186952"/>
    <w:rsid w:val="00187519"/>
    <w:rsid w:val="00193255"/>
    <w:rsid w:val="001949B6"/>
    <w:rsid w:val="00194D57"/>
    <w:rsid w:val="00195536"/>
    <w:rsid w:val="001961E9"/>
    <w:rsid w:val="001A0775"/>
    <w:rsid w:val="001A0D0D"/>
    <w:rsid w:val="001A2691"/>
    <w:rsid w:val="001A2F3F"/>
    <w:rsid w:val="001A31FF"/>
    <w:rsid w:val="001A3F6C"/>
    <w:rsid w:val="001A4E37"/>
    <w:rsid w:val="001A55A2"/>
    <w:rsid w:val="001A5ACF"/>
    <w:rsid w:val="001A60CF"/>
    <w:rsid w:val="001A612D"/>
    <w:rsid w:val="001B299E"/>
    <w:rsid w:val="001B2B9B"/>
    <w:rsid w:val="001B495F"/>
    <w:rsid w:val="001B5167"/>
    <w:rsid w:val="001B6324"/>
    <w:rsid w:val="001B663F"/>
    <w:rsid w:val="001B75FF"/>
    <w:rsid w:val="001C184F"/>
    <w:rsid w:val="001C19C7"/>
    <w:rsid w:val="001C1AED"/>
    <w:rsid w:val="001C4126"/>
    <w:rsid w:val="001C56DB"/>
    <w:rsid w:val="001C65DB"/>
    <w:rsid w:val="001C6F92"/>
    <w:rsid w:val="001C7772"/>
    <w:rsid w:val="001D123F"/>
    <w:rsid w:val="001D3AC8"/>
    <w:rsid w:val="001D5340"/>
    <w:rsid w:val="001E03C1"/>
    <w:rsid w:val="001E1ECE"/>
    <w:rsid w:val="001E5577"/>
    <w:rsid w:val="001E6A31"/>
    <w:rsid w:val="001F09FA"/>
    <w:rsid w:val="001F26F0"/>
    <w:rsid w:val="001F2F4A"/>
    <w:rsid w:val="001F78CD"/>
    <w:rsid w:val="00200807"/>
    <w:rsid w:val="00201086"/>
    <w:rsid w:val="002019DF"/>
    <w:rsid w:val="00202496"/>
    <w:rsid w:val="00202A6B"/>
    <w:rsid w:val="002036B2"/>
    <w:rsid w:val="0020463F"/>
    <w:rsid w:val="002048BA"/>
    <w:rsid w:val="00204E0C"/>
    <w:rsid w:val="0020657F"/>
    <w:rsid w:val="002075C4"/>
    <w:rsid w:val="002079C9"/>
    <w:rsid w:val="00211218"/>
    <w:rsid w:val="00211758"/>
    <w:rsid w:val="002129E3"/>
    <w:rsid w:val="002130F1"/>
    <w:rsid w:val="0021372F"/>
    <w:rsid w:val="00214816"/>
    <w:rsid w:val="00217ED5"/>
    <w:rsid w:val="00222364"/>
    <w:rsid w:val="00223C34"/>
    <w:rsid w:val="00223E9B"/>
    <w:rsid w:val="00223F0A"/>
    <w:rsid w:val="00224165"/>
    <w:rsid w:val="002260C1"/>
    <w:rsid w:val="0022745F"/>
    <w:rsid w:val="002308D9"/>
    <w:rsid w:val="002320BA"/>
    <w:rsid w:val="00233160"/>
    <w:rsid w:val="00234A90"/>
    <w:rsid w:val="00236051"/>
    <w:rsid w:val="00236594"/>
    <w:rsid w:val="00236E6B"/>
    <w:rsid w:val="00237FA9"/>
    <w:rsid w:val="00241108"/>
    <w:rsid w:val="0024169C"/>
    <w:rsid w:val="002416C9"/>
    <w:rsid w:val="00241D26"/>
    <w:rsid w:val="00241FFB"/>
    <w:rsid w:val="00244468"/>
    <w:rsid w:val="0024493F"/>
    <w:rsid w:val="00247956"/>
    <w:rsid w:val="0025114E"/>
    <w:rsid w:val="00251D0E"/>
    <w:rsid w:val="00254F56"/>
    <w:rsid w:val="0025650B"/>
    <w:rsid w:val="00257B25"/>
    <w:rsid w:val="002617D2"/>
    <w:rsid w:val="00263B85"/>
    <w:rsid w:val="002649AC"/>
    <w:rsid w:val="002679FB"/>
    <w:rsid w:val="002700C3"/>
    <w:rsid w:val="00271099"/>
    <w:rsid w:val="00271C8C"/>
    <w:rsid w:val="00272175"/>
    <w:rsid w:val="00272DD0"/>
    <w:rsid w:val="002740D2"/>
    <w:rsid w:val="0027566B"/>
    <w:rsid w:val="002767BE"/>
    <w:rsid w:val="00277CD4"/>
    <w:rsid w:val="0028169B"/>
    <w:rsid w:val="0028417D"/>
    <w:rsid w:val="00285B00"/>
    <w:rsid w:val="00286F03"/>
    <w:rsid w:val="002905BE"/>
    <w:rsid w:val="00292CD8"/>
    <w:rsid w:val="0029328E"/>
    <w:rsid w:val="00293DC7"/>
    <w:rsid w:val="00294378"/>
    <w:rsid w:val="0029552E"/>
    <w:rsid w:val="00296848"/>
    <w:rsid w:val="00296ABE"/>
    <w:rsid w:val="00296D4B"/>
    <w:rsid w:val="00297509"/>
    <w:rsid w:val="00297F75"/>
    <w:rsid w:val="002A0575"/>
    <w:rsid w:val="002A32E9"/>
    <w:rsid w:val="002A33C4"/>
    <w:rsid w:val="002A3417"/>
    <w:rsid w:val="002A4A05"/>
    <w:rsid w:val="002A5F05"/>
    <w:rsid w:val="002A62AF"/>
    <w:rsid w:val="002A68E8"/>
    <w:rsid w:val="002A75AA"/>
    <w:rsid w:val="002B001D"/>
    <w:rsid w:val="002B1644"/>
    <w:rsid w:val="002B2D5C"/>
    <w:rsid w:val="002B2DF6"/>
    <w:rsid w:val="002B6766"/>
    <w:rsid w:val="002C0266"/>
    <w:rsid w:val="002C0819"/>
    <w:rsid w:val="002C29DC"/>
    <w:rsid w:val="002C56DE"/>
    <w:rsid w:val="002C591D"/>
    <w:rsid w:val="002C67D0"/>
    <w:rsid w:val="002C7335"/>
    <w:rsid w:val="002C76EF"/>
    <w:rsid w:val="002C7D0D"/>
    <w:rsid w:val="002D2198"/>
    <w:rsid w:val="002D2AD1"/>
    <w:rsid w:val="002D322B"/>
    <w:rsid w:val="002D368D"/>
    <w:rsid w:val="002D3808"/>
    <w:rsid w:val="002D39B5"/>
    <w:rsid w:val="002D3DCB"/>
    <w:rsid w:val="002D47C5"/>
    <w:rsid w:val="002D5DC0"/>
    <w:rsid w:val="002D7BCC"/>
    <w:rsid w:val="002E115C"/>
    <w:rsid w:val="002E1B33"/>
    <w:rsid w:val="002E470A"/>
    <w:rsid w:val="002F2805"/>
    <w:rsid w:val="002F3727"/>
    <w:rsid w:val="002F373E"/>
    <w:rsid w:val="002F471A"/>
    <w:rsid w:val="002F4F5C"/>
    <w:rsid w:val="002F53DE"/>
    <w:rsid w:val="002F5EFD"/>
    <w:rsid w:val="002F61C3"/>
    <w:rsid w:val="002F71EF"/>
    <w:rsid w:val="003000B2"/>
    <w:rsid w:val="00303C0A"/>
    <w:rsid w:val="00304B17"/>
    <w:rsid w:val="0031214D"/>
    <w:rsid w:val="00312C35"/>
    <w:rsid w:val="00312CA2"/>
    <w:rsid w:val="0031330D"/>
    <w:rsid w:val="003141CA"/>
    <w:rsid w:val="0031447D"/>
    <w:rsid w:val="00314DBD"/>
    <w:rsid w:val="00315848"/>
    <w:rsid w:val="00316211"/>
    <w:rsid w:val="00316475"/>
    <w:rsid w:val="00317646"/>
    <w:rsid w:val="00321A8F"/>
    <w:rsid w:val="00321DAC"/>
    <w:rsid w:val="00322580"/>
    <w:rsid w:val="00326062"/>
    <w:rsid w:val="00330B56"/>
    <w:rsid w:val="003314D0"/>
    <w:rsid w:val="0033315F"/>
    <w:rsid w:val="003332AC"/>
    <w:rsid w:val="00335A12"/>
    <w:rsid w:val="00335AFF"/>
    <w:rsid w:val="00337BF9"/>
    <w:rsid w:val="00337D0C"/>
    <w:rsid w:val="0034022A"/>
    <w:rsid w:val="003410DC"/>
    <w:rsid w:val="0034116E"/>
    <w:rsid w:val="003412EF"/>
    <w:rsid w:val="00341F4E"/>
    <w:rsid w:val="003434EC"/>
    <w:rsid w:val="003439EA"/>
    <w:rsid w:val="00352CE8"/>
    <w:rsid w:val="0035336F"/>
    <w:rsid w:val="00353806"/>
    <w:rsid w:val="00353EDF"/>
    <w:rsid w:val="00354659"/>
    <w:rsid w:val="003555B4"/>
    <w:rsid w:val="003567C2"/>
    <w:rsid w:val="00356CE9"/>
    <w:rsid w:val="0035703A"/>
    <w:rsid w:val="003614FB"/>
    <w:rsid w:val="00363111"/>
    <w:rsid w:val="00363DD4"/>
    <w:rsid w:val="00365FA0"/>
    <w:rsid w:val="003665DB"/>
    <w:rsid w:val="003669C1"/>
    <w:rsid w:val="003670C1"/>
    <w:rsid w:val="00367938"/>
    <w:rsid w:val="0037096C"/>
    <w:rsid w:val="00371007"/>
    <w:rsid w:val="00371CDB"/>
    <w:rsid w:val="003730CE"/>
    <w:rsid w:val="00374B7D"/>
    <w:rsid w:val="00374DA8"/>
    <w:rsid w:val="0037544B"/>
    <w:rsid w:val="00375B25"/>
    <w:rsid w:val="003760E0"/>
    <w:rsid w:val="00377296"/>
    <w:rsid w:val="00377566"/>
    <w:rsid w:val="00377C58"/>
    <w:rsid w:val="003801E3"/>
    <w:rsid w:val="00380E9E"/>
    <w:rsid w:val="00383ED3"/>
    <w:rsid w:val="00384082"/>
    <w:rsid w:val="0038492B"/>
    <w:rsid w:val="0038669D"/>
    <w:rsid w:val="00386B2E"/>
    <w:rsid w:val="00390412"/>
    <w:rsid w:val="003908BB"/>
    <w:rsid w:val="00391305"/>
    <w:rsid w:val="00391B87"/>
    <w:rsid w:val="0039273E"/>
    <w:rsid w:val="00392E34"/>
    <w:rsid w:val="003954A4"/>
    <w:rsid w:val="00395911"/>
    <w:rsid w:val="00395ECC"/>
    <w:rsid w:val="00396242"/>
    <w:rsid w:val="003977E9"/>
    <w:rsid w:val="003A0041"/>
    <w:rsid w:val="003A06B2"/>
    <w:rsid w:val="003A0DF7"/>
    <w:rsid w:val="003A1567"/>
    <w:rsid w:val="003A1E72"/>
    <w:rsid w:val="003A4D00"/>
    <w:rsid w:val="003A4DFB"/>
    <w:rsid w:val="003A5132"/>
    <w:rsid w:val="003A5DB6"/>
    <w:rsid w:val="003A6795"/>
    <w:rsid w:val="003A6E90"/>
    <w:rsid w:val="003A7924"/>
    <w:rsid w:val="003A7CBF"/>
    <w:rsid w:val="003B012B"/>
    <w:rsid w:val="003B12DD"/>
    <w:rsid w:val="003B1DA5"/>
    <w:rsid w:val="003B24FE"/>
    <w:rsid w:val="003B3693"/>
    <w:rsid w:val="003B3CB0"/>
    <w:rsid w:val="003B6A8D"/>
    <w:rsid w:val="003B7940"/>
    <w:rsid w:val="003C048F"/>
    <w:rsid w:val="003C2A11"/>
    <w:rsid w:val="003C3911"/>
    <w:rsid w:val="003C4A8F"/>
    <w:rsid w:val="003C5B94"/>
    <w:rsid w:val="003C67C1"/>
    <w:rsid w:val="003D05C9"/>
    <w:rsid w:val="003D0965"/>
    <w:rsid w:val="003D0B8E"/>
    <w:rsid w:val="003D0DCC"/>
    <w:rsid w:val="003D0E89"/>
    <w:rsid w:val="003D2E28"/>
    <w:rsid w:val="003D341F"/>
    <w:rsid w:val="003D3D2C"/>
    <w:rsid w:val="003D5000"/>
    <w:rsid w:val="003D5789"/>
    <w:rsid w:val="003D5CAF"/>
    <w:rsid w:val="003D6955"/>
    <w:rsid w:val="003E11C9"/>
    <w:rsid w:val="003E3860"/>
    <w:rsid w:val="003E450E"/>
    <w:rsid w:val="003E7350"/>
    <w:rsid w:val="003E7E80"/>
    <w:rsid w:val="003F00EF"/>
    <w:rsid w:val="003F2341"/>
    <w:rsid w:val="003F49C3"/>
    <w:rsid w:val="003F5E2B"/>
    <w:rsid w:val="003F6EE8"/>
    <w:rsid w:val="004002C0"/>
    <w:rsid w:val="00402087"/>
    <w:rsid w:val="004023D9"/>
    <w:rsid w:val="0040297B"/>
    <w:rsid w:val="00405E49"/>
    <w:rsid w:val="00406A76"/>
    <w:rsid w:val="004104A3"/>
    <w:rsid w:val="00410A3C"/>
    <w:rsid w:val="00412079"/>
    <w:rsid w:val="0041388E"/>
    <w:rsid w:val="00413D28"/>
    <w:rsid w:val="00413DB3"/>
    <w:rsid w:val="0041488A"/>
    <w:rsid w:val="00414AAA"/>
    <w:rsid w:val="004169EF"/>
    <w:rsid w:val="00416AA2"/>
    <w:rsid w:val="00416B03"/>
    <w:rsid w:val="004202F6"/>
    <w:rsid w:val="00420375"/>
    <w:rsid w:val="00422FD6"/>
    <w:rsid w:val="004231D2"/>
    <w:rsid w:val="0042490A"/>
    <w:rsid w:val="00424AF3"/>
    <w:rsid w:val="0042519A"/>
    <w:rsid w:val="00425D48"/>
    <w:rsid w:val="00430562"/>
    <w:rsid w:val="00431DF8"/>
    <w:rsid w:val="00433698"/>
    <w:rsid w:val="004344DF"/>
    <w:rsid w:val="00436042"/>
    <w:rsid w:val="00437ADD"/>
    <w:rsid w:val="00440343"/>
    <w:rsid w:val="0044061E"/>
    <w:rsid w:val="00440D7A"/>
    <w:rsid w:val="00440FB5"/>
    <w:rsid w:val="0044168A"/>
    <w:rsid w:val="0044585F"/>
    <w:rsid w:val="0044591E"/>
    <w:rsid w:val="00450ACD"/>
    <w:rsid w:val="004514BC"/>
    <w:rsid w:val="004515F8"/>
    <w:rsid w:val="004541AD"/>
    <w:rsid w:val="00454807"/>
    <w:rsid w:val="0045543E"/>
    <w:rsid w:val="004555C0"/>
    <w:rsid w:val="004561F5"/>
    <w:rsid w:val="00460364"/>
    <w:rsid w:val="00460D7B"/>
    <w:rsid w:val="0046392B"/>
    <w:rsid w:val="00463A09"/>
    <w:rsid w:val="004643DE"/>
    <w:rsid w:val="00466529"/>
    <w:rsid w:val="00467FA4"/>
    <w:rsid w:val="004714B1"/>
    <w:rsid w:val="00471BBD"/>
    <w:rsid w:val="00472135"/>
    <w:rsid w:val="004741E7"/>
    <w:rsid w:val="0047449D"/>
    <w:rsid w:val="00474E1F"/>
    <w:rsid w:val="00475220"/>
    <w:rsid w:val="00476F93"/>
    <w:rsid w:val="00480337"/>
    <w:rsid w:val="004833CE"/>
    <w:rsid w:val="00484EF6"/>
    <w:rsid w:val="0048536F"/>
    <w:rsid w:val="004861BE"/>
    <w:rsid w:val="0048620F"/>
    <w:rsid w:val="00486CF4"/>
    <w:rsid w:val="00490AD1"/>
    <w:rsid w:val="0049222C"/>
    <w:rsid w:val="0049225D"/>
    <w:rsid w:val="004924AB"/>
    <w:rsid w:val="0049273C"/>
    <w:rsid w:val="00493088"/>
    <w:rsid w:val="00493296"/>
    <w:rsid w:val="00493FBD"/>
    <w:rsid w:val="00497FBB"/>
    <w:rsid w:val="004A2945"/>
    <w:rsid w:val="004A3A1D"/>
    <w:rsid w:val="004A3C0A"/>
    <w:rsid w:val="004A5219"/>
    <w:rsid w:val="004A58A8"/>
    <w:rsid w:val="004A6598"/>
    <w:rsid w:val="004A69B6"/>
    <w:rsid w:val="004A7695"/>
    <w:rsid w:val="004A7BC8"/>
    <w:rsid w:val="004A7F84"/>
    <w:rsid w:val="004B0B3B"/>
    <w:rsid w:val="004B16E7"/>
    <w:rsid w:val="004B18B3"/>
    <w:rsid w:val="004B381D"/>
    <w:rsid w:val="004B39E1"/>
    <w:rsid w:val="004B3F17"/>
    <w:rsid w:val="004B5AD3"/>
    <w:rsid w:val="004B6993"/>
    <w:rsid w:val="004B7759"/>
    <w:rsid w:val="004C1205"/>
    <w:rsid w:val="004C1891"/>
    <w:rsid w:val="004C4546"/>
    <w:rsid w:val="004C599B"/>
    <w:rsid w:val="004C6C76"/>
    <w:rsid w:val="004C77B9"/>
    <w:rsid w:val="004D0DA5"/>
    <w:rsid w:val="004D4F11"/>
    <w:rsid w:val="004D513C"/>
    <w:rsid w:val="004D53EF"/>
    <w:rsid w:val="004D5E20"/>
    <w:rsid w:val="004D6B4B"/>
    <w:rsid w:val="004D6D9E"/>
    <w:rsid w:val="004D7DF8"/>
    <w:rsid w:val="004E1180"/>
    <w:rsid w:val="004E2069"/>
    <w:rsid w:val="004E27D2"/>
    <w:rsid w:val="004E4FCD"/>
    <w:rsid w:val="004E5AE0"/>
    <w:rsid w:val="004E623E"/>
    <w:rsid w:val="004E684B"/>
    <w:rsid w:val="004E79E2"/>
    <w:rsid w:val="004F0A8E"/>
    <w:rsid w:val="004F145F"/>
    <w:rsid w:val="004F245D"/>
    <w:rsid w:val="004F3A79"/>
    <w:rsid w:val="004F6F02"/>
    <w:rsid w:val="004F7589"/>
    <w:rsid w:val="004F7B75"/>
    <w:rsid w:val="0050031B"/>
    <w:rsid w:val="00500AF6"/>
    <w:rsid w:val="005035E8"/>
    <w:rsid w:val="00503DC4"/>
    <w:rsid w:val="00504A30"/>
    <w:rsid w:val="00504DA3"/>
    <w:rsid w:val="00505159"/>
    <w:rsid w:val="005076F7"/>
    <w:rsid w:val="00507D47"/>
    <w:rsid w:val="00510B10"/>
    <w:rsid w:val="00512F68"/>
    <w:rsid w:val="005138BD"/>
    <w:rsid w:val="005167E4"/>
    <w:rsid w:val="00517658"/>
    <w:rsid w:val="0051793B"/>
    <w:rsid w:val="00517CB1"/>
    <w:rsid w:val="00521098"/>
    <w:rsid w:val="00521F62"/>
    <w:rsid w:val="005232DF"/>
    <w:rsid w:val="00523C30"/>
    <w:rsid w:val="00524637"/>
    <w:rsid w:val="0052503A"/>
    <w:rsid w:val="0052611A"/>
    <w:rsid w:val="00527525"/>
    <w:rsid w:val="005275A6"/>
    <w:rsid w:val="00530585"/>
    <w:rsid w:val="0053119D"/>
    <w:rsid w:val="00533999"/>
    <w:rsid w:val="00534312"/>
    <w:rsid w:val="005365EE"/>
    <w:rsid w:val="00537035"/>
    <w:rsid w:val="00541AEB"/>
    <w:rsid w:val="00544239"/>
    <w:rsid w:val="005442D7"/>
    <w:rsid w:val="0054531E"/>
    <w:rsid w:val="00547043"/>
    <w:rsid w:val="00547B2A"/>
    <w:rsid w:val="0055248C"/>
    <w:rsid w:val="00552C72"/>
    <w:rsid w:val="00553E9F"/>
    <w:rsid w:val="00555B1E"/>
    <w:rsid w:val="00557254"/>
    <w:rsid w:val="0055786D"/>
    <w:rsid w:val="00560218"/>
    <w:rsid w:val="00560F97"/>
    <w:rsid w:val="0056248A"/>
    <w:rsid w:val="00564024"/>
    <w:rsid w:val="00564F7E"/>
    <w:rsid w:val="00564FB0"/>
    <w:rsid w:val="00565078"/>
    <w:rsid w:val="00565C91"/>
    <w:rsid w:val="005717F0"/>
    <w:rsid w:val="005727FC"/>
    <w:rsid w:val="00573E87"/>
    <w:rsid w:val="005747C9"/>
    <w:rsid w:val="00574B8F"/>
    <w:rsid w:val="00577BF6"/>
    <w:rsid w:val="00577FF5"/>
    <w:rsid w:val="00580B45"/>
    <w:rsid w:val="0058108A"/>
    <w:rsid w:val="005810DB"/>
    <w:rsid w:val="005815EC"/>
    <w:rsid w:val="00581809"/>
    <w:rsid w:val="00583A75"/>
    <w:rsid w:val="005849DE"/>
    <w:rsid w:val="005860DD"/>
    <w:rsid w:val="005874E0"/>
    <w:rsid w:val="00587545"/>
    <w:rsid w:val="005900DE"/>
    <w:rsid w:val="005904AE"/>
    <w:rsid w:val="0059050A"/>
    <w:rsid w:val="00590A19"/>
    <w:rsid w:val="00590C02"/>
    <w:rsid w:val="00590F97"/>
    <w:rsid w:val="00593B69"/>
    <w:rsid w:val="00593D22"/>
    <w:rsid w:val="005942B0"/>
    <w:rsid w:val="0059480D"/>
    <w:rsid w:val="00594ACE"/>
    <w:rsid w:val="00594D9B"/>
    <w:rsid w:val="00595CF0"/>
    <w:rsid w:val="00595D48"/>
    <w:rsid w:val="00597AE4"/>
    <w:rsid w:val="00597B39"/>
    <w:rsid w:val="005A2030"/>
    <w:rsid w:val="005A3A81"/>
    <w:rsid w:val="005A3FE2"/>
    <w:rsid w:val="005A5799"/>
    <w:rsid w:val="005A5DC8"/>
    <w:rsid w:val="005A6AAF"/>
    <w:rsid w:val="005A74E6"/>
    <w:rsid w:val="005A7ABD"/>
    <w:rsid w:val="005B0495"/>
    <w:rsid w:val="005B1A57"/>
    <w:rsid w:val="005B1D27"/>
    <w:rsid w:val="005B29F0"/>
    <w:rsid w:val="005B79E7"/>
    <w:rsid w:val="005B7D1B"/>
    <w:rsid w:val="005C02E0"/>
    <w:rsid w:val="005C0746"/>
    <w:rsid w:val="005C0A5E"/>
    <w:rsid w:val="005C372A"/>
    <w:rsid w:val="005C3ABF"/>
    <w:rsid w:val="005C48E8"/>
    <w:rsid w:val="005C4BED"/>
    <w:rsid w:val="005C58BB"/>
    <w:rsid w:val="005C6416"/>
    <w:rsid w:val="005C6E29"/>
    <w:rsid w:val="005D11D0"/>
    <w:rsid w:val="005D2D06"/>
    <w:rsid w:val="005D2FB7"/>
    <w:rsid w:val="005D5A5F"/>
    <w:rsid w:val="005D7B30"/>
    <w:rsid w:val="005E02BA"/>
    <w:rsid w:val="005E0BAA"/>
    <w:rsid w:val="005E0EC0"/>
    <w:rsid w:val="005E1D58"/>
    <w:rsid w:val="005E388A"/>
    <w:rsid w:val="005E4668"/>
    <w:rsid w:val="005E47F5"/>
    <w:rsid w:val="005E5FD2"/>
    <w:rsid w:val="005E763A"/>
    <w:rsid w:val="005F1A70"/>
    <w:rsid w:val="005F242A"/>
    <w:rsid w:val="005F2477"/>
    <w:rsid w:val="005F254C"/>
    <w:rsid w:val="005F3D1D"/>
    <w:rsid w:val="005F5851"/>
    <w:rsid w:val="005F6CBE"/>
    <w:rsid w:val="00600A5D"/>
    <w:rsid w:val="00600B80"/>
    <w:rsid w:val="0060181D"/>
    <w:rsid w:val="00601C64"/>
    <w:rsid w:val="00601F42"/>
    <w:rsid w:val="00602369"/>
    <w:rsid w:val="00602AC5"/>
    <w:rsid w:val="00603112"/>
    <w:rsid w:val="006036A0"/>
    <w:rsid w:val="006041D4"/>
    <w:rsid w:val="006053BB"/>
    <w:rsid w:val="00605938"/>
    <w:rsid w:val="0060655D"/>
    <w:rsid w:val="006070D0"/>
    <w:rsid w:val="00607540"/>
    <w:rsid w:val="00610D83"/>
    <w:rsid w:val="00611A36"/>
    <w:rsid w:val="006122F3"/>
    <w:rsid w:val="00612380"/>
    <w:rsid w:val="006157B9"/>
    <w:rsid w:val="00617414"/>
    <w:rsid w:val="00620E0F"/>
    <w:rsid w:val="006214F2"/>
    <w:rsid w:val="00622850"/>
    <w:rsid w:val="006228B0"/>
    <w:rsid w:val="00623B19"/>
    <w:rsid w:val="00623BF3"/>
    <w:rsid w:val="00623C25"/>
    <w:rsid w:val="0062462F"/>
    <w:rsid w:val="00625B87"/>
    <w:rsid w:val="00625D45"/>
    <w:rsid w:val="0063026F"/>
    <w:rsid w:val="00632D8A"/>
    <w:rsid w:val="006358B0"/>
    <w:rsid w:val="006430DF"/>
    <w:rsid w:val="00644335"/>
    <w:rsid w:val="006445D3"/>
    <w:rsid w:val="0064722E"/>
    <w:rsid w:val="00647533"/>
    <w:rsid w:val="00647577"/>
    <w:rsid w:val="00652CB8"/>
    <w:rsid w:val="006541D0"/>
    <w:rsid w:val="00654A7E"/>
    <w:rsid w:val="00654C09"/>
    <w:rsid w:val="0065647A"/>
    <w:rsid w:val="00657A55"/>
    <w:rsid w:val="00657F66"/>
    <w:rsid w:val="00660893"/>
    <w:rsid w:val="00662423"/>
    <w:rsid w:val="00662875"/>
    <w:rsid w:val="00662ABF"/>
    <w:rsid w:val="0066769F"/>
    <w:rsid w:val="0066779B"/>
    <w:rsid w:val="00667987"/>
    <w:rsid w:val="0067030E"/>
    <w:rsid w:val="0067273B"/>
    <w:rsid w:val="0067338F"/>
    <w:rsid w:val="00673B29"/>
    <w:rsid w:val="00674C8A"/>
    <w:rsid w:val="00675481"/>
    <w:rsid w:val="00677E75"/>
    <w:rsid w:val="00680699"/>
    <w:rsid w:val="00680EB2"/>
    <w:rsid w:val="00681635"/>
    <w:rsid w:val="006819A3"/>
    <w:rsid w:val="006830CC"/>
    <w:rsid w:val="00683AAF"/>
    <w:rsid w:val="00683D7F"/>
    <w:rsid w:val="00684995"/>
    <w:rsid w:val="00684A47"/>
    <w:rsid w:val="00686600"/>
    <w:rsid w:val="006875E0"/>
    <w:rsid w:val="00687B46"/>
    <w:rsid w:val="0069011A"/>
    <w:rsid w:val="0069055D"/>
    <w:rsid w:val="006918B2"/>
    <w:rsid w:val="0069237C"/>
    <w:rsid w:val="006938B6"/>
    <w:rsid w:val="0069399D"/>
    <w:rsid w:val="00696EBB"/>
    <w:rsid w:val="00697895"/>
    <w:rsid w:val="006A2989"/>
    <w:rsid w:val="006A2FE2"/>
    <w:rsid w:val="006A3C94"/>
    <w:rsid w:val="006A3E9A"/>
    <w:rsid w:val="006A54AE"/>
    <w:rsid w:val="006A611F"/>
    <w:rsid w:val="006B0F8D"/>
    <w:rsid w:val="006B1949"/>
    <w:rsid w:val="006B2B52"/>
    <w:rsid w:val="006B33B3"/>
    <w:rsid w:val="006B4A4C"/>
    <w:rsid w:val="006B4FA2"/>
    <w:rsid w:val="006B5471"/>
    <w:rsid w:val="006B558A"/>
    <w:rsid w:val="006B5AD8"/>
    <w:rsid w:val="006B5EB3"/>
    <w:rsid w:val="006B6198"/>
    <w:rsid w:val="006C19BE"/>
    <w:rsid w:val="006C1DE9"/>
    <w:rsid w:val="006C2780"/>
    <w:rsid w:val="006C2EAC"/>
    <w:rsid w:val="006C43C6"/>
    <w:rsid w:val="006C4B0B"/>
    <w:rsid w:val="006C51CE"/>
    <w:rsid w:val="006C575F"/>
    <w:rsid w:val="006C5C8E"/>
    <w:rsid w:val="006C6E18"/>
    <w:rsid w:val="006D37EE"/>
    <w:rsid w:val="006D443B"/>
    <w:rsid w:val="006D4B49"/>
    <w:rsid w:val="006D597B"/>
    <w:rsid w:val="006D62A9"/>
    <w:rsid w:val="006D6665"/>
    <w:rsid w:val="006D6704"/>
    <w:rsid w:val="006D75CE"/>
    <w:rsid w:val="006E3E9D"/>
    <w:rsid w:val="006E6B93"/>
    <w:rsid w:val="006E6F64"/>
    <w:rsid w:val="006E7EA7"/>
    <w:rsid w:val="006F31C8"/>
    <w:rsid w:val="006F37FB"/>
    <w:rsid w:val="006F4C95"/>
    <w:rsid w:val="006F5AA3"/>
    <w:rsid w:val="006F690D"/>
    <w:rsid w:val="006F7870"/>
    <w:rsid w:val="006F7AEB"/>
    <w:rsid w:val="00700104"/>
    <w:rsid w:val="00701284"/>
    <w:rsid w:val="00703175"/>
    <w:rsid w:val="00704405"/>
    <w:rsid w:val="00704FAA"/>
    <w:rsid w:val="0070764A"/>
    <w:rsid w:val="007076FD"/>
    <w:rsid w:val="0071153D"/>
    <w:rsid w:val="00711CA1"/>
    <w:rsid w:val="007123F9"/>
    <w:rsid w:val="00712E3A"/>
    <w:rsid w:val="00713043"/>
    <w:rsid w:val="007136F0"/>
    <w:rsid w:val="00713A1D"/>
    <w:rsid w:val="00713D8C"/>
    <w:rsid w:val="007149D5"/>
    <w:rsid w:val="0071555E"/>
    <w:rsid w:val="0071729E"/>
    <w:rsid w:val="00720E27"/>
    <w:rsid w:val="0072186C"/>
    <w:rsid w:val="007226F9"/>
    <w:rsid w:val="00722728"/>
    <w:rsid w:val="0072372F"/>
    <w:rsid w:val="00723ACE"/>
    <w:rsid w:val="00724662"/>
    <w:rsid w:val="00725743"/>
    <w:rsid w:val="00725D6A"/>
    <w:rsid w:val="00727D98"/>
    <w:rsid w:val="0073035F"/>
    <w:rsid w:val="00730421"/>
    <w:rsid w:val="00730492"/>
    <w:rsid w:val="00731B32"/>
    <w:rsid w:val="00732B2F"/>
    <w:rsid w:val="0073304C"/>
    <w:rsid w:val="00735ACC"/>
    <w:rsid w:val="00736F35"/>
    <w:rsid w:val="007377F7"/>
    <w:rsid w:val="007400E0"/>
    <w:rsid w:val="00740981"/>
    <w:rsid w:val="00740CC8"/>
    <w:rsid w:val="00742B2C"/>
    <w:rsid w:val="007438D1"/>
    <w:rsid w:val="0074527D"/>
    <w:rsid w:val="0074542B"/>
    <w:rsid w:val="00745E34"/>
    <w:rsid w:val="00745E9F"/>
    <w:rsid w:val="0074645A"/>
    <w:rsid w:val="007467D9"/>
    <w:rsid w:val="00746B4E"/>
    <w:rsid w:val="007478B3"/>
    <w:rsid w:val="007504F6"/>
    <w:rsid w:val="0075065A"/>
    <w:rsid w:val="007517BE"/>
    <w:rsid w:val="00751AC4"/>
    <w:rsid w:val="00752589"/>
    <w:rsid w:val="00753D74"/>
    <w:rsid w:val="00754433"/>
    <w:rsid w:val="00754EF9"/>
    <w:rsid w:val="0075680B"/>
    <w:rsid w:val="00763788"/>
    <w:rsid w:val="00763919"/>
    <w:rsid w:val="00764810"/>
    <w:rsid w:val="00765A10"/>
    <w:rsid w:val="00766E70"/>
    <w:rsid w:val="00767010"/>
    <w:rsid w:val="0076749F"/>
    <w:rsid w:val="007674A7"/>
    <w:rsid w:val="00770579"/>
    <w:rsid w:val="00773271"/>
    <w:rsid w:val="00774495"/>
    <w:rsid w:val="00775069"/>
    <w:rsid w:val="00776395"/>
    <w:rsid w:val="007764C1"/>
    <w:rsid w:val="00776F48"/>
    <w:rsid w:val="007802DF"/>
    <w:rsid w:val="00781D00"/>
    <w:rsid w:val="007841B3"/>
    <w:rsid w:val="0078424B"/>
    <w:rsid w:val="00784FBF"/>
    <w:rsid w:val="00784FE3"/>
    <w:rsid w:val="00785F70"/>
    <w:rsid w:val="00787C12"/>
    <w:rsid w:val="00790E09"/>
    <w:rsid w:val="00790E4B"/>
    <w:rsid w:val="0079101F"/>
    <w:rsid w:val="007914B1"/>
    <w:rsid w:val="00791CF0"/>
    <w:rsid w:val="007925DC"/>
    <w:rsid w:val="00792739"/>
    <w:rsid w:val="00792DBA"/>
    <w:rsid w:val="007938EE"/>
    <w:rsid w:val="00793AA6"/>
    <w:rsid w:val="00794459"/>
    <w:rsid w:val="00795DB8"/>
    <w:rsid w:val="00796794"/>
    <w:rsid w:val="007979DA"/>
    <w:rsid w:val="007A016B"/>
    <w:rsid w:val="007A1341"/>
    <w:rsid w:val="007A239E"/>
    <w:rsid w:val="007A2718"/>
    <w:rsid w:val="007A2CC3"/>
    <w:rsid w:val="007A3053"/>
    <w:rsid w:val="007A4E27"/>
    <w:rsid w:val="007A6336"/>
    <w:rsid w:val="007A686E"/>
    <w:rsid w:val="007A6FAB"/>
    <w:rsid w:val="007B0795"/>
    <w:rsid w:val="007B14E7"/>
    <w:rsid w:val="007B353E"/>
    <w:rsid w:val="007B5416"/>
    <w:rsid w:val="007B58A8"/>
    <w:rsid w:val="007B6A24"/>
    <w:rsid w:val="007C16A8"/>
    <w:rsid w:val="007C3CF5"/>
    <w:rsid w:val="007C46EF"/>
    <w:rsid w:val="007C516B"/>
    <w:rsid w:val="007C5DE0"/>
    <w:rsid w:val="007C61E1"/>
    <w:rsid w:val="007C6D91"/>
    <w:rsid w:val="007C7B63"/>
    <w:rsid w:val="007D1700"/>
    <w:rsid w:val="007D19E8"/>
    <w:rsid w:val="007D384F"/>
    <w:rsid w:val="007D49BC"/>
    <w:rsid w:val="007D4B24"/>
    <w:rsid w:val="007D590C"/>
    <w:rsid w:val="007D6346"/>
    <w:rsid w:val="007D6D85"/>
    <w:rsid w:val="007E0A12"/>
    <w:rsid w:val="007E2AC7"/>
    <w:rsid w:val="007E2BF2"/>
    <w:rsid w:val="007E6984"/>
    <w:rsid w:val="007E774C"/>
    <w:rsid w:val="007F232C"/>
    <w:rsid w:val="007F37DB"/>
    <w:rsid w:val="007F3F2A"/>
    <w:rsid w:val="007F4B6A"/>
    <w:rsid w:val="007F4F0D"/>
    <w:rsid w:val="007F6629"/>
    <w:rsid w:val="007F72FA"/>
    <w:rsid w:val="00800684"/>
    <w:rsid w:val="0080068B"/>
    <w:rsid w:val="00800A15"/>
    <w:rsid w:val="0080124C"/>
    <w:rsid w:val="008033A0"/>
    <w:rsid w:val="00804B68"/>
    <w:rsid w:val="008061DC"/>
    <w:rsid w:val="008078DC"/>
    <w:rsid w:val="008107C9"/>
    <w:rsid w:val="00811D66"/>
    <w:rsid w:val="00811FCA"/>
    <w:rsid w:val="0081377D"/>
    <w:rsid w:val="00813C12"/>
    <w:rsid w:val="0081593C"/>
    <w:rsid w:val="00817A09"/>
    <w:rsid w:val="00820ADF"/>
    <w:rsid w:val="00820B84"/>
    <w:rsid w:val="00824355"/>
    <w:rsid w:val="00825690"/>
    <w:rsid w:val="00825EF1"/>
    <w:rsid w:val="00831182"/>
    <w:rsid w:val="00841212"/>
    <w:rsid w:val="00841A9F"/>
    <w:rsid w:val="0084331C"/>
    <w:rsid w:val="00843BCA"/>
    <w:rsid w:val="00844617"/>
    <w:rsid w:val="008455AD"/>
    <w:rsid w:val="00845605"/>
    <w:rsid w:val="00846B05"/>
    <w:rsid w:val="00847E1A"/>
    <w:rsid w:val="0085164F"/>
    <w:rsid w:val="00852C6C"/>
    <w:rsid w:val="00853094"/>
    <w:rsid w:val="00853A98"/>
    <w:rsid w:val="00854157"/>
    <w:rsid w:val="008568E0"/>
    <w:rsid w:val="0085750C"/>
    <w:rsid w:val="00857882"/>
    <w:rsid w:val="00857D3A"/>
    <w:rsid w:val="00860700"/>
    <w:rsid w:val="00861406"/>
    <w:rsid w:val="00861CB9"/>
    <w:rsid w:val="00862583"/>
    <w:rsid w:val="00863A3F"/>
    <w:rsid w:val="00864543"/>
    <w:rsid w:val="008652F8"/>
    <w:rsid w:val="008655C5"/>
    <w:rsid w:val="00866106"/>
    <w:rsid w:val="00866221"/>
    <w:rsid w:val="008665AA"/>
    <w:rsid w:val="00871925"/>
    <w:rsid w:val="00871AA9"/>
    <w:rsid w:val="00872050"/>
    <w:rsid w:val="00874E01"/>
    <w:rsid w:val="00874E70"/>
    <w:rsid w:val="0087640B"/>
    <w:rsid w:val="00877D2D"/>
    <w:rsid w:val="00880D16"/>
    <w:rsid w:val="008819B0"/>
    <w:rsid w:val="00881C10"/>
    <w:rsid w:val="00887813"/>
    <w:rsid w:val="008909AF"/>
    <w:rsid w:val="0089152B"/>
    <w:rsid w:val="00891884"/>
    <w:rsid w:val="008922B8"/>
    <w:rsid w:val="00893011"/>
    <w:rsid w:val="008937EE"/>
    <w:rsid w:val="00894425"/>
    <w:rsid w:val="00897303"/>
    <w:rsid w:val="008A096C"/>
    <w:rsid w:val="008A1282"/>
    <w:rsid w:val="008A4521"/>
    <w:rsid w:val="008A5192"/>
    <w:rsid w:val="008A55C4"/>
    <w:rsid w:val="008A656A"/>
    <w:rsid w:val="008B2059"/>
    <w:rsid w:val="008B3F2D"/>
    <w:rsid w:val="008B4F88"/>
    <w:rsid w:val="008B6444"/>
    <w:rsid w:val="008B6F30"/>
    <w:rsid w:val="008C00A5"/>
    <w:rsid w:val="008C038C"/>
    <w:rsid w:val="008C048A"/>
    <w:rsid w:val="008C3287"/>
    <w:rsid w:val="008C5A1E"/>
    <w:rsid w:val="008C5E16"/>
    <w:rsid w:val="008C7BF9"/>
    <w:rsid w:val="008D0C6A"/>
    <w:rsid w:val="008D161D"/>
    <w:rsid w:val="008D1D12"/>
    <w:rsid w:val="008D41FE"/>
    <w:rsid w:val="008D424B"/>
    <w:rsid w:val="008D46C2"/>
    <w:rsid w:val="008D4A00"/>
    <w:rsid w:val="008D5A41"/>
    <w:rsid w:val="008D6233"/>
    <w:rsid w:val="008D62D1"/>
    <w:rsid w:val="008D71B7"/>
    <w:rsid w:val="008D7629"/>
    <w:rsid w:val="008E0028"/>
    <w:rsid w:val="008E0BE6"/>
    <w:rsid w:val="008E41C9"/>
    <w:rsid w:val="008E4734"/>
    <w:rsid w:val="008F182D"/>
    <w:rsid w:val="008F277F"/>
    <w:rsid w:val="008F45B2"/>
    <w:rsid w:val="008F481B"/>
    <w:rsid w:val="008F6224"/>
    <w:rsid w:val="008F6BBF"/>
    <w:rsid w:val="008F6DB7"/>
    <w:rsid w:val="00901986"/>
    <w:rsid w:val="00902E63"/>
    <w:rsid w:val="009039FA"/>
    <w:rsid w:val="00903B95"/>
    <w:rsid w:val="00903E0F"/>
    <w:rsid w:val="0090475B"/>
    <w:rsid w:val="00904800"/>
    <w:rsid w:val="009051A4"/>
    <w:rsid w:val="00910523"/>
    <w:rsid w:val="00910AEF"/>
    <w:rsid w:val="009116C9"/>
    <w:rsid w:val="009124A5"/>
    <w:rsid w:val="00912BBA"/>
    <w:rsid w:val="00914337"/>
    <w:rsid w:val="00914591"/>
    <w:rsid w:val="00916308"/>
    <w:rsid w:val="00920DA5"/>
    <w:rsid w:val="00921B6C"/>
    <w:rsid w:val="00922099"/>
    <w:rsid w:val="00922A3D"/>
    <w:rsid w:val="00926984"/>
    <w:rsid w:val="00927E42"/>
    <w:rsid w:val="00930D95"/>
    <w:rsid w:val="0093147C"/>
    <w:rsid w:val="009334BC"/>
    <w:rsid w:val="00933E8F"/>
    <w:rsid w:val="00940B05"/>
    <w:rsid w:val="00942678"/>
    <w:rsid w:val="00943217"/>
    <w:rsid w:val="00944E8E"/>
    <w:rsid w:val="00945C9A"/>
    <w:rsid w:val="009464DB"/>
    <w:rsid w:val="0094653F"/>
    <w:rsid w:val="0095190F"/>
    <w:rsid w:val="0095238A"/>
    <w:rsid w:val="00952B31"/>
    <w:rsid w:val="009535DE"/>
    <w:rsid w:val="00955BB1"/>
    <w:rsid w:val="00957644"/>
    <w:rsid w:val="00961EF8"/>
    <w:rsid w:val="00961F0B"/>
    <w:rsid w:val="00962578"/>
    <w:rsid w:val="00966A1F"/>
    <w:rsid w:val="009674E6"/>
    <w:rsid w:val="00967F1B"/>
    <w:rsid w:val="009708A9"/>
    <w:rsid w:val="00971BBF"/>
    <w:rsid w:val="009751FE"/>
    <w:rsid w:val="0097610F"/>
    <w:rsid w:val="00983B05"/>
    <w:rsid w:val="00985CE5"/>
    <w:rsid w:val="00986A4D"/>
    <w:rsid w:val="00987486"/>
    <w:rsid w:val="00987560"/>
    <w:rsid w:val="00991F75"/>
    <w:rsid w:val="009922ED"/>
    <w:rsid w:val="009925E8"/>
    <w:rsid w:val="0099378F"/>
    <w:rsid w:val="0099743F"/>
    <w:rsid w:val="009A0FAA"/>
    <w:rsid w:val="009A1160"/>
    <w:rsid w:val="009A1EED"/>
    <w:rsid w:val="009A3980"/>
    <w:rsid w:val="009A479F"/>
    <w:rsid w:val="009A5A20"/>
    <w:rsid w:val="009A5F20"/>
    <w:rsid w:val="009A68F3"/>
    <w:rsid w:val="009A6C87"/>
    <w:rsid w:val="009B0DD6"/>
    <w:rsid w:val="009B148F"/>
    <w:rsid w:val="009B1AD9"/>
    <w:rsid w:val="009B3A76"/>
    <w:rsid w:val="009B3D4B"/>
    <w:rsid w:val="009B4885"/>
    <w:rsid w:val="009B4D8D"/>
    <w:rsid w:val="009B53FD"/>
    <w:rsid w:val="009B6040"/>
    <w:rsid w:val="009B6DB1"/>
    <w:rsid w:val="009B7AC8"/>
    <w:rsid w:val="009C0A5E"/>
    <w:rsid w:val="009C1302"/>
    <w:rsid w:val="009C213A"/>
    <w:rsid w:val="009C2CFA"/>
    <w:rsid w:val="009C2F28"/>
    <w:rsid w:val="009C3CD5"/>
    <w:rsid w:val="009C46C6"/>
    <w:rsid w:val="009C4E06"/>
    <w:rsid w:val="009D15D1"/>
    <w:rsid w:val="009D1A55"/>
    <w:rsid w:val="009D1EE9"/>
    <w:rsid w:val="009D1F5E"/>
    <w:rsid w:val="009D3E0C"/>
    <w:rsid w:val="009E049A"/>
    <w:rsid w:val="009E12C3"/>
    <w:rsid w:val="009E13F2"/>
    <w:rsid w:val="009E1E93"/>
    <w:rsid w:val="009E24E9"/>
    <w:rsid w:val="009E2767"/>
    <w:rsid w:val="009E5151"/>
    <w:rsid w:val="009E5845"/>
    <w:rsid w:val="009E73F2"/>
    <w:rsid w:val="009F00F0"/>
    <w:rsid w:val="009F0994"/>
    <w:rsid w:val="009F0AEA"/>
    <w:rsid w:val="009F266B"/>
    <w:rsid w:val="009F4853"/>
    <w:rsid w:val="009F4C3B"/>
    <w:rsid w:val="009F58D2"/>
    <w:rsid w:val="009F590E"/>
    <w:rsid w:val="009F5CD7"/>
    <w:rsid w:val="00A03951"/>
    <w:rsid w:val="00A0406A"/>
    <w:rsid w:val="00A06924"/>
    <w:rsid w:val="00A06C00"/>
    <w:rsid w:val="00A072CD"/>
    <w:rsid w:val="00A07EB1"/>
    <w:rsid w:val="00A102A0"/>
    <w:rsid w:val="00A1048B"/>
    <w:rsid w:val="00A10E3B"/>
    <w:rsid w:val="00A11F7D"/>
    <w:rsid w:val="00A12301"/>
    <w:rsid w:val="00A128A3"/>
    <w:rsid w:val="00A12A12"/>
    <w:rsid w:val="00A13BA1"/>
    <w:rsid w:val="00A14037"/>
    <w:rsid w:val="00A15AA8"/>
    <w:rsid w:val="00A15CDF"/>
    <w:rsid w:val="00A16039"/>
    <w:rsid w:val="00A17153"/>
    <w:rsid w:val="00A17840"/>
    <w:rsid w:val="00A20946"/>
    <w:rsid w:val="00A21EBD"/>
    <w:rsid w:val="00A22100"/>
    <w:rsid w:val="00A222FB"/>
    <w:rsid w:val="00A22A51"/>
    <w:rsid w:val="00A24659"/>
    <w:rsid w:val="00A26788"/>
    <w:rsid w:val="00A32650"/>
    <w:rsid w:val="00A3389D"/>
    <w:rsid w:val="00A341AB"/>
    <w:rsid w:val="00A342AF"/>
    <w:rsid w:val="00A34568"/>
    <w:rsid w:val="00A348F3"/>
    <w:rsid w:val="00A3604D"/>
    <w:rsid w:val="00A36190"/>
    <w:rsid w:val="00A3646A"/>
    <w:rsid w:val="00A364BB"/>
    <w:rsid w:val="00A36C59"/>
    <w:rsid w:val="00A372FE"/>
    <w:rsid w:val="00A3733C"/>
    <w:rsid w:val="00A407D4"/>
    <w:rsid w:val="00A40AA6"/>
    <w:rsid w:val="00A4241F"/>
    <w:rsid w:val="00A429D8"/>
    <w:rsid w:val="00A42B60"/>
    <w:rsid w:val="00A44940"/>
    <w:rsid w:val="00A44C07"/>
    <w:rsid w:val="00A455CF"/>
    <w:rsid w:val="00A4588F"/>
    <w:rsid w:val="00A46F5F"/>
    <w:rsid w:val="00A470F1"/>
    <w:rsid w:val="00A5036A"/>
    <w:rsid w:val="00A503AB"/>
    <w:rsid w:val="00A50546"/>
    <w:rsid w:val="00A506AB"/>
    <w:rsid w:val="00A50F15"/>
    <w:rsid w:val="00A53D8A"/>
    <w:rsid w:val="00A54312"/>
    <w:rsid w:val="00A54E7F"/>
    <w:rsid w:val="00A56624"/>
    <w:rsid w:val="00A57001"/>
    <w:rsid w:val="00A575BF"/>
    <w:rsid w:val="00A616BA"/>
    <w:rsid w:val="00A619B1"/>
    <w:rsid w:val="00A638D5"/>
    <w:rsid w:val="00A66A7B"/>
    <w:rsid w:val="00A66D30"/>
    <w:rsid w:val="00A6720E"/>
    <w:rsid w:val="00A67677"/>
    <w:rsid w:val="00A70E66"/>
    <w:rsid w:val="00A71CF9"/>
    <w:rsid w:val="00A753D5"/>
    <w:rsid w:val="00A7542B"/>
    <w:rsid w:val="00A76140"/>
    <w:rsid w:val="00A7697F"/>
    <w:rsid w:val="00A77AF4"/>
    <w:rsid w:val="00A77B11"/>
    <w:rsid w:val="00A77F05"/>
    <w:rsid w:val="00A80FF5"/>
    <w:rsid w:val="00A81481"/>
    <w:rsid w:val="00A823A2"/>
    <w:rsid w:val="00A823CE"/>
    <w:rsid w:val="00A8268E"/>
    <w:rsid w:val="00A83390"/>
    <w:rsid w:val="00A84FB3"/>
    <w:rsid w:val="00A863D9"/>
    <w:rsid w:val="00A90302"/>
    <w:rsid w:val="00A90468"/>
    <w:rsid w:val="00A904AB"/>
    <w:rsid w:val="00A917C1"/>
    <w:rsid w:val="00A92287"/>
    <w:rsid w:val="00A93002"/>
    <w:rsid w:val="00A93EE7"/>
    <w:rsid w:val="00A948CF"/>
    <w:rsid w:val="00A94CA2"/>
    <w:rsid w:val="00A95B28"/>
    <w:rsid w:val="00A963FC"/>
    <w:rsid w:val="00A96B4E"/>
    <w:rsid w:val="00A9759C"/>
    <w:rsid w:val="00A9797A"/>
    <w:rsid w:val="00AA0C8D"/>
    <w:rsid w:val="00AA55C1"/>
    <w:rsid w:val="00AA6C0C"/>
    <w:rsid w:val="00AA70EE"/>
    <w:rsid w:val="00AA76AF"/>
    <w:rsid w:val="00AB0036"/>
    <w:rsid w:val="00AB0A0A"/>
    <w:rsid w:val="00AB13C2"/>
    <w:rsid w:val="00AB1823"/>
    <w:rsid w:val="00AB23DE"/>
    <w:rsid w:val="00AB2712"/>
    <w:rsid w:val="00AB392A"/>
    <w:rsid w:val="00AB39A4"/>
    <w:rsid w:val="00AB5C2A"/>
    <w:rsid w:val="00AB60A3"/>
    <w:rsid w:val="00AB7D14"/>
    <w:rsid w:val="00AB7D76"/>
    <w:rsid w:val="00AC01A9"/>
    <w:rsid w:val="00AC0BC2"/>
    <w:rsid w:val="00AC0D3E"/>
    <w:rsid w:val="00AC3BF7"/>
    <w:rsid w:val="00AC3E36"/>
    <w:rsid w:val="00AC3FAD"/>
    <w:rsid w:val="00AC4707"/>
    <w:rsid w:val="00AC4DEE"/>
    <w:rsid w:val="00AC5EBF"/>
    <w:rsid w:val="00AC6256"/>
    <w:rsid w:val="00AC6915"/>
    <w:rsid w:val="00AC6B71"/>
    <w:rsid w:val="00AC6E36"/>
    <w:rsid w:val="00AD1EB2"/>
    <w:rsid w:val="00AD3F1A"/>
    <w:rsid w:val="00AD6168"/>
    <w:rsid w:val="00AD73B6"/>
    <w:rsid w:val="00AE0171"/>
    <w:rsid w:val="00AE0D86"/>
    <w:rsid w:val="00AE3521"/>
    <w:rsid w:val="00AE3546"/>
    <w:rsid w:val="00AE38A9"/>
    <w:rsid w:val="00AE3E31"/>
    <w:rsid w:val="00AE3EAC"/>
    <w:rsid w:val="00AE417C"/>
    <w:rsid w:val="00AE5AA9"/>
    <w:rsid w:val="00AE75D2"/>
    <w:rsid w:val="00AF06B7"/>
    <w:rsid w:val="00AF2D2C"/>
    <w:rsid w:val="00AF3550"/>
    <w:rsid w:val="00AF5C4B"/>
    <w:rsid w:val="00AF64BE"/>
    <w:rsid w:val="00AF663C"/>
    <w:rsid w:val="00AF6DCD"/>
    <w:rsid w:val="00B01A4A"/>
    <w:rsid w:val="00B01C19"/>
    <w:rsid w:val="00B04144"/>
    <w:rsid w:val="00B0469D"/>
    <w:rsid w:val="00B04D7E"/>
    <w:rsid w:val="00B06505"/>
    <w:rsid w:val="00B07858"/>
    <w:rsid w:val="00B079D6"/>
    <w:rsid w:val="00B10F6D"/>
    <w:rsid w:val="00B12D57"/>
    <w:rsid w:val="00B131B4"/>
    <w:rsid w:val="00B13C60"/>
    <w:rsid w:val="00B13FF4"/>
    <w:rsid w:val="00B1474C"/>
    <w:rsid w:val="00B154C1"/>
    <w:rsid w:val="00B16AC4"/>
    <w:rsid w:val="00B17E41"/>
    <w:rsid w:val="00B17E86"/>
    <w:rsid w:val="00B2027C"/>
    <w:rsid w:val="00B208D9"/>
    <w:rsid w:val="00B20FC0"/>
    <w:rsid w:val="00B2256C"/>
    <w:rsid w:val="00B23542"/>
    <w:rsid w:val="00B235E6"/>
    <w:rsid w:val="00B24092"/>
    <w:rsid w:val="00B249ED"/>
    <w:rsid w:val="00B24C25"/>
    <w:rsid w:val="00B251E9"/>
    <w:rsid w:val="00B2603D"/>
    <w:rsid w:val="00B2670E"/>
    <w:rsid w:val="00B30D59"/>
    <w:rsid w:val="00B312BD"/>
    <w:rsid w:val="00B31DDA"/>
    <w:rsid w:val="00B323C9"/>
    <w:rsid w:val="00B331A5"/>
    <w:rsid w:val="00B34A80"/>
    <w:rsid w:val="00B35896"/>
    <w:rsid w:val="00B409EB"/>
    <w:rsid w:val="00B4191B"/>
    <w:rsid w:val="00B429A1"/>
    <w:rsid w:val="00B42BFB"/>
    <w:rsid w:val="00B434ED"/>
    <w:rsid w:val="00B43EF0"/>
    <w:rsid w:val="00B440AC"/>
    <w:rsid w:val="00B448E7"/>
    <w:rsid w:val="00B46B7B"/>
    <w:rsid w:val="00B46C06"/>
    <w:rsid w:val="00B47024"/>
    <w:rsid w:val="00B47FA8"/>
    <w:rsid w:val="00B5152D"/>
    <w:rsid w:val="00B51748"/>
    <w:rsid w:val="00B51EF7"/>
    <w:rsid w:val="00B5211F"/>
    <w:rsid w:val="00B52261"/>
    <w:rsid w:val="00B53847"/>
    <w:rsid w:val="00B5686B"/>
    <w:rsid w:val="00B577CD"/>
    <w:rsid w:val="00B60B10"/>
    <w:rsid w:val="00B610CB"/>
    <w:rsid w:val="00B61563"/>
    <w:rsid w:val="00B61CD0"/>
    <w:rsid w:val="00B61E86"/>
    <w:rsid w:val="00B62B52"/>
    <w:rsid w:val="00B63261"/>
    <w:rsid w:val="00B63E26"/>
    <w:rsid w:val="00B65030"/>
    <w:rsid w:val="00B650D8"/>
    <w:rsid w:val="00B66357"/>
    <w:rsid w:val="00B66C66"/>
    <w:rsid w:val="00B67214"/>
    <w:rsid w:val="00B67F69"/>
    <w:rsid w:val="00B70433"/>
    <w:rsid w:val="00B71090"/>
    <w:rsid w:val="00B71DBE"/>
    <w:rsid w:val="00B72F4F"/>
    <w:rsid w:val="00B730BD"/>
    <w:rsid w:val="00B75399"/>
    <w:rsid w:val="00B80FC2"/>
    <w:rsid w:val="00B839F2"/>
    <w:rsid w:val="00B84BEC"/>
    <w:rsid w:val="00B865D8"/>
    <w:rsid w:val="00B870B4"/>
    <w:rsid w:val="00B87EB2"/>
    <w:rsid w:val="00B902CD"/>
    <w:rsid w:val="00B9036B"/>
    <w:rsid w:val="00B90BB3"/>
    <w:rsid w:val="00B91E13"/>
    <w:rsid w:val="00B92915"/>
    <w:rsid w:val="00B9443D"/>
    <w:rsid w:val="00B9452F"/>
    <w:rsid w:val="00B968E1"/>
    <w:rsid w:val="00BA0D49"/>
    <w:rsid w:val="00BA14F3"/>
    <w:rsid w:val="00BA189C"/>
    <w:rsid w:val="00BA2489"/>
    <w:rsid w:val="00BA3EC8"/>
    <w:rsid w:val="00BA3EF8"/>
    <w:rsid w:val="00BA6965"/>
    <w:rsid w:val="00BA6F8B"/>
    <w:rsid w:val="00BA7AE2"/>
    <w:rsid w:val="00BA7AF3"/>
    <w:rsid w:val="00BB0084"/>
    <w:rsid w:val="00BB2081"/>
    <w:rsid w:val="00BB2EC5"/>
    <w:rsid w:val="00BB3B1A"/>
    <w:rsid w:val="00BB3BF5"/>
    <w:rsid w:val="00BB4099"/>
    <w:rsid w:val="00BB5537"/>
    <w:rsid w:val="00BB55B9"/>
    <w:rsid w:val="00BB57C5"/>
    <w:rsid w:val="00BB7E5E"/>
    <w:rsid w:val="00BC07E2"/>
    <w:rsid w:val="00BC15F1"/>
    <w:rsid w:val="00BC1679"/>
    <w:rsid w:val="00BC2B52"/>
    <w:rsid w:val="00BC3710"/>
    <w:rsid w:val="00BC3C35"/>
    <w:rsid w:val="00BC3CB8"/>
    <w:rsid w:val="00BC3F6B"/>
    <w:rsid w:val="00BC3FD1"/>
    <w:rsid w:val="00BC4B05"/>
    <w:rsid w:val="00BC5796"/>
    <w:rsid w:val="00BC5C00"/>
    <w:rsid w:val="00BC5F73"/>
    <w:rsid w:val="00BD0E47"/>
    <w:rsid w:val="00BD24B7"/>
    <w:rsid w:val="00BD2A66"/>
    <w:rsid w:val="00BD4A3B"/>
    <w:rsid w:val="00BD77D0"/>
    <w:rsid w:val="00BE0B21"/>
    <w:rsid w:val="00BE374A"/>
    <w:rsid w:val="00BE4341"/>
    <w:rsid w:val="00BE4835"/>
    <w:rsid w:val="00BE49C2"/>
    <w:rsid w:val="00BE4C15"/>
    <w:rsid w:val="00BE4CD0"/>
    <w:rsid w:val="00BE5DFF"/>
    <w:rsid w:val="00BE77DF"/>
    <w:rsid w:val="00BE793A"/>
    <w:rsid w:val="00BE7DC5"/>
    <w:rsid w:val="00BE7F13"/>
    <w:rsid w:val="00BF0294"/>
    <w:rsid w:val="00BF25A9"/>
    <w:rsid w:val="00BF283A"/>
    <w:rsid w:val="00BF3052"/>
    <w:rsid w:val="00BF34CF"/>
    <w:rsid w:val="00BF4826"/>
    <w:rsid w:val="00BF6A47"/>
    <w:rsid w:val="00BF71E1"/>
    <w:rsid w:val="00BF721B"/>
    <w:rsid w:val="00C0073C"/>
    <w:rsid w:val="00C01617"/>
    <w:rsid w:val="00C026B2"/>
    <w:rsid w:val="00C03F16"/>
    <w:rsid w:val="00C047CD"/>
    <w:rsid w:val="00C04EC7"/>
    <w:rsid w:val="00C056FF"/>
    <w:rsid w:val="00C066FA"/>
    <w:rsid w:val="00C07CDB"/>
    <w:rsid w:val="00C10B3D"/>
    <w:rsid w:val="00C10F82"/>
    <w:rsid w:val="00C1159A"/>
    <w:rsid w:val="00C126C4"/>
    <w:rsid w:val="00C12B1D"/>
    <w:rsid w:val="00C1336D"/>
    <w:rsid w:val="00C13AEB"/>
    <w:rsid w:val="00C14E52"/>
    <w:rsid w:val="00C15798"/>
    <w:rsid w:val="00C15E55"/>
    <w:rsid w:val="00C16090"/>
    <w:rsid w:val="00C16D92"/>
    <w:rsid w:val="00C2096A"/>
    <w:rsid w:val="00C20C1E"/>
    <w:rsid w:val="00C21091"/>
    <w:rsid w:val="00C211BC"/>
    <w:rsid w:val="00C23C8A"/>
    <w:rsid w:val="00C25EBA"/>
    <w:rsid w:val="00C27625"/>
    <w:rsid w:val="00C33DD8"/>
    <w:rsid w:val="00C34020"/>
    <w:rsid w:val="00C3505F"/>
    <w:rsid w:val="00C35BD7"/>
    <w:rsid w:val="00C37238"/>
    <w:rsid w:val="00C42FAD"/>
    <w:rsid w:val="00C43309"/>
    <w:rsid w:val="00C436A2"/>
    <w:rsid w:val="00C44CD0"/>
    <w:rsid w:val="00C45AE9"/>
    <w:rsid w:val="00C4712F"/>
    <w:rsid w:val="00C5073E"/>
    <w:rsid w:val="00C519BD"/>
    <w:rsid w:val="00C523AB"/>
    <w:rsid w:val="00C52DC5"/>
    <w:rsid w:val="00C52EA0"/>
    <w:rsid w:val="00C54DF7"/>
    <w:rsid w:val="00C5686B"/>
    <w:rsid w:val="00C56ED5"/>
    <w:rsid w:val="00C57611"/>
    <w:rsid w:val="00C579C1"/>
    <w:rsid w:val="00C6196B"/>
    <w:rsid w:val="00C61AE5"/>
    <w:rsid w:val="00C61B6A"/>
    <w:rsid w:val="00C63428"/>
    <w:rsid w:val="00C63DB9"/>
    <w:rsid w:val="00C6436F"/>
    <w:rsid w:val="00C667E9"/>
    <w:rsid w:val="00C66F3B"/>
    <w:rsid w:val="00C7071A"/>
    <w:rsid w:val="00C7074F"/>
    <w:rsid w:val="00C70E71"/>
    <w:rsid w:val="00C7102E"/>
    <w:rsid w:val="00C71610"/>
    <w:rsid w:val="00C71DA8"/>
    <w:rsid w:val="00C731AE"/>
    <w:rsid w:val="00C746AF"/>
    <w:rsid w:val="00C75251"/>
    <w:rsid w:val="00C75A8C"/>
    <w:rsid w:val="00C808E2"/>
    <w:rsid w:val="00C81231"/>
    <w:rsid w:val="00C8174D"/>
    <w:rsid w:val="00C81898"/>
    <w:rsid w:val="00C843B1"/>
    <w:rsid w:val="00C84A48"/>
    <w:rsid w:val="00C84DBA"/>
    <w:rsid w:val="00C85EC5"/>
    <w:rsid w:val="00C907C3"/>
    <w:rsid w:val="00C9319D"/>
    <w:rsid w:val="00C9377B"/>
    <w:rsid w:val="00C94E8A"/>
    <w:rsid w:val="00CA0F70"/>
    <w:rsid w:val="00CA0F90"/>
    <w:rsid w:val="00CA0FA5"/>
    <w:rsid w:val="00CA1B1D"/>
    <w:rsid w:val="00CA300D"/>
    <w:rsid w:val="00CA308D"/>
    <w:rsid w:val="00CA3BC8"/>
    <w:rsid w:val="00CA4AB1"/>
    <w:rsid w:val="00CA4B30"/>
    <w:rsid w:val="00CA5460"/>
    <w:rsid w:val="00CA54B1"/>
    <w:rsid w:val="00CA6601"/>
    <w:rsid w:val="00CA697D"/>
    <w:rsid w:val="00CA6A32"/>
    <w:rsid w:val="00CB14C2"/>
    <w:rsid w:val="00CB267E"/>
    <w:rsid w:val="00CB3128"/>
    <w:rsid w:val="00CB31A2"/>
    <w:rsid w:val="00CB3381"/>
    <w:rsid w:val="00CB37F6"/>
    <w:rsid w:val="00CB41F2"/>
    <w:rsid w:val="00CB4518"/>
    <w:rsid w:val="00CB5222"/>
    <w:rsid w:val="00CB52C9"/>
    <w:rsid w:val="00CB5939"/>
    <w:rsid w:val="00CB6845"/>
    <w:rsid w:val="00CB6EC3"/>
    <w:rsid w:val="00CC04C5"/>
    <w:rsid w:val="00CC093E"/>
    <w:rsid w:val="00CC2177"/>
    <w:rsid w:val="00CC22ED"/>
    <w:rsid w:val="00CC2F91"/>
    <w:rsid w:val="00CC34C4"/>
    <w:rsid w:val="00CC3F86"/>
    <w:rsid w:val="00CC4622"/>
    <w:rsid w:val="00CC5D63"/>
    <w:rsid w:val="00CC6B3D"/>
    <w:rsid w:val="00CD009F"/>
    <w:rsid w:val="00CD1A7B"/>
    <w:rsid w:val="00CD2F3A"/>
    <w:rsid w:val="00CD2FC3"/>
    <w:rsid w:val="00CD47C1"/>
    <w:rsid w:val="00CD4BA4"/>
    <w:rsid w:val="00CD4D67"/>
    <w:rsid w:val="00CD4DA2"/>
    <w:rsid w:val="00CD5947"/>
    <w:rsid w:val="00CD5E4C"/>
    <w:rsid w:val="00CD667F"/>
    <w:rsid w:val="00CD6839"/>
    <w:rsid w:val="00CD7F11"/>
    <w:rsid w:val="00CE165E"/>
    <w:rsid w:val="00CE288E"/>
    <w:rsid w:val="00CE3864"/>
    <w:rsid w:val="00CE3C63"/>
    <w:rsid w:val="00CE5C75"/>
    <w:rsid w:val="00CE7469"/>
    <w:rsid w:val="00CF075F"/>
    <w:rsid w:val="00CF2EEB"/>
    <w:rsid w:val="00CF32FB"/>
    <w:rsid w:val="00CF7098"/>
    <w:rsid w:val="00D005CA"/>
    <w:rsid w:val="00D01BC3"/>
    <w:rsid w:val="00D01CCF"/>
    <w:rsid w:val="00D023E4"/>
    <w:rsid w:val="00D0254B"/>
    <w:rsid w:val="00D02A73"/>
    <w:rsid w:val="00D02B4B"/>
    <w:rsid w:val="00D034AD"/>
    <w:rsid w:val="00D04347"/>
    <w:rsid w:val="00D05609"/>
    <w:rsid w:val="00D05BF9"/>
    <w:rsid w:val="00D07988"/>
    <w:rsid w:val="00D11081"/>
    <w:rsid w:val="00D113B5"/>
    <w:rsid w:val="00D11A9D"/>
    <w:rsid w:val="00D120D8"/>
    <w:rsid w:val="00D13757"/>
    <w:rsid w:val="00D14E9B"/>
    <w:rsid w:val="00D1545E"/>
    <w:rsid w:val="00D16522"/>
    <w:rsid w:val="00D16B53"/>
    <w:rsid w:val="00D20906"/>
    <w:rsid w:val="00D24D41"/>
    <w:rsid w:val="00D25280"/>
    <w:rsid w:val="00D26335"/>
    <w:rsid w:val="00D264E0"/>
    <w:rsid w:val="00D26B12"/>
    <w:rsid w:val="00D26FFC"/>
    <w:rsid w:val="00D355AB"/>
    <w:rsid w:val="00D35B95"/>
    <w:rsid w:val="00D36CD6"/>
    <w:rsid w:val="00D36E6F"/>
    <w:rsid w:val="00D36E7C"/>
    <w:rsid w:val="00D40D52"/>
    <w:rsid w:val="00D41A4A"/>
    <w:rsid w:val="00D446B6"/>
    <w:rsid w:val="00D44E07"/>
    <w:rsid w:val="00D45A24"/>
    <w:rsid w:val="00D45B5B"/>
    <w:rsid w:val="00D45BB8"/>
    <w:rsid w:val="00D467E0"/>
    <w:rsid w:val="00D46CD7"/>
    <w:rsid w:val="00D500B6"/>
    <w:rsid w:val="00D5068A"/>
    <w:rsid w:val="00D52BEF"/>
    <w:rsid w:val="00D53CBA"/>
    <w:rsid w:val="00D54429"/>
    <w:rsid w:val="00D547FA"/>
    <w:rsid w:val="00D54EF4"/>
    <w:rsid w:val="00D551EA"/>
    <w:rsid w:val="00D57653"/>
    <w:rsid w:val="00D611A5"/>
    <w:rsid w:val="00D61DE8"/>
    <w:rsid w:val="00D62334"/>
    <w:rsid w:val="00D627B4"/>
    <w:rsid w:val="00D6349E"/>
    <w:rsid w:val="00D63AE7"/>
    <w:rsid w:val="00D651C6"/>
    <w:rsid w:val="00D66FE0"/>
    <w:rsid w:val="00D6784B"/>
    <w:rsid w:val="00D67CD7"/>
    <w:rsid w:val="00D718F3"/>
    <w:rsid w:val="00D72BDE"/>
    <w:rsid w:val="00D74C59"/>
    <w:rsid w:val="00D76AC2"/>
    <w:rsid w:val="00D76C59"/>
    <w:rsid w:val="00D82310"/>
    <w:rsid w:val="00D834C2"/>
    <w:rsid w:val="00D83CFD"/>
    <w:rsid w:val="00D841E2"/>
    <w:rsid w:val="00D8427D"/>
    <w:rsid w:val="00D87828"/>
    <w:rsid w:val="00D9414E"/>
    <w:rsid w:val="00D9486F"/>
    <w:rsid w:val="00D96347"/>
    <w:rsid w:val="00D97DC8"/>
    <w:rsid w:val="00DA1BE7"/>
    <w:rsid w:val="00DA1FBC"/>
    <w:rsid w:val="00DA2099"/>
    <w:rsid w:val="00DA44B8"/>
    <w:rsid w:val="00DA4F3C"/>
    <w:rsid w:val="00DA539E"/>
    <w:rsid w:val="00DA7264"/>
    <w:rsid w:val="00DA73A0"/>
    <w:rsid w:val="00DA73FA"/>
    <w:rsid w:val="00DB0160"/>
    <w:rsid w:val="00DB0E9D"/>
    <w:rsid w:val="00DB21B2"/>
    <w:rsid w:val="00DB3137"/>
    <w:rsid w:val="00DB33CE"/>
    <w:rsid w:val="00DB44B5"/>
    <w:rsid w:val="00DB47AD"/>
    <w:rsid w:val="00DB5D9A"/>
    <w:rsid w:val="00DB6A70"/>
    <w:rsid w:val="00DB6CD3"/>
    <w:rsid w:val="00DB76E2"/>
    <w:rsid w:val="00DC05A4"/>
    <w:rsid w:val="00DC0ABD"/>
    <w:rsid w:val="00DC0C91"/>
    <w:rsid w:val="00DC17A1"/>
    <w:rsid w:val="00DC207D"/>
    <w:rsid w:val="00DC2C94"/>
    <w:rsid w:val="00DC2DCB"/>
    <w:rsid w:val="00DC38CC"/>
    <w:rsid w:val="00DC4211"/>
    <w:rsid w:val="00DC51C7"/>
    <w:rsid w:val="00DD1733"/>
    <w:rsid w:val="00DD1D70"/>
    <w:rsid w:val="00DD3747"/>
    <w:rsid w:val="00DD682D"/>
    <w:rsid w:val="00DD6E6C"/>
    <w:rsid w:val="00DE08F2"/>
    <w:rsid w:val="00DE1969"/>
    <w:rsid w:val="00DE296D"/>
    <w:rsid w:val="00DE328E"/>
    <w:rsid w:val="00DE4AF0"/>
    <w:rsid w:val="00DE7591"/>
    <w:rsid w:val="00DE76CC"/>
    <w:rsid w:val="00DE794C"/>
    <w:rsid w:val="00DF03A0"/>
    <w:rsid w:val="00DF063E"/>
    <w:rsid w:val="00DF0F4E"/>
    <w:rsid w:val="00DF14A6"/>
    <w:rsid w:val="00E018E0"/>
    <w:rsid w:val="00E02908"/>
    <w:rsid w:val="00E02B89"/>
    <w:rsid w:val="00E03975"/>
    <w:rsid w:val="00E04766"/>
    <w:rsid w:val="00E04A51"/>
    <w:rsid w:val="00E05681"/>
    <w:rsid w:val="00E059B8"/>
    <w:rsid w:val="00E05F49"/>
    <w:rsid w:val="00E06F48"/>
    <w:rsid w:val="00E073E2"/>
    <w:rsid w:val="00E07643"/>
    <w:rsid w:val="00E11551"/>
    <w:rsid w:val="00E11C81"/>
    <w:rsid w:val="00E141E6"/>
    <w:rsid w:val="00E14A05"/>
    <w:rsid w:val="00E14C2A"/>
    <w:rsid w:val="00E15ACE"/>
    <w:rsid w:val="00E15BA5"/>
    <w:rsid w:val="00E17214"/>
    <w:rsid w:val="00E17FAD"/>
    <w:rsid w:val="00E2232F"/>
    <w:rsid w:val="00E236BC"/>
    <w:rsid w:val="00E23A89"/>
    <w:rsid w:val="00E23DEB"/>
    <w:rsid w:val="00E24A87"/>
    <w:rsid w:val="00E25128"/>
    <w:rsid w:val="00E307D1"/>
    <w:rsid w:val="00E30F29"/>
    <w:rsid w:val="00E3141E"/>
    <w:rsid w:val="00E32A19"/>
    <w:rsid w:val="00E32EDB"/>
    <w:rsid w:val="00E344AD"/>
    <w:rsid w:val="00E35B06"/>
    <w:rsid w:val="00E35E8E"/>
    <w:rsid w:val="00E3764E"/>
    <w:rsid w:val="00E41685"/>
    <w:rsid w:val="00E41C81"/>
    <w:rsid w:val="00E41ECA"/>
    <w:rsid w:val="00E45669"/>
    <w:rsid w:val="00E46DF4"/>
    <w:rsid w:val="00E500CA"/>
    <w:rsid w:val="00E50D2A"/>
    <w:rsid w:val="00E511A0"/>
    <w:rsid w:val="00E519AA"/>
    <w:rsid w:val="00E51A49"/>
    <w:rsid w:val="00E56245"/>
    <w:rsid w:val="00E57A16"/>
    <w:rsid w:val="00E6115B"/>
    <w:rsid w:val="00E611B7"/>
    <w:rsid w:val="00E63A70"/>
    <w:rsid w:val="00E649F4"/>
    <w:rsid w:val="00E65D32"/>
    <w:rsid w:val="00E67950"/>
    <w:rsid w:val="00E67953"/>
    <w:rsid w:val="00E67F51"/>
    <w:rsid w:val="00E71811"/>
    <w:rsid w:val="00E7480B"/>
    <w:rsid w:val="00E75C75"/>
    <w:rsid w:val="00E76062"/>
    <w:rsid w:val="00E77BBC"/>
    <w:rsid w:val="00E8073B"/>
    <w:rsid w:val="00E80E6B"/>
    <w:rsid w:val="00E81CE6"/>
    <w:rsid w:val="00E820BA"/>
    <w:rsid w:val="00E82E72"/>
    <w:rsid w:val="00E84F26"/>
    <w:rsid w:val="00E8568D"/>
    <w:rsid w:val="00E8735C"/>
    <w:rsid w:val="00E877E3"/>
    <w:rsid w:val="00E901E7"/>
    <w:rsid w:val="00E91E17"/>
    <w:rsid w:val="00E93574"/>
    <w:rsid w:val="00E936A2"/>
    <w:rsid w:val="00E941C8"/>
    <w:rsid w:val="00E94C50"/>
    <w:rsid w:val="00E9589D"/>
    <w:rsid w:val="00E95F84"/>
    <w:rsid w:val="00E96BF9"/>
    <w:rsid w:val="00E97172"/>
    <w:rsid w:val="00E979AF"/>
    <w:rsid w:val="00EA01F0"/>
    <w:rsid w:val="00EA115C"/>
    <w:rsid w:val="00EA1787"/>
    <w:rsid w:val="00EA2433"/>
    <w:rsid w:val="00EA3CA6"/>
    <w:rsid w:val="00EA3DF6"/>
    <w:rsid w:val="00EA546A"/>
    <w:rsid w:val="00EA77DE"/>
    <w:rsid w:val="00EA7C45"/>
    <w:rsid w:val="00EB3007"/>
    <w:rsid w:val="00EB3B81"/>
    <w:rsid w:val="00EC22C5"/>
    <w:rsid w:val="00EC572D"/>
    <w:rsid w:val="00EC69A0"/>
    <w:rsid w:val="00EC6A8D"/>
    <w:rsid w:val="00EC7D4C"/>
    <w:rsid w:val="00ED0568"/>
    <w:rsid w:val="00ED05F2"/>
    <w:rsid w:val="00ED0FB8"/>
    <w:rsid w:val="00ED25C2"/>
    <w:rsid w:val="00ED36F8"/>
    <w:rsid w:val="00ED3BB9"/>
    <w:rsid w:val="00ED42B3"/>
    <w:rsid w:val="00ED4CCC"/>
    <w:rsid w:val="00EE05FD"/>
    <w:rsid w:val="00EE3669"/>
    <w:rsid w:val="00EE4CBA"/>
    <w:rsid w:val="00EE4E7B"/>
    <w:rsid w:val="00EE7AF5"/>
    <w:rsid w:val="00EE7FCE"/>
    <w:rsid w:val="00EF0457"/>
    <w:rsid w:val="00EF0A27"/>
    <w:rsid w:val="00EF0EBB"/>
    <w:rsid w:val="00EF0FCB"/>
    <w:rsid w:val="00EF131F"/>
    <w:rsid w:val="00EF2EC5"/>
    <w:rsid w:val="00EF4B41"/>
    <w:rsid w:val="00EF7961"/>
    <w:rsid w:val="00EF7CBA"/>
    <w:rsid w:val="00F00206"/>
    <w:rsid w:val="00F00CC8"/>
    <w:rsid w:val="00F00DC7"/>
    <w:rsid w:val="00F01598"/>
    <w:rsid w:val="00F032CA"/>
    <w:rsid w:val="00F049EE"/>
    <w:rsid w:val="00F04A02"/>
    <w:rsid w:val="00F0657B"/>
    <w:rsid w:val="00F070B0"/>
    <w:rsid w:val="00F07304"/>
    <w:rsid w:val="00F100F7"/>
    <w:rsid w:val="00F11B2D"/>
    <w:rsid w:val="00F1311E"/>
    <w:rsid w:val="00F13786"/>
    <w:rsid w:val="00F20047"/>
    <w:rsid w:val="00F2134F"/>
    <w:rsid w:val="00F22D84"/>
    <w:rsid w:val="00F233A7"/>
    <w:rsid w:val="00F242F5"/>
    <w:rsid w:val="00F24469"/>
    <w:rsid w:val="00F26F49"/>
    <w:rsid w:val="00F273F8"/>
    <w:rsid w:val="00F27EB1"/>
    <w:rsid w:val="00F3048A"/>
    <w:rsid w:val="00F324B4"/>
    <w:rsid w:val="00F33EDC"/>
    <w:rsid w:val="00F3571B"/>
    <w:rsid w:val="00F36773"/>
    <w:rsid w:val="00F37CC3"/>
    <w:rsid w:val="00F40711"/>
    <w:rsid w:val="00F40E24"/>
    <w:rsid w:val="00F43082"/>
    <w:rsid w:val="00F4323A"/>
    <w:rsid w:val="00F43ABE"/>
    <w:rsid w:val="00F440D1"/>
    <w:rsid w:val="00F44157"/>
    <w:rsid w:val="00F457D3"/>
    <w:rsid w:val="00F45A9C"/>
    <w:rsid w:val="00F45AB6"/>
    <w:rsid w:val="00F45E24"/>
    <w:rsid w:val="00F46051"/>
    <w:rsid w:val="00F46084"/>
    <w:rsid w:val="00F46A67"/>
    <w:rsid w:val="00F46E23"/>
    <w:rsid w:val="00F47904"/>
    <w:rsid w:val="00F47DCB"/>
    <w:rsid w:val="00F55828"/>
    <w:rsid w:val="00F56662"/>
    <w:rsid w:val="00F566BB"/>
    <w:rsid w:val="00F60682"/>
    <w:rsid w:val="00F64C8E"/>
    <w:rsid w:val="00F65699"/>
    <w:rsid w:val="00F667FD"/>
    <w:rsid w:val="00F700D5"/>
    <w:rsid w:val="00F7017B"/>
    <w:rsid w:val="00F7018E"/>
    <w:rsid w:val="00F702A7"/>
    <w:rsid w:val="00F7150C"/>
    <w:rsid w:val="00F71580"/>
    <w:rsid w:val="00F71C7E"/>
    <w:rsid w:val="00F72FE8"/>
    <w:rsid w:val="00F74A17"/>
    <w:rsid w:val="00F7695F"/>
    <w:rsid w:val="00F80655"/>
    <w:rsid w:val="00F80E63"/>
    <w:rsid w:val="00F80FFD"/>
    <w:rsid w:val="00F81DCB"/>
    <w:rsid w:val="00F82BE8"/>
    <w:rsid w:val="00F82ED8"/>
    <w:rsid w:val="00F8308C"/>
    <w:rsid w:val="00F83D56"/>
    <w:rsid w:val="00F857B2"/>
    <w:rsid w:val="00F8582F"/>
    <w:rsid w:val="00F9479B"/>
    <w:rsid w:val="00F94A5E"/>
    <w:rsid w:val="00F955A0"/>
    <w:rsid w:val="00F95788"/>
    <w:rsid w:val="00F95A06"/>
    <w:rsid w:val="00F96974"/>
    <w:rsid w:val="00F97CDD"/>
    <w:rsid w:val="00FA0AA1"/>
    <w:rsid w:val="00FA2C36"/>
    <w:rsid w:val="00FA3A8E"/>
    <w:rsid w:val="00FA6F92"/>
    <w:rsid w:val="00FA76D0"/>
    <w:rsid w:val="00FB0B9C"/>
    <w:rsid w:val="00FB1981"/>
    <w:rsid w:val="00FB5DEA"/>
    <w:rsid w:val="00FB6015"/>
    <w:rsid w:val="00FB682C"/>
    <w:rsid w:val="00FB7235"/>
    <w:rsid w:val="00FB7800"/>
    <w:rsid w:val="00FC1B65"/>
    <w:rsid w:val="00FC2FA3"/>
    <w:rsid w:val="00FC3E72"/>
    <w:rsid w:val="00FC3ED9"/>
    <w:rsid w:val="00FC5810"/>
    <w:rsid w:val="00FC7B02"/>
    <w:rsid w:val="00FC7E90"/>
    <w:rsid w:val="00FD2B98"/>
    <w:rsid w:val="00FD36B2"/>
    <w:rsid w:val="00FD4101"/>
    <w:rsid w:val="00FD41BA"/>
    <w:rsid w:val="00FD44A3"/>
    <w:rsid w:val="00FD73E6"/>
    <w:rsid w:val="00FD7B69"/>
    <w:rsid w:val="00FD7CF8"/>
    <w:rsid w:val="00FE0B1F"/>
    <w:rsid w:val="00FE0C1A"/>
    <w:rsid w:val="00FE0FA4"/>
    <w:rsid w:val="00FE0FE9"/>
    <w:rsid w:val="00FE1FFF"/>
    <w:rsid w:val="00FE20E8"/>
    <w:rsid w:val="00FE2198"/>
    <w:rsid w:val="00FE523F"/>
    <w:rsid w:val="00FE7EE0"/>
    <w:rsid w:val="00FF034C"/>
    <w:rsid w:val="00FF0AE4"/>
    <w:rsid w:val="00FF185D"/>
    <w:rsid w:val="00FF40D4"/>
    <w:rsid w:val="00FF42C0"/>
    <w:rsid w:val="00FF5CF4"/>
    <w:rsid w:val="00FF6940"/>
    <w:rsid w:val="00FF79D8"/>
    <w:rsid w:val="03E8B8D5"/>
    <w:rsid w:val="12DFA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1750FFEA"/>
  <w15:docId w15:val="{F61FAE62-6DF6-48C6-88C2-721A15E3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8F"/>
    <w:rPr>
      <w:rFonts w:ascii="Arial" w:eastAsia="Times New Roman" w:hAnsi="Arial" w:cs="Times New Roman"/>
      <w:szCs w:val="24"/>
      <w:lang w:eastAsia="de-DE"/>
    </w:rPr>
  </w:style>
  <w:style w:type="paragraph" w:styleId="Heading1">
    <w:name w:val="heading 1"/>
    <w:basedOn w:val="Normal"/>
    <w:next w:val="Normal"/>
    <w:link w:val="Heading1Char"/>
    <w:uiPriority w:val="9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Heading2">
    <w:name w:val="heading 2"/>
    <w:basedOn w:val="Normal"/>
    <w:next w:val="Normal"/>
    <w:link w:val="Heading2Char"/>
    <w:uiPriority w:val="99"/>
    <w:qFormat/>
    <w:rsid w:val="00660893"/>
    <w:pPr>
      <w:keepNext/>
      <w:keepLines/>
      <w:spacing w:before="40"/>
      <w:outlineLvl w:val="1"/>
    </w:pPr>
    <w:rPr>
      <w:rFonts w:asciiTheme="majorHAnsi" w:eastAsiaTheme="majorEastAsia" w:hAnsiTheme="majorHAnsi" w:cstheme="majorBidi"/>
      <w:color w:val="424477" w:themeColor="accent1" w:themeShade="BF"/>
      <w:sz w:val="26"/>
      <w:szCs w:val="26"/>
    </w:rPr>
  </w:style>
  <w:style w:type="paragraph" w:styleId="Heading3">
    <w:name w:val="heading 3"/>
    <w:basedOn w:val="Normal"/>
    <w:next w:val="Normal"/>
    <w:link w:val="Heading3Char"/>
    <w:uiPriority w:val="99"/>
    <w:unhideWhenUsed/>
    <w:qFormat/>
    <w:rsid w:val="00F82BE8"/>
    <w:pPr>
      <w:keepNext/>
      <w:keepLines/>
      <w:spacing w:before="40"/>
      <w:outlineLvl w:val="2"/>
    </w:pPr>
    <w:rPr>
      <w:rFonts w:asciiTheme="majorHAnsi" w:eastAsiaTheme="majorEastAsia" w:hAnsiTheme="majorHAnsi" w:cstheme="majorBidi"/>
      <w:color w:val="2C2D4F" w:themeColor="accent1" w:themeShade="7F"/>
      <w:sz w:val="24"/>
    </w:rPr>
  </w:style>
  <w:style w:type="paragraph" w:styleId="Heading4">
    <w:name w:val="heading 4"/>
    <w:basedOn w:val="Normal"/>
    <w:next w:val="Normal"/>
    <w:link w:val="Heading4Char"/>
    <w:qFormat/>
    <w:rsid w:val="004D0DA5"/>
    <w:pPr>
      <w:keepLines/>
      <w:adjustRightInd w:val="0"/>
      <w:snapToGrid w:val="0"/>
      <w:spacing w:before="480" w:after="160" w:line="240" w:lineRule="exact"/>
      <w:ind w:left="864" w:hanging="864"/>
      <w:outlineLvl w:val="3"/>
    </w:pPr>
    <w:rPr>
      <w:rFonts w:ascii="Verdana" w:hAnsi="Verdana"/>
      <w:b/>
      <w:color w:val="57585A"/>
      <w:sz w:val="18"/>
      <w:szCs w:val="20"/>
      <w:lang w:val="en-US" w:eastAsia="en-US"/>
    </w:rPr>
  </w:style>
  <w:style w:type="paragraph" w:styleId="Heading5">
    <w:name w:val="heading 5"/>
    <w:basedOn w:val="Normal"/>
    <w:next w:val="Normal"/>
    <w:link w:val="Heading5Char"/>
    <w:qFormat/>
    <w:rsid w:val="004D0DA5"/>
    <w:pPr>
      <w:spacing w:before="240" w:after="60" w:line="360" w:lineRule="auto"/>
      <w:ind w:left="1008" w:hanging="1008"/>
      <w:jc w:val="both"/>
      <w:outlineLvl w:val="4"/>
    </w:pPr>
    <w:rPr>
      <w:szCs w:val="20"/>
      <w:lang w:val="en-US" w:eastAsia="en-US"/>
    </w:rPr>
  </w:style>
  <w:style w:type="paragraph" w:styleId="Heading6">
    <w:name w:val="heading 6"/>
    <w:basedOn w:val="Normal"/>
    <w:next w:val="Normal"/>
    <w:link w:val="Heading6Char"/>
    <w:qFormat/>
    <w:rsid w:val="004D0DA5"/>
    <w:pPr>
      <w:spacing w:before="240" w:after="60" w:line="360" w:lineRule="auto"/>
      <w:ind w:left="1152" w:hanging="1152"/>
      <w:jc w:val="both"/>
      <w:outlineLvl w:val="5"/>
    </w:pPr>
    <w:rPr>
      <w:rFonts w:ascii="Verdana" w:hAnsi="Verdana"/>
      <w:i/>
      <w:szCs w:val="20"/>
      <w:lang w:val="en-US" w:eastAsia="en-US"/>
    </w:rPr>
  </w:style>
  <w:style w:type="paragraph" w:styleId="Heading7">
    <w:name w:val="heading 7"/>
    <w:basedOn w:val="Normal"/>
    <w:next w:val="Normal"/>
    <w:link w:val="Heading7Char"/>
    <w:qFormat/>
    <w:rsid w:val="004D0DA5"/>
    <w:pPr>
      <w:spacing w:before="240" w:after="60" w:line="360" w:lineRule="auto"/>
      <w:ind w:left="1296" w:hanging="1296"/>
      <w:jc w:val="both"/>
      <w:outlineLvl w:val="6"/>
    </w:pPr>
    <w:rPr>
      <w:sz w:val="18"/>
      <w:szCs w:val="20"/>
      <w:lang w:val="en-US" w:eastAsia="en-US"/>
    </w:rPr>
  </w:style>
  <w:style w:type="paragraph" w:styleId="Heading8">
    <w:name w:val="heading 8"/>
    <w:basedOn w:val="Normal"/>
    <w:next w:val="Normal"/>
    <w:link w:val="Heading8Char"/>
    <w:qFormat/>
    <w:rsid w:val="004D0DA5"/>
    <w:pPr>
      <w:spacing w:before="240" w:after="60" w:line="360" w:lineRule="auto"/>
      <w:ind w:left="1440" w:hanging="1440"/>
      <w:jc w:val="both"/>
      <w:outlineLvl w:val="7"/>
    </w:pPr>
    <w:rPr>
      <w:i/>
      <w:sz w:val="18"/>
      <w:szCs w:val="20"/>
      <w:lang w:val="en-US" w:eastAsia="en-US"/>
    </w:rPr>
  </w:style>
  <w:style w:type="paragraph" w:styleId="Heading9">
    <w:name w:val="heading 9"/>
    <w:basedOn w:val="Normal"/>
    <w:next w:val="Normal"/>
    <w:link w:val="Heading9Char"/>
    <w:qFormat/>
    <w:rsid w:val="004D0DA5"/>
    <w:pPr>
      <w:spacing w:before="240" w:after="60" w:line="360" w:lineRule="auto"/>
      <w:ind w:left="1584" w:hanging="1584"/>
      <w:jc w:val="both"/>
      <w:outlineLvl w:val="8"/>
    </w:pPr>
    <w:rPr>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semiHidden/>
    <w:rsid w:val="00B04144"/>
    <w:pPr>
      <w:tabs>
        <w:tab w:val="center" w:pos="4536"/>
        <w:tab w:val="right" w:pos="9072"/>
      </w:tabs>
    </w:pPr>
  </w:style>
  <w:style w:type="character" w:customStyle="1" w:styleId="FooterChar">
    <w:name w:val="Footer Char"/>
    <w:basedOn w:val="DefaultParagraphFont"/>
    <w:link w:val="Footer"/>
    <w:uiPriority w:val="99"/>
    <w:semiHidden/>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0F693C"/>
    <w:pPr>
      <w:numPr>
        <w:numId w:val="1"/>
      </w:numPr>
      <w:spacing w:before="400" w:line="340" w:lineRule="exact"/>
      <w:ind w:left="284" w:hanging="284"/>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
    <w:semiHidden/>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99378F"/>
    <w:pPr>
      <w:spacing w:after="100"/>
    </w:pPr>
    <w:rPr>
      <w:rFonts w:asciiTheme="majorHAnsi" w:hAnsiTheme="majorHAnsi"/>
    </w:rPr>
  </w:style>
  <w:style w:type="paragraph" w:styleId="TOCHeading">
    <w:name w:val="TOC Heading"/>
    <w:basedOn w:val="Heading1"/>
    <w:next w:val="Normal"/>
    <w:uiPriority w:val="39"/>
    <w:semiHidden/>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436042"/>
    <w:pPr>
      <w:numPr>
        <w:numId w:val="3"/>
      </w:numPr>
    </w:pPr>
  </w:style>
  <w:style w:type="paragraph" w:customStyle="1" w:styleId="textenumeration">
    <w:name w:val="text enumeration"/>
    <w:basedOn w:val="textregular"/>
    <w:uiPriority w:val="4"/>
    <w:qFormat/>
    <w:rsid w:val="00436042"/>
    <w:pPr>
      <w:spacing w:line="259" w:lineRule="auto"/>
      <w:jc w:val="both"/>
    </w:pPr>
    <w:rPr>
      <w:rFonts w:ascii="Times New Roman" w:hAnsi="Times New Roman"/>
    </w:r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paragraph" w:styleId="ListParagraph">
    <w:name w:val="List Paragraph"/>
    <w:basedOn w:val="Normal"/>
    <w:link w:val="ListParagraphChar"/>
    <w:uiPriority w:val="34"/>
    <w:qFormat/>
    <w:rsid w:val="00736F35"/>
    <w:pPr>
      <w:numPr>
        <w:numId w:val="17"/>
      </w:numPr>
      <w:spacing w:after="120" w:line="252" w:lineRule="auto"/>
      <w:jc w:val="both"/>
    </w:pPr>
    <w:rPr>
      <w:rFonts w:asciiTheme="minorHAnsi" w:hAnsiTheme="minorHAnsi" w:cstheme="minorHAnsi"/>
      <w:lang w:val="en-GB"/>
    </w:rPr>
  </w:style>
  <w:style w:type="character" w:customStyle="1" w:styleId="textregularZchn">
    <w:name w:val="text regular Zchn"/>
    <w:basedOn w:val="DefaultParagraphFont"/>
    <w:link w:val="textregular"/>
    <w:rsid w:val="004F245D"/>
    <w:rPr>
      <w:lang w:val="en-GB"/>
    </w:rPr>
  </w:style>
  <w:style w:type="table" w:customStyle="1" w:styleId="TableGrid1">
    <w:name w:val="Table Grid1"/>
    <w:basedOn w:val="TableNormal"/>
    <w:next w:val="TableGrid"/>
    <w:uiPriority w:val="59"/>
    <w:rsid w:val="004F245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Stinking Styles6,Marque de commentaire1,Verwijzing opmerking,Merknadsreferanse"/>
    <w:basedOn w:val="DefaultParagraphFont"/>
    <w:uiPriority w:val="99"/>
    <w:unhideWhenUsed/>
    <w:rsid w:val="00E6115B"/>
    <w:rPr>
      <w:sz w:val="16"/>
      <w:szCs w:val="16"/>
    </w:rPr>
  </w:style>
  <w:style w:type="paragraph" w:styleId="CommentText">
    <w:name w:val="annotation text"/>
    <w:aliases w:val="Stinking Styles5,Tekst opmerking,Merknadstekst"/>
    <w:basedOn w:val="Normal"/>
    <w:link w:val="CommentTextChar"/>
    <w:uiPriority w:val="99"/>
    <w:unhideWhenUsed/>
    <w:rsid w:val="00E6115B"/>
    <w:rPr>
      <w:sz w:val="20"/>
      <w:szCs w:val="20"/>
    </w:rPr>
  </w:style>
  <w:style w:type="character" w:customStyle="1" w:styleId="CommentTextChar">
    <w:name w:val="Comment Text Char"/>
    <w:aliases w:val="Stinking Styles5 Char,Tekst opmerking Char,Merknadstekst Char"/>
    <w:basedOn w:val="DefaultParagraphFont"/>
    <w:link w:val="CommentText"/>
    <w:uiPriority w:val="99"/>
    <w:rsid w:val="00E6115B"/>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E6115B"/>
    <w:rPr>
      <w:b/>
      <w:bCs/>
    </w:rPr>
  </w:style>
  <w:style w:type="character" w:customStyle="1" w:styleId="CommentSubjectChar">
    <w:name w:val="Comment Subject Char"/>
    <w:basedOn w:val="CommentTextChar"/>
    <w:link w:val="CommentSubject"/>
    <w:uiPriority w:val="99"/>
    <w:semiHidden/>
    <w:rsid w:val="00E6115B"/>
    <w:rPr>
      <w:rFonts w:ascii="Arial" w:eastAsia="Times New Roman" w:hAnsi="Arial" w:cs="Times New Roman"/>
      <w:b/>
      <w:bCs/>
      <w:sz w:val="20"/>
      <w:szCs w:val="20"/>
      <w:lang w:eastAsia="de-DE"/>
    </w:rPr>
  </w:style>
  <w:style w:type="paragraph" w:styleId="Revision">
    <w:name w:val="Revision"/>
    <w:hidden/>
    <w:uiPriority w:val="99"/>
    <w:semiHidden/>
    <w:rsid w:val="00F00CC8"/>
    <w:rPr>
      <w:rFonts w:ascii="Arial" w:eastAsia="Times New Roman" w:hAnsi="Arial" w:cs="Times New Roman"/>
      <w:szCs w:val="24"/>
      <w:lang w:eastAsia="de-DE"/>
    </w:rPr>
  </w:style>
  <w:style w:type="character" w:styleId="Strong">
    <w:name w:val="Strong"/>
    <w:basedOn w:val="DefaultParagraphFont"/>
    <w:uiPriority w:val="22"/>
    <w:qFormat/>
    <w:rsid w:val="00C85EC5"/>
    <w:rPr>
      <w:b/>
      <w:bCs/>
    </w:rPr>
  </w:style>
  <w:style w:type="character" w:customStyle="1" w:styleId="Heading3Char">
    <w:name w:val="Heading 3 Char"/>
    <w:basedOn w:val="DefaultParagraphFont"/>
    <w:link w:val="Heading3"/>
    <w:uiPriority w:val="9"/>
    <w:semiHidden/>
    <w:rsid w:val="00F82BE8"/>
    <w:rPr>
      <w:rFonts w:asciiTheme="majorHAnsi" w:eastAsiaTheme="majorEastAsia" w:hAnsiTheme="majorHAnsi" w:cstheme="majorBidi"/>
      <w:color w:val="2C2D4F" w:themeColor="accent1" w:themeShade="7F"/>
      <w:sz w:val="24"/>
      <w:szCs w:val="24"/>
      <w:lang w:eastAsia="de-DE"/>
    </w:rPr>
  </w:style>
  <w:style w:type="character" w:customStyle="1" w:styleId="Heading2Char">
    <w:name w:val="Heading 2 Char"/>
    <w:basedOn w:val="DefaultParagraphFont"/>
    <w:link w:val="Heading2"/>
    <w:uiPriority w:val="99"/>
    <w:rsid w:val="00660893"/>
    <w:rPr>
      <w:rFonts w:asciiTheme="majorHAnsi" w:eastAsiaTheme="majorEastAsia" w:hAnsiTheme="majorHAnsi" w:cstheme="majorBidi"/>
      <w:color w:val="424477" w:themeColor="accent1" w:themeShade="BF"/>
      <w:sz w:val="26"/>
      <w:szCs w:val="26"/>
      <w:lang w:eastAsia="de-DE"/>
    </w:rPr>
  </w:style>
  <w:style w:type="character" w:customStyle="1" w:styleId="ListParagraphChar">
    <w:name w:val="List Paragraph Char"/>
    <w:link w:val="ListParagraph"/>
    <w:uiPriority w:val="34"/>
    <w:locked/>
    <w:rsid w:val="00736F35"/>
    <w:rPr>
      <w:rFonts w:eastAsia="Times New Roman" w:cstheme="minorHAnsi"/>
      <w:szCs w:val="24"/>
      <w:lang w:val="en-GB" w:eastAsia="de-DE"/>
    </w:rPr>
  </w:style>
  <w:style w:type="paragraph" w:customStyle="1" w:styleId="AnnexeTitre2">
    <w:name w:val="Annexe Titre 2"/>
    <w:basedOn w:val="Normal"/>
    <w:next w:val="Normal"/>
    <w:link w:val="AnnexeTitre2Car1"/>
    <w:uiPriority w:val="99"/>
    <w:rsid w:val="006C43C6"/>
    <w:pPr>
      <w:widowControl w:val="0"/>
      <w:numPr>
        <w:ilvl w:val="1"/>
        <w:numId w:val="6"/>
      </w:numPr>
      <w:tabs>
        <w:tab w:val="left" w:pos="709"/>
      </w:tabs>
      <w:autoSpaceDE w:val="0"/>
      <w:autoSpaceDN w:val="0"/>
      <w:spacing w:before="360" w:after="120"/>
      <w:jc w:val="both"/>
      <w:outlineLvl w:val="1"/>
    </w:pPr>
    <w:rPr>
      <w:rFonts w:ascii="Avenir Next LT Com Demi" w:hAnsi="Avenir Next LT Com Demi" w:cs="Tahoma"/>
      <w:b/>
      <w:sz w:val="24"/>
      <w:lang w:val="fr-FR" w:eastAsia="fr-FR"/>
    </w:rPr>
  </w:style>
  <w:style w:type="paragraph" w:customStyle="1" w:styleId="AnnexeTitre1">
    <w:name w:val="Annexe Titre 1"/>
    <w:basedOn w:val="Normal"/>
    <w:next w:val="Normal"/>
    <w:uiPriority w:val="99"/>
    <w:rsid w:val="006C43C6"/>
    <w:pPr>
      <w:keepNext/>
      <w:widowControl w:val="0"/>
      <w:numPr>
        <w:numId w:val="6"/>
      </w:numPr>
      <w:autoSpaceDE w:val="0"/>
      <w:autoSpaceDN w:val="0"/>
      <w:spacing w:before="480" w:after="120"/>
      <w:jc w:val="both"/>
      <w:outlineLvl w:val="0"/>
    </w:pPr>
    <w:rPr>
      <w:rFonts w:ascii="Avenir Next LT Com Demi" w:eastAsia="AvenirNext LT Com Regular" w:hAnsi="Avenir Next LT Com Demi" w:cs="Tahoma"/>
      <w:b/>
      <w:bCs/>
      <w:caps/>
      <w:spacing w:val="4"/>
      <w:sz w:val="24"/>
      <w:lang w:val="fr-FR" w:eastAsia="fr-FR"/>
    </w:rPr>
  </w:style>
  <w:style w:type="paragraph" w:customStyle="1" w:styleId="AnnexeTitre3">
    <w:name w:val="Annexe Titre 3"/>
    <w:basedOn w:val="Normal"/>
    <w:next w:val="Normal"/>
    <w:uiPriority w:val="99"/>
    <w:rsid w:val="006C43C6"/>
    <w:pPr>
      <w:widowControl w:val="0"/>
      <w:numPr>
        <w:ilvl w:val="2"/>
        <w:numId w:val="6"/>
      </w:numPr>
      <w:tabs>
        <w:tab w:val="left" w:pos="851"/>
      </w:tabs>
      <w:autoSpaceDE w:val="0"/>
      <w:autoSpaceDN w:val="0"/>
      <w:spacing w:before="360" w:after="120"/>
      <w:jc w:val="both"/>
      <w:outlineLvl w:val="2"/>
    </w:pPr>
    <w:rPr>
      <w:rFonts w:ascii="Avenir Next LT Com Demi" w:hAnsi="Avenir Next LT Com Demi" w:cs="Tahoma"/>
      <w:b/>
      <w:sz w:val="24"/>
      <w:lang w:val="fr-FR" w:eastAsia="fr-FR"/>
    </w:rPr>
  </w:style>
  <w:style w:type="character" w:customStyle="1" w:styleId="AnnexeTitre2Car1">
    <w:name w:val="Annexe Titre 2 Car1"/>
    <w:link w:val="AnnexeTitre2"/>
    <w:uiPriority w:val="99"/>
    <w:locked/>
    <w:rsid w:val="006C43C6"/>
    <w:rPr>
      <w:rFonts w:ascii="Avenir Next LT Com Demi" w:eastAsia="Times New Roman" w:hAnsi="Avenir Next LT Com Demi" w:cs="Tahoma"/>
      <w:b/>
      <w:sz w:val="24"/>
      <w:szCs w:val="24"/>
      <w:lang w:val="fr-FR" w:eastAsia="fr-FR"/>
    </w:rPr>
  </w:style>
  <w:style w:type="paragraph" w:customStyle="1" w:styleId="AnnexeTitre4">
    <w:name w:val="Annexe Titre 4"/>
    <w:basedOn w:val="Normal"/>
    <w:next w:val="Normal"/>
    <w:uiPriority w:val="99"/>
    <w:rsid w:val="006C43C6"/>
    <w:pPr>
      <w:widowControl w:val="0"/>
      <w:numPr>
        <w:ilvl w:val="3"/>
        <w:numId w:val="6"/>
      </w:numPr>
      <w:tabs>
        <w:tab w:val="left" w:pos="-1843"/>
      </w:tabs>
      <w:autoSpaceDE w:val="0"/>
      <w:autoSpaceDN w:val="0"/>
      <w:spacing w:before="240" w:after="120"/>
      <w:jc w:val="both"/>
    </w:pPr>
    <w:rPr>
      <w:rFonts w:ascii="Avenir Next LT Com Demi" w:hAnsi="Avenir Next LT Com Demi" w:cs="Tahoma"/>
      <w:b/>
      <w:i/>
      <w:sz w:val="24"/>
      <w:lang w:val="fr-FR" w:eastAsia="fr-FR"/>
    </w:rPr>
  </w:style>
  <w:style w:type="paragraph" w:customStyle="1" w:styleId="Code">
    <w:name w:val="Code"/>
    <w:basedOn w:val="Normal"/>
    <w:uiPriority w:val="99"/>
    <w:rsid w:val="006C43C6"/>
    <w:pPr>
      <w:keepLines/>
      <w:widowControl w:val="0"/>
      <w:numPr>
        <w:numId w:val="7"/>
      </w:numPr>
      <w:pBdr>
        <w:top w:val="single" w:sz="8" w:space="4" w:color="595959"/>
        <w:left w:val="single" w:sz="8" w:space="4" w:color="595959"/>
        <w:bottom w:val="single" w:sz="8" w:space="4" w:color="595959"/>
        <w:right w:val="single" w:sz="8" w:space="4" w:color="595959"/>
      </w:pBdr>
      <w:shd w:val="clear" w:color="auto" w:fill="FAFAFA"/>
      <w:tabs>
        <w:tab w:val="left" w:pos="924"/>
        <w:tab w:val="left" w:pos="1491"/>
        <w:tab w:val="left" w:pos="2058"/>
        <w:tab w:val="left" w:pos="2625"/>
        <w:tab w:val="left" w:pos="3192"/>
        <w:tab w:val="left" w:pos="3759"/>
        <w:tab w:val="left" w:pos="4326"/>
        <w:tab w:val="left" w:pos="4893"/>
        <w:tab w:val="left" w:pos="5460"/>
        <w:tab w:val="left" w:pos="6027"/>
        <w:tab w:val="left" w:pos="6594"/>
        <w:tab w:val="left" w:pos="7161"/>
        <w:tab w:val="left" w:pos="7728"/>
        <w:tab w:val="left" w:pos="8295"/>
        <w:tab w:val="left" w:pos="8862"/>
      </w:tabs>
      <w:suppressAutoHyphens/>
      <w:autoSpaceDE w:val="0"/>
      <w:autoSpaceDN w:val="0"/>
      <w:spacing w:before="240" w:after="240"/>
      <w:contextualSpacing/>
    </w:pPr>
    <w:rPr>
      <w:rFonts w:ascii="Consolas" w:hAnsi="Consolas" w:cs="AvenirNext LT Com Regular"/>
      <w:szCs w:val="20"/>
      <w:lang w:val="fr-FR" w:eastAsia="fr-FR"/>
    </w:rPr>
  </w:style>
  <w:style w:type="paragraph" w:customStyle="1" w:styleId="Point0number">
    <w:name w:val="Point 0 (number)"/>
    <w:basedOn w:val="Normal"/>
    <w:rsid w:val="00DE794C"/>
    <w:pPr>
      <w:numPr>
        <w:numId w:val="8"/>
      </w:numPr>
      <w:spacing w:before="120" w:after="120"/>
      <w:jc w:val="both"/>
    </w:pPr>
    <w:rPr>
      <w:rFonts w:ascii="Times New Roman" w:eastAsiaTheme="minorHAnsi" w:hAnsi="Times New Roman"/>
      <w:sz w:val="24"/>
      <w:szCs w:val="22"/>
      <w:lang w:val="en-GB" w:eastAsia="en-US"/>
    </w:rPr>
  </w:style>
  <w:style w:type="paragraph" w:customStyle="1" w:styleId="Point1number">
    <w:name w:val="Point 1 (number)"/>
    <w:basedOn w:val="Normal"/>
    <w:rsid w:val="00DE794C"/>
    <w:pPr>
      <w:numPr>
        <w:ilvl w:val="2"/>
        <w:numId w:val="8"/>
      </w:numPr>
      <w:spacing w:before="120" w:after="120"/>
      <w:jc w:val="both"/>
    </w:pPr>
    <w:rPr>
      <w:rFonts w:ascii="Times New Roman" w:eastAsiaTheme="minorHAnsi" w:hAnsi="Times New Roman"/>
      <w:sz w:val="24"/>
      <w:szCs w:val="22"/>
      <w:lang w:val="en-GB" w:eastAsia="en-US"/>
    </w:rPr>
  </w:style>
  <w:style w:type="paragraph" w:customStyle="1" w:styleId="Point2number">
    <w:name w:val="Point 2 (number)"/>
    <w:basedOn w:val="Normal"/>
    <w:rsid w:val="00DE794C"/>
    <w:pPr>
      <w:numPr>
        <w:ilvl w:val="4"/>
        <w:numId w:val="8"/>
      </w:numPr>
      <w:spacing w:before="120" w:after="120"/>
      <w:jc w:val="both"/>
    </w:pPr>
    <w:rPr>
      <w:rFonts w:ascii="Times New Roman" w:eastAsiaTheme="minorHAnsi" w:hAnsi="Times New Roman"/>
      <w:sz w:val="24"/>
      <w:szCs w:val="22"/>
      <w:lang w:val="en-GB" w:eastAsia="en-US"/>
    </w:rPr>
  </w:style>
  <w:style w:type="paragraph" w:customStyle="1" w:styleId="Point3number">
    <w:name w:val="Point 3 (number)"/>
    <w:basedOn w:val="Normal"/>
    <w:rsid w:val="00DE794C"/>
    <w:pPr>
      <w:numPr>
        <w:ilvl w:val="6"/>
        <w:numId w:val="8"/>
      </w:numPr>
      <w:spacing w:before="120" w:after="120"/>
      <w:jc w:val="both"/>
    </w:pPr>
    <w:rPr>
      <w:rFonts w:ascii="Times New Roman" w:eastAsiaTheme="minorHAnsi" w:hAnsi="Times New Roman"/>
      <w:sz w:val="24"/>
      <w:szCs w:val="22"/>
      <w:lang w:val="en-GB" w:eastAsia="en-US"/>
    </w:rPr>
  </w:style>
  <w:style w:type="paragraph" w:customStyle="1" w:styleId="Point0letter">
    <w:name w:val="Point 0 (letter)"/>
    <w:basedOn w:val="Normal"/>
    <w:rsid w:val="00DE794C"/>
    <w:pPr>
      <w:numPr>
        <w:ilvl w:val="1"/>
        <w:numId w:val="8"/>
      </w:numPr>
      <w:spacing w:before="120" w:after="120"/>
      <w:jc w:val="both"/>
    </w:pPr>
    <w:rPr>
      <w:rFonts w:ascii="Times New Roman" w:eastAsiaTheme="minorHAnsi" w:hAnsi="Times New Roman"/>
      <w:sz w:val="24"/>
      <w:szCs w:val="22"/>
      <w:lang w:val="en-GB" w:eastAsia="en-US"/>
    </w:rPr>
  </w:style>
  <w:style w:type="paragraph" w:customStyle="1" w:styleId="Point1letter">
    <w:name w:val="Point 1 (letter)"/>
    <w:basedOn w:val="Normal"/>
    <w:rsid w:val="00DE794C"/>
    <w:pPr>
      <w:numPr>
        <w:ilvl w:val="3"/>
        <w:numId w:val="8"/>
      </w:numPr>
      <w:spacing w:before="120" w:after="120"/>
      <w:jc w:val="both"/>
    </w:pPr>
    <w:rPr>
      <w:rFonts w:ascii="Times New Roman" w:eastAsiaTheme="minorHAnsi" w:hAnsi="Times New Roman"/>
      <w:sz w:val="24"/>
      <w:szCs w:val="22"/>
      <w:lang w:val="en-GB" w:eastAsia="en-US"/>
    </w:rPr>
  </w:style>
  <w:style w:type="paragraph" w:customStyle="1" w:styleId="Point2letter">
    <w:name w:val="Point 2 (letter)"/>
    <w:basedOn w:val="Normal"/>
    <w:rsid w:val="00DE794C"/>
    <w:pPr>
      <w:numPr>
        <w:ilvl w:val="5"/>
        <w:numId w:val="8"/>
      </w:numPr>
      <w:spacing w:before="120" w:after="120"/>
      <w:jc w:val="both"/>
    </w:pPr>
    <w:rPr>
      <w:rFonts w:ascii="Times New Roman" w:eastAsiaTheme="minorHAnsi" w:hAnsi="Times New Roman"/>
      <w:sz w:val="24"/>
      <w:szCs w:val="22"/>
      <w:lang w:val="en-GB" w:eastAsia="en-US"/>
    </w:rPr>
  </w:style>
  <w:style w:type="paragraph" w:customStyle="1" w:styleId="Point3letter">
    <w:name w:val="Point 3 (letter)"/>
    <w:basedOn w:val="Normal"/>
    <w:rsid w:val="00DE794C"/>
    <w:pPr>
      <w:numPr>
        <w:ilvl w:val="7"/>
        <w:numId w:val="8"/>
      </w:numPr>
      <w:spacing w:before="120" w:after="120"/>
      <w:jc w:val="both"/>
    </w:pPr>
    <w:rPr>
      <w:rFonts w:ascii="Times New Roman" w:eastAsiaTheme="minorHAnsi" w:hAnsi="Times New Roman"/>
      <w:sz w:val="24"/>
      <w:szCs w:val="22"/>
      <w:lang w:val="en-GB" w:eastAsia="en-US"/>
    </w:rPr>
  </w:style>
  <w:style w:type="paragraph" w:customStyle="1" w:styleId="Point4letter">
    <w:name w:val="Point 4 (letter)"/>
    <w:basedOn w:val="Normal"/>
    <w:rsid w:val="00DE794C"/>
    <w:pPr>
      <w:numPr>
        <w:ilvl w:val="8"/>
        <w:numId w:val="8"/>
      </w:numPr>
      <w:spacing w:before="120" w:after="120"/>
      <w:jc w:val="both"/>
    </w:pPr>
    <w:rPr>
      <w:rFonts w:ascii="Times New Roman" w:eastAsiaTheme="minorHAnsi" w:hAnsi="Times New Roman"/>
      <w:sz w:val="24"/>
      <w:szCs w:val="22"/>
      <w:lang w:val="en-GB" w:eastAsia="en-US"/>
    </w:rPr>
  </w:style>
  <w:style w:type="paragraph" w:styleId="TOC8">
    <w:name w:val="toc 8"/>
    <w:basedOn w:val="Normal"/>
    <w:next w:val="Normal"/>
    <w:autoRedefine/>
    <w:uiPriority w:val="39"/>
    <w:semiHidden/>
    <w:unhideWhenUsed/>
    <w:rsid w:val="003C67C1"/>
    <w:pPr>
      <w:spacing w:after="100"/>
      <w:ind w:left="1540"/>
    </w:pPr>
  </w:style>
  <w:style w:type="paragraph" w:customStyle="1" w:styleId="ListenabsatzNew">
    <w:name w:val="Listenabsatz_New"/>
    <w:basedOn w:val="ListParagraph"/>
    <w:qFormat/>
    <w:rsid w:val="00A753D5"/>
    <w:rPr>
      <w:rFonts w:ascii="Times New Roman" w:hAnsi="Times New Roman" w:cs="Times New Roman"/>
      <w:szCs w:val="22"/>
      <w:lang w:val="en-US"/>
    </w:rPr>
  </w:style>
  <w:style w:type="character" w:customStyle="1" w:styleId="Heading4Char">
    <w:name w:val="Heading 4 Char"/>
    <w:basedOn w:val="DefaultParagraphFont"/>
    <w:link w:val="Heading4"/>
    <w:rsid w:val="004D0DA5"/>
    <w:rPr>
      <w:rFonts w:ascii="Verdana" w:eastAsia="Times New Roman" w:hAnsi="Verdana" w:cs="Times New Roman"/>
      <w:b/>
      <w:color w:val="57585A"/>
      <w:sz w:val="18"/>
      <w:szCs w:val="20"/>
      <w:lang w:val="en-US"/>
    </w:rPr>
  </w:style>
  <w:style w:type="character" w:customStyle="1" w:styleId="Heading5Char">
    <w:name w:val="Heading 5 Char"/>
    <w:basedOn w:val="DefaultParagraphFont"/>
    <w:link w:val="Heading5"/>
    <w:rsid w:val="004D0DA5"/>
    <w:rPr>
      <w:rFonts w:ascii="Arial" w:eastAsia="Times New Roman" w:hAnsi="Arial" w:cs="Times New Roman"/>
      <w:szCs w:val="20"/>
      <w:lang w:val="en-US"/>
    </w:rPr>
  </w:style>
  <w:style w:type="character" w:customStyle="1" w:styleId="Heading6Char">
    <w:name w:val="Heading 6 Char"/>
    <w:basedOn w:val="DefaultParagraphFont"/>
    <w:link w:val="Heading6"/>
    <w:rsid w:val="004D0DA5"/>
    <w:rPr>
      <w:rFonts w:ascii="Verdana" w:eastAsia="Times New Roman" w:hAnsi="Verdana" w:cs="Times New Roman"/>
      <w:i/>
      <w:szCs w:val="20"/>
      <w:lang w:val="en-US"/>
    </w:rPr>
  </w:style>
  <w:style w:type="character" w:customStyle="1" w:styleId="Heading7Char">
    <w:name w:val="Heading 7 Char"/>
    <w:basedOn w:val="DefaultParagraphFont"/>
    <w:link w:val="Heading7"/>
    <w:rsid w:val="004D0DA5"/>
    <w:rPr>
      <w:rFonts w:ascii="Arial" w:eastAsia="Times New Roman" w:hAnsi="Arial" w:cs="Times New Roman"/>
      <w:sz w:val="18"/>
      <w:szCs w:val="20"/>
      <w:lang w:val="en-US"/>
    </w:rPr>
  </w:style>
  <w:style w:type="character" w:customStyle="1" w:styleId="Heading8Char">
    <w:name w:val="Heading 8 Char"/>
    <w:basedOn w:val="DefaultParagraphFont"/>
    <w:link w:val="Heading8"/>
    <w:rsid w:val="004D0DA5"/>
    <w:rPr>
      <w:rFonts w:ascii="Arial" w:eastAsia="Times New Roman" w:hAnsi="Arial" w:cs="Times New Roman"/>
      <w:i/>
      <w:sz w:val="18"/>
      <w:szCs w:val="20"/>
      <w:lang w:val="en-US"/>
    </w:rPr>
  </w:style>
  <w:style w:type="character" w:customStyle="1" w:styleId="Heading9Char">
    <w:name w:val="Heading 9 Char"/>
    <w:basedOn w:val="DefaultParagraphFont"/>
    <w:link w:val="Heading9"/>
    <w:rsid w:val="004D0DA5"/>
    <w:rPr>
      <w:rFonts w:ascii="Arial" w:eastAsia="Times New Roman" w:hAnsi="Arial" w:cs="Times New Roman"/>
      <w:b/>
      <w:i/>
      <w:sz w:val="18"/>
      <w:szCs w:val="20"/>
      <w:lang w:val="en-US"/>
    </w:rPr>
  </w:style>
  <w:style w:type="paragraph" w:styleId="Caption">
    <w:name w:val="caption"/>
    <w:basedOn w:val="Normal"/>
    <w:next w:val="Normal"/>
    <w:qFormat/>
    <w:rsid w:val="004D0DA5"/>
    <w:pPr>
      <w:tabs>
        <w:tab w:val="left" w:pos="1701"/>
      </w:tabs>
      <w:spacing w:after="120" w:line="360" w:lineRule="auto"/>
      <w:ind w:left="1701"/>
      <w:jc w:val="both"/>
    </w:pPr>
    <w:rPr>
      <w:rFonts w:ascii="Verdana" w:hAnsi="Verdana" w:cs="Arial"/>
      <w:sz w:val="16"/>
      <w:szCs w:val="20"/>
      <w:lang w:val="en-US" w:eastAsia="en-US"/>
    </w:rPr>
  </w:style>
  <w:style w:type="paragraph" w:styleId="FootnoteText">
    <w:name w:val="footnote text"/>
    <w:basedOn w:val="Normal"/>
    <w:link w:val="FootnoteTextChar"/>
    <w:uiPriority w:val="99"/>
    <w:rsid w:val="004D0DA5"/>
    <w:pPr>
      <w:spacing w:line="360" w:lineRule="auto"/>
      <w:jc w:val="both"/>
    </w:pPr>
    <w:rPr>
      <w:rFonts w:ascii="Verdana" w:hAnsi="Verdana"/>
      <w:sz w:val="18"/>
      <w:szCs w:val="20"/>
      <w:lang w:val="en-US" w:eastAsia="en-US"/>
    </w:rPr>
  </w:style>
  <w:style w:type="character" w:customStyle="1" w:styleId="FootnoteTextChar">
    <w:name w:val="Footnote Text Char"/>
    <w:basedOn w:val="DefaultParagraphFont"/>
    <w:link w:val="FootnoteText"/>
    <w:uiPriority w:val="99"/>
    <w:rsid w:val="004D0DA5"/>
    <w:rPr>
      <w:rFonts w:ascii="Verdana" w:eastAsia="Times New Roman" w:hAnsi="Verdana" w:cs="Times New Roman"/>
      <w:sz w:val="18"/>
      <w:szCs w:val="20"/>
      <w:lang w:val="en-US"/>
    </w:rPr>
  </w:style>
  <w:style w:type="character" w:styleId="FootnoteReference">
    <w:name w:val="footnote reference"/>
    <w:uiPriority w:val="99"/>
    <w:rsid w:val="004D0DA5"/>
    <w:rPr>
      <w:vertAlign w:val="superscript"/>
    </w:rPr>
  </w:style>
  <w:style w:type="paragraph" w:customStyle="1" w:styleId="Text">
    <w:name w:val="Text"/>
    <w:basedOn w:val="Normal"/>
    <w:uiPriority w:val="99"/>
    <w:rsid w:val="004D0DA5"/>
    <w:pPr>
      <w:spacing w:after="120" w:line="360" w:lineRule="auto"/>
      <w:ind w:left="1276"/>
      <w:jc w:val="both"/>
    </w:pPr>
    <w:rPr>
      <w:rFonts w:ascii="Verdana" w:hAnsi="Verdana"/>
      <w:sz w:val="18"/>
      <w:szCs w:val="20"/>
      <w:lang w:val="en-US" w:eastAsia="nl-NL"/>
    </w:rPr>
  </w:style>
  <w:style w:type="table" w:customStyle="1" w:styleId="GridTable1Light1">
    <w:name w:val="Grid Table 1 Light1"/>
    <w:basedOn w:val="TableNormal"/>
    <w:uiPriority w:val="46"/>
    <w:rsid w:val="00CF2E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1">
    <w:name w:val="Tableau Grille 1 Clair1"/>
    <w:basedOn w:val="TableNormal"/>
    <w:uiPriority w:val="46"/>
    <w:rsid w:val="00BF71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D40D52"/>
  </w:style>
  <w:style w:type="character" w:styleId="Emphasis">
    <w:name w:val="Emphasis"/>
    <w:basedOn w:val="DefaultParagraphFont"/>
    <w:uiPriority w:val="20"/>
    <w:qFormat/>
    <w:rsid w:val="00D40D52"/>
    <w:rPr>
      <w:i/>
      <w:iCs/>
    </w:rPr>
  </w:style>
  <w:style w:type="paragraph" w:customStyle="1" w:styleId="Default">
    <w:name w:val="Default"/>
    <w:rsid w:val="00B24C25"/>
    <w:pPr>
      <w:autoSpaceDE w:val="0"/>
      <w:autoSpaceDN w:val="0"/>
      <w:adjustRightInd w:val="0"/>
    </w:pPr>
    <w:rPr>
      <w:rFonts w:ascii="Times New Roman" w:hAnsi="Times New Roman" w:cs="Times New Roman"/>
      <w:color w:val="000000"/>
      <w:sz w:val="24"/>
      <w:szCs w:val="24"/>
      <w:lang w:val="fr-FR"/>
    </w:rPr>
  </w:style>
  <w:style w:type="paragraph" w:customStyle="1" w:styleId="Numbering2">
    <w:name w:val="Numbering 2"/>
    <w:basedOn w:val="Normal"/>
    <w:qFormat/>
    <w:rsid w:val="00B2256C"/>
    <w:pPr>
      <w:numPr>
        <w:ilvl w:val="1"/>
        <w:numId w:val="35"/>
      </w:numPr>
      <w:spacing w:after="120" w:line="254" w:lineRule="auto"/>
      <w:jc w:val="both"/>
    </w:pPr>
    <w:rPr>
      <w:rFonts w:ascii="Times New Roman" w:hAnsi="Times New Roman"/>
      <w:lang w:val="en-GB" w:eastAsia="en-US"/>
    </w:rPr>
  </w:style>
  <w:style w:type="paragraph" w:customStyle="1" w:styleId="Numbering">
    <w:name w:val="Numbering !"/>
    <w:basedOn w:val="Normal"/>
    <w:uiPriority w:val="99"/>
    <w:qFormat/>
    <w:rsid w:val="00C52EA0"/>
    <w:pPr>
      <w:spacing w:after="120" w:line="254" w:lineRule="auto"/>
      <w:jc w:val="both"/>
    </w:pPr>
    <w:rPr>
      <w:rFonts w:ascii="Times New Roman" w:hAnsi="Times New Roman"/>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2312">
      <w:bodyDiv w:val="1"/>
      <w:marLeft w:val="0"/>
      <w:marRight w:val="0"/>
      <w:marTop w:val="0"/>
      <w:marBottom w:val="0"/>
      <w:divBdr>
        <w:top w:val="none" w:sz="0" w:space="0" w:color="auto"/>
        <w:left w:val="none" w:sz="0" w:space="0" w:color="auto"/>
        <w:bottom w:val="none" w:sz="0" w:space="0" w:color="auto"/>
        <w:right w:val="none" w:sz="0" w:space="0" w:color="auto"/>
      </w:divBdr>
    </w:div>
    <w:div w:id="457646360">
      <w:bodyDiv w:val="1"/>
      <w:marLeft w:val="0"/>
      <w:marRight w:val="0"/>
      <w:marTop w:val="0"/>
      <w:marBottom w:val="0"/>
      <w:divBdr>
        <w:top w:val="none" w:sz="0" w:space="0" w:color="auto"/>
        <w:left w:val="none" w:sz="0" w:space="0" w:color="auto"/>
        <w:bottom w:val="none" w:sz="0" w:space="0" w:color="auto"/>
        <w:right w:val="none" w:sz="0" w:space="0" w:color="auto"/>
      </w:divBdr>
    </w:div>
    <w:div w:id="484443375">
      <w:bodyDiv w:val="1"/>
      <w:marLeft w:val="0"/>
      <w:marRight w:val="0"/>
      <w:marTop w:val="0"/>
      <w:marBottom w:val="0"/>
      <w:divBdr>
        <w:top w:val="none" w:sz="0" w:space="0" w:color="auto"/>
        <w:left w:val="none" w:sz="0" w:space="0" w:color="auto"/>
        <w:bottom w:val="none" w:sz="0" w:space="0" w:color="auto"/>
        <w:right w:val="none" w:sz="0" w:space="0" w:color="auto"/>
      </w:divBdr>
    </w:div>
    <w:div w:id="493180397">
      <w:bodyDiv w:val="1"/>
      <w:marLeft w:val="0"/>
      <w:marRight w:val="0"/>
      <w:marTop w:val="0"/>
      <w:marBottom w:val="0"/>
      <w:divBdr>
        <w:top w:val="none" w:sz="0" w:space="0" w:color="auto"/>
        <w:left w:val="none" w:sz="0" w:space="0" w:color="auto"/>
        <w:bottom w:val="none" w:sz="0" w:space="0" w:color="auto"/>
        <w:right w:val="none" w:sz="0" w:space="0" w:color="auto"/>
      </w:divBdr>
    </w:div>
    <w:div w:id="571237060">
      <w:bodyDiv w:val="1"/>
      <w:marLeft w:val="0"/>
      <w:marRight w:val="0"/>
      <w:marTop w:val="0"/>
      <w:marBottom w:val="0"/>
      <w:divBdr>
        <w:top w:val="none" w:sz="0" w:space="0" w:color="auto"/>
        <w:left w:val="none" w:sz="0" w:space="0" w:color="auto"/>
        <w:bottom w:val="none" w:sz="0" w:space="0" w:color="auto"/>
        <w:right w:val="none" w:sz="0" w:space="0" w:color="auto"/>
      </w:divBdr>
    </w:div>
    <w:div w:id="670720653">
      <w:bodyDiv w:val="1"/>
      <w:marLeft w:val="0"/>
      <w:marRight w:val="0"/>
      <w:marTop w:val="0"/>
      <w:marBottom w:val="0"/>
      <w:divBdr>
        <w:top w:val="none" w:sz="0" w:space="0" w:color="auto"/>
        <w:left w:val="none" w:sz="0" w:space="0" w:color="auto"/>
        <w:bottom w:val="none" w:sz="0" w:space="0" w:color="auto"/>
        <w:right w:val="none" w:sz="0" w:space="0" w:color="auto"/>
      </w:divBdr>
    </w:div>
    <w:div w:id="865675535">
      <w:bodyDiv w:val="1"/>
      <w:marLeft w:val="0"/>
      <w:marRight w:val="0"/>
      <w:marTop w:val="0"/>
      <w:marBottom w:val="0"/>
      <w:divBdr>
        <w:top w:val="none" w:sz="0" w:space="0" w:color="auto"/>
        <w:left w:val="none" w:sz="0" w:space="0" w:color="auto"/>
        <w:bottom w:val="none" w:sz="0" w:space="0" w:color="auto"/>
        <w:right w:val="none" w:sz="0" w:space="0" w:color="auto"/>
      </w:divBdr>
    </w:div>
    <w:div w:id="921598776">
      <w:bodyDiv w:val="1"/>
      <w:marLeft w:val="0"/>
      <w:marRight w:val="0"/>
      <w:marTop w:val="0"/>
      <w:marBottom w:val="0"/>
      <w:divBdr>
        <w:top w:val="none" w:sz="0" w:space="0" w:color="auto"/>
        <w:left w:val="none" w:sz="0" w:space="0" w:color="auto"/>
        <w:bottom w:val="none" w:sz="0" w:space="0" w:color="auto"/>
        <w:right w:val="none" w:sz="0" w:space="0" w:color="auto"/>
      </w:divBdr>
    </w:div>
    <w:div w:id="924455016">
      <w:bodyDiv w:val="1"/>
      <w:marLeft w:val="0"/>
      <w:marRight w:val="0"/>
      <w:marTop w:val="0"/>
      <w:marBottom w:val="0"/>
      <w:divBdr>
        <w:top w:val="none" w:sz="0" w:space="0" w:color="auto"/>
        <w:left w:val="none" w:sz="0" w:space="0" w:color="auto"/>
        <w:bottom w:val="none" w:sz="0" w:space="0" w:color="auto"/>
        <w:right w:val="none" w:sz="0" w:space="0" w:color="auto"/>
      </w:divBdr>
    </w:div>
    <w:div w:id="1080516881">
      <w:bodyDiv w:val="1"/>
      <w:marLeft w:val="0"/>
      <w:marRight w:val="0"/>
      <w:marTop w:val="0"/>
      <w:marBottom w:val="0"/>
      <w:divBdr>
        <w:top w:val="none" w:sz="0" w:space="0" w:color="auto"/>
        <w:left w:val="none" w:sz="0" w:space="0" w:color="auto"/>
        <w:bottom w:val="none" w:sz="0" w:space="0" w:color="auto"/>
        <w:right w:val="none" w:sz="0" w:space="0" w:color="auto"/>
      </w:divBdr>
    </w:div>
    <w:div w:id="1172720433">
      <w:bodyDiv w:val="1"/>
      <w:marLeft w:val="0"/>
      <w:marRight w:val="0"/>
      <w:marTop w:val="0"/>
      <w:marBottom w:val="0"/>
      <w:divBdr>
        <w:top w:val="none" w:sz="0" w:space="0" w:color="auto"/>
        <w:left w:val="none" w:sz="0" w:space="0" w:color="auto"/>
        <w:bottom w:val="none" w:sz="0" w:space="0" w:color="auto"/>
        <w:right w:val="none" w:sz="0" w:space="0" w:color="auto"/>
      </w:divBdr>
      <w:divsChild>
        <w:div w:id="720833499">
          <w:marLeft w:val="0"/>
          <w:marRight w:val="0"/>
          <w:marTop w:val="0"/>
          <w:marBottom w:val="0"/>
          <w:divBdr>
            <w:top w:val="none" w:sz="0" w:space="0" w:color="auto"/>
            <w:left w:val="none" w:sz="0" w:space="0" w:color="auto"/>
            <w:bottom w:val="none" w:sz="0" w:space="0" w:color="auto"/>
            <w:right w:val="none" w:sz="0" w:space="0" w:color="auto"/>
          </w:divBdr>
        </w:div>
        <w:div w:id="1836847150">
          <w:marLeft w:val="0"/>
          <w:marRight w:val="0"/>
          <w:marTop w:val="0"/>
          <w:marBottom w:val="0"/>
          <w:divBdr>
            <w:top w:val="none" w:sz="0" w:space="0" w:color="auto"/>
            <w:left w:val="none" w:sz="0" w:space="0" w:color="auto"/>
            <w:bottom w:val="none" w:sz="0" w:space="0" w:color="auto"/>
            <w:right w:val="none" w:sz="0" w:space="0" w:color="auto"/>
          </w:divBdr>
        </w:div>
        <w:div w:id="1297644063">
          <w:marLeft w:val="0"/>
          <w:marRight w:val="0"/>
          <w:marTop w:val="0"/>
          <w:marBottom w:val="0"/>
          <w:divBdr>
            <w:top w:val="none" w:sz="0" w:space="0" w:color="auto"/>
            <w:left w:val="none" w:sz="0" w:space="0" w:color="auto"/>
            <w:bottom w:val="none" w:sz="0" w:space="0" w:color="auto"/>
            <w:right w:val="none" w:sz="0" w:space="0" w:color="auto"/>
          </w:divBdr>
        </w:div>
        <w:div w:id="352191912">
          <w:marLeft w:val="0"/>
          <w:marRight w:val="0"/>
          <w:marTop w:val="0"/>
          <w:marBottom w:val="0"/>
          <w:divBdr>
            <w:top w:val="none" w:sz="0" w:space="0" w:color="auto"/>
            <w:left w:val="none" w:sz="0" w:space="0" w:color="auto"/>
            <w:bottom w:val="none" w:sz="0" w:space="0" w:color="auto"/>
            <w:right w:val="none" w:sz="0" w:space="0" w:color="auto"/>
          </w:divBdr>
        </w:div>
        <w:div w:id="308628849">
          <w:marLeft w:val="0"/>
          <w:marRight w:val="0"/>
          <w:marTop w:val="0"/>
          <w:marBottom w:val="0"/>
          <w:divBdr>
            <w:top w:val="none" w:sz="0" w:space="0" w:color="auto"/>
            <w:left w:val="none" w:sz="0" w:space="0" w:color="auto"/>
            <w:bottom w:val="none" w:sz="0" w:space="0" w:color="auto"/>
            <w:right w:val="none" w:sz="0" w:space="0" w:color="auto"/>
          </w:divBdr>
        </w:div>
        <w:div w:id="1964846771">
          <w:marLeft w:val="0"/>
          <w:marRight w:val="0"/>
          <w:marTop w:val="0"/>
          <w:marBottom w:val="0"/>
          <w:divBdr>
            <w:top w:val="none" w:sz="0" w:space="0" w:color="auto"/>
            <w:left w:val="none" w:sz="0" w:space="0" w:color="auto"/>
            <w:bottom w:val="none" w:sz="0" w:space="0" w:color="auto"/>
            <w:right w:val="none" w:sz="0" w:space="0" w:color="auto"/>
          </w:divBdr>
        </w:div>
        <w:div w:id="548995816">
          <w:marLeft w:val="0"/>
          <w:marRight w:val="0"/>
          <w:marTop w:val="0"/>
          <w:marBottom w:val="0"/>
          <w:divBdr>
            <w:top w:val="none" w:sz="0" w:space="0" w:color="auto"/>
            <w:left w:val="none" w:sz="0" w:space="0" w:color="auto"/>
            <w:bottom w:val="none" w:sz="0" w:space="0" w:color="auto"/>
            <w:right w:val="none" w:sz="0" w:space="0" w:color="auto"/>
          </w:divBdr>
        </w:div>
        <w:div w:id="2143693178">
          <w:marLeft w:val="0"/>
          <w:marRight w:val="0"/>
          <w:marTop w:val="0"/>
          <w:marBottom w:val="0"/>
          <w:divBdr>
            <w:top w:val="none" w:sz="0" w:space="0" w:color="auto"/>
            <w:left w:val="none" w:sz="0" w:space="0" w:color="auto"/>
            <w:bottom w:val="none" w:sz="0" w:space="0" w:color="auto"/>
            <w:right w:val="none" w:sz="0" w:space="0" w:color="auto"/>
          </w:divBdr>
        </w:div>
        <w:div w:id="856040553">
          <w:marLeft w:val="0"/>
          <w:marRight w:val="0"/>
          <w:marTop w:val="0"/>
          <w:marBottom w:val="0"/>
          <w:divBdr>
            <w:top w:val="none" w:sz="0" w:space="0" w:color="auto"/>
            <w:left w:val="none" w:sz="0" w:space="0" w:color="auto"/>
            <w:bottom w:val="none" w:sz="0" w:space="0" w:color="auto"/>
            <w:right w:val="none" w:sz="0" w:space="0" w:color="auto"/>
          </w:divBdr>
        </w:div>
        <w:div w:id="1579246288">
          <w:marLeft w:val="0"/>
          <w:marRight w:val="0"/>
          <w:marTop w:val="0"/>
          <w:marBottom w:val="0"/>
          <w:divBdr>
            <w:top w:val="none" w:sz="0" w:space="0" w:color="auto"/>
            <w:left w:val="none" w:sz="0" w:space="0" w:color="auto"/>
            <w:bottom w:val="none" w:sz="0" w:space="0" w:color="auto"/>
            <w:right w:val="none" w:sz="0" w:space="0" w:color="auto"/>
          </w:divBdr>
        </w:div>
        <w:div w:id="1889755709">
          <w:marLeft w:val="0"/>
          <w:marRight w:val="0"/>
          <w:marTop w:val="0"/>
          <w:marBottom w:val="0"/>
          <w:divBdr>
            <w:top w:val="none" w:sz="0" w:space="0" w:color="auto"/>
            <w:left w:val="none" w:sz="0" w:space="0" w:color="auto"/>
            <w:bottom w:val="none" w:sz="0" w:space="0" w:color="auto"/>
            <w:right w:val="none" w:sz="0" w:space="0" w:color="auto"/>
          </w:divBdr>
        </w:div>
        <w:div w:id="1459177216">
          <w:marLeft w:val="0"/>
          <w:marRight w:val="0"/>
          <w:marTop w:val="0"/>
          <w:marBottom w:val="0"/>
          <w:divBdr>
            <w:top w:val="none" w:sz="0" w:space="0" w:color="auto"/>
            <w:left w:val="none" w:sz="0" w:space="0" w:color="auto"/>
            <w:bottom w:val="none" w:sz="0" w:space="0" w:color="auto"/>
            <w:right w:val="none" w:sz="0" w:space="0" w:color="auto"/>
          </w:divBdr>
        </w:div>
        <w:div w:id="1893078495">
          <w:marLeft w:val="0"/>
          <w:marRight w:val="0"/>
          <w:marTop w:val="0"/>
          <w:marBottom w:val="0"/>
          <w:divBdr>
            <w:top w:val="none" w:sz="0" w:space="0" w:color="auto"/>
            <w:left w:val="none" w:sz="0" w:space="0" w:color="auto"/>
            <w:bottom w:val="none" w:sz="0" w:space="0" w:color="auto"/>
            <w:right w:val="none" w:sz="0" w:space="0" w:color="auto"/>
          </w:divBdr>
        </w:div>
        <w:div w:id="218907520">
          <w:marLeft w:val="0"/>
          <w:marRight w:val="0"/>
          <w:marTop w:val="0"/>
          <w:marBottom w:val="0"/>
          <w:divBdr>
            <w:top w:val="none" w:sz="0" w:space="0" w:color="auto"/>
            <w:left w:val="none" w:sz="0" w:space="0" w:color="auto"/>
            <w:bottom w:val="none" w:sz="0" w:space="0" w:color="auto"/>
            <w:right w:val="none" w:sz="0" w:space="0" w:color="auto"/>
          </w:divBdr>
        </w:div>
        <w:div w:id="329216205">
          <w:marLeft w:val="0"/>
          <w:marRight w:val="0"/>
          <w:marTop w:val="0"/>
          <w:marBottom w:val="0"/>
          <w:divBdr>
            <w:top w:val="none" w:sz="0" w:space="0" w:color="auto"/>
            <w:left w:val="none" w:sz="0" w:space="0" w:color="auto"/>
            <w:bottom w:val="none" w:sz="0" w:space="0" w:color="auto"/>
            <w:right w:val="none" w:sz="0" w:space="0" w:color="auto"/>
          </w:divBdr>
        </w:div>
        <w:div w:id="505168432">
          <w:marLeft w:val="0"/>
          <w:marRight w:val="0"/>
          <w:marTop w:val="0"/>
          <w:marBottom w:val="0"/>
          <w:divBdr>
            <w:top w:val="none" w:sz="0" w:space="0" w:color="auto"/>
            <w:left w:val="none" w:sz="0" w:space="0" w:color="auto"/>
            <w:bottom w:val="none" w:sz="0" w:space="0" w:color="auto"/>
            <w:right w:val="none" w:sz="0" w:space="0" w:color="auto"/>
          </w:divBdr>
        </w:div>
        <w:div w:id="1063989955">
          <w:marLeft w:val="0"/>
          <w:marRight w:val="0"/>
          <w:marTop w:val="0"/>
          <w:marBottom w:val="0"/>
          <w:divBdr>
            <w:top w:val="none" w:sz="0" w:space="0" w:color="auto"/>
            <w:left w:val="none" w:sz="0" w:space="0" w:color="auto"/>
            <w:bottom w:val="none" w:sz="0" w:space="0" w:color="auto"/>
            <w:right w:val="none" w:sz="0" w:space="0" w:color="auto"/>
          </w:divBdr>
        </w:div>
        <w:div w:id="1994289368">
          <w:marLeft w:val="0"/>
          <w:marRight w:val="0"/>
          <w:marTop w:val="0"/>
          <w:marBottom w:val="0"/>
          <w:divBdr>
            <w:top w:val="none" w:sz="0" w:space="0" w:color="auto"/>
            <w:left w:val="none" w:sz="0" w:space="0" w:color="auto"/>
            <w:bottom w:val="none" w:sz="0" w:space="0" w:color="auto"/>
            <w:right w:val="none" w:sz="0" w:space="0" w:color="auto"/>
          </w:divBdr>
        </w:div>
        <w:div w:id="1035277231">
          <w:marLeft w:val="0"/>
          <w:marRight w:val="0"/>
          <w:marTop w:val="0"/>
          <w:marBottom w:val="0"/>
          <w:divBdr>
            <w:top w:val="none" w:sz="0" w:space="0" w:color="auto"/>
            <w:left w:val="none" w:sz="0" w:space="0" w:color="auto"/>
            <w:bottom w:val="none" w:sz="0" w:space="0" w:color="auto"/>
            <w:right w:val="none" w:sz="0" w:space="0" w:color="auto"/>
          </w:divBdr>
        </w:div>
        <w:div w:id="1010106636">
          <w:marLeft w:val="0"/>
          <w:marRight w:val="0"/>
          <w:marTop w:val="0"/>
          <w:marBottom w:val="0"/>
          <w:divBdr>
            <w:top w:val="none" w:sz="0" w:space="0" w:color="auto"/>
            <w:left w:val="none" w:sz="0" w:space="0" w:color="auto"/>
            <w:bottom w:val="none" w:sz="0" w:space="0" w:color="auto"/>
            <w:right w:val="none" w:sz="0" w:space="0" w:color="auto"/>
          </w:divBdr>
        </w:div>
        <w:div w:id="653217606">
          <w:marLeft w:val="0"/>
          <w:marRight w:val="0"/>
          <w:marTop w:val="0"/>
          <w:marBottom w:val="0"/>
          <w:divBdr>
            <w:top w:val="none" w:sz="0" w:space="0" w:color="auto"/>
            <w:left w:val="none" w:sz="0" w:space="0" w:color="auto"/>
            <w:bottom w:val="none" w:sz="0" w:space="0" w:color="auto"/>
            <w:right w:val="none" w:sz="0" w:space="0" w:color="auto"/>
          </w:divBdr>
        </w:div>
        <w:div w:id="1514537890">
          <w:marLeft w:val="0"/>
          <w:marRight w:val="0"/>
          <w:marTop w:val="0"/>
          <w:marBottom w:val="0"/>
          <w:divBdr>
            <w:top w:val="none" w:sz="0" w:space="0" w:color="auto"/>
            <w:left w:val="none" w:sz="0" w:space="0" w:color="auto"/>
            <w:bottom w:val="none" w:sz="0" w:space="0" w:color="auto"/>
            <w:right w:val="none" w:sz="0" w:space="0" w:color="auto"/>
          </w:divBdr>
        </w:div>
        <w:div w:id="1471511042">
          <w:marLeft w:val="0"/>
          <w:marRight w:val="0"/>
          <w:marTop w:val="0"/>
          <w:marBottom w:val="0"/>
          <w:divBdr>
            <w:top w:val="none" w:sz="0" w:space="0" w:color="auto"/>
            <w:left w:val="none" w:sz="0" w:space="0" w:color="auto"/>
            <w:bottom w:val="none" w:sz="0" w:space="0" w:color="auto"/>
            <w:right w:val="none" w:sz="0" w:space="0" w:color="auto"/>
          </w:divBdr>
        </w:div>
        <w:div w:id="1286079801">
          <w:marLeft w:val="0"/>
          <w:marRight w:val="0"/>
          <w:marTop w:val="0"/>
          <w:marBottom w:val="0"/>
          <w:divBdr>
            <w:top w:val="none" w:sz="0" w:space="0" w:color="auto"/>
            <w:left w:val="none" w:sz="0" w:space="0" w:color="auto"/>
            <w:bottom w:val="none" w:sz="0" w:space="0" w:color="auto"/>
            <w:right w:val="none" w:sz="0" w:space="0" w:color="auto"/>
          </w:divBdr>
        </w:div>
        <w:div w:id="1436900524">
          <w:marLeft w:val="0"/>
          <w:marRight w:val="0"/>
          <w:marTop w:val="0"/>
          <w:marBottom w:val="0"/>
          <w:divBdr>
            <w:top w:val="none" w:sz="0" w:space="0" w:color="auto"/>
            <w:left w:val="none" w:sz="0" w:space="0" w:color="auto"/>
            <w:bottom w:val="none" w:sz="0" w:space="0" w:color="auto"/>
            <w:right w:val="none" w:sz="0" w:space="0" w:color="auto"/>
          </w:divBdr>
        </w:div>
        <w:div w:id="1307198302">
          <w:marLeft w:val="0"/>
          <w:marRight w:val="0"/>
          <w:marTop w:val="0"/>
          <w:marBottom w:val="0"/>
          <w:divBdr>
            <w:top w:val="none" w:sz="0" w:space="0" w:color="auto"/>
            <w:left w:val="none" w:sz="0" w:space="0" w:color="auto"/>
            <w:bottom w:val="none" w:sz="0" w:space="0" w:color="auto"/>
            <w:right w:val="none" w:sz="0" w:space="0" w:color="auto"/>
          </w:divBdr>
        </w:div>
        <w:div w:id="428890820">
          <w:marLeft w:val="0"/>
          <w:marRight w:val="0"/>
          <w:marTop w:val="0"/>
          <w:marBottom w:val="0"/>
          <w:divBdr>
            <w:top w:val="none" w:sz="0" w:space="0" w:color="auto"/>
            <w:left w:val="none" w:sz="0" w:space="0" w:color="auto"/>
            <w:bottom w:val="none" w:sz="0" w:space="0" w:color="auto"/>
            <w:right w:val="none" w:sz="0" w:space="0" w:color="auto"/>
          </w:divBdr>
        </w:div>
        <w:div w:id="697894538">
          <w:marLeft w:val="0"/>
          <w:marRight w:val="0"/>
          <w:marTop w:val="0"/>
          <w:marBottom w:val="0"/>
          <w:divBdr>
            <w:top w:val="none" w:sz="0" w:space="0" w:color="auto"/>
            <w:left w:val="none" w:sz="0" w:space="0" w:color="auto"/>
            <w:bottom w:val="none" w:sz="0" w:space="0" w:color="auto"/>
            <w:right w:val="none" w:sz="0" w:space="0" w:color="auto"/>
          </w:divBdr>
        </w:div>
        <w:div w:id="1545289317">
          <w:marLeft w:val="0"/>
          <w:marRight w:val="0"/>
          <w:marTop w:val="0"/>
          <w:marBottom w:val="0"/>
          <w:divBdr>
            <w:top w:val="none" w:sz="0" w:space="0" w:color="auto"/>
            <w:left w:val="none" w:sz="0" w:space="0" w:color="auto"/>
            <w:bottom w:val="none" w:sz="0" w:space="0" w:color="auto"/>
            <w:right w:val="none" w:sz="0" w:space="0" w:color="auto"/>
          </w:divBdr>
        </w:div>
        <w:div w:id="1219321061">
          <w:marLeft w:val="0"/>
          <w:marRight w:val="0"/>
          <w:marTop w:val="0"/>
          <w:marBottom w:val="0"/>
          <w:divBdr>
            <w:top w:val="none" w:sz="0" w:space="0" w:color="auto"/>
            <w:left w:val="none" w:sz="0" w:space="0" w:color="auto"/>
            <w:bottom w:val="none" w:sz="0" w:space="0" w:color="auto"/>
            <w:right w:val="none" w:sz="0" w:space="0" w:color="auto"/>
          </w:divBdr>
        </w:div>
        <w:div w:id="1661497493">
          <w:marLeft w:val="0"/>
          <w:marRight w:val="0"/>
          <w:marTop w:val="0"/>
          <w:marBottom w:val="0"/>
          <w:divBdr>
            <w:top w:val="none" w:sz="0" w:space="0" w:color="auto"/>
            <w:left w:val="none" w:sz="0" w:space="0" w:color="auto"/>
            <w:bottom w:val="none" w:sz="0" w:space="0" w:color="auto"/>
            <w:right w:val="none" w:sz="0" w:space="0" w:color="auto"/>
          </w:divBdr>
        </w:div>
        <w:div w:id="1054694640">
          <w:marLeft w:val="0"/>
          <w:marRight w:val="0"/>
          <w:marTop w:val="0"/>
          <w:marBottom w:val="0"/>
          <w:divBdr>
            <w:top w:val="none" w:sz="0" w:space="0" w:color="auto"/>
            <w:left w:val="none" w:sz="0" w:space="0" w:color="auto"/>
            <w:bottom w:val="none" w:sz="0" w:space="0" w:color="auto"/>
            <w:right w:val="none" w:sz="0" w:space="0" w:color="auto"/>
          </w:divBdr>
        </w:div>
        <w:div w:id="2026901278">
          <w:marLeft w:val="0"/>
          <w:marRight w:val="0"/>
          <w:marTop w:val="0"/>
          <w:marBottom w:val="0"/>
          <w:divBdr>
            <w:top w:val="none" w:sz="0" w:space="0" w:color="auto"/>
            <w:left w:val="none" w:sz="0" w:space="0" w:color="auto"/>
            <w:bottom w:val="none" w:sz="0" w:space="0" w:color="auto"/>
            <w:right w:val="none" w:sz="0" w:space="0" w:color="auto"/>
          </w:divBdr>
        </w:div>
        <w:div w:id="2019192153">
          <w:marLeft w:val="0"/>
          <w:marRight w:val="0"/>
          <w:marTop w:val="0"/>
          <w:marBottom w:val="0"/>
          <w:divBdr>
            <w:top w:val="none" w:sz="0" w:space="0" w:color="auto"/>
            <w:left w:val="none" w:sz="0" w:space="0" w:color="auto"/>
            <w:bottom w:val="none" w:sz="0" w:space="0" w:color="auto"/>
            <w:right w:val="none" w:sz="0" w:space="0" w:color="auto"/>
          </w:divBdr>
        </w:div>
        <w:div w:id="344484372">
          <w:marLeft w:val="0"/>
          <w:marRight w:val="0"/>
          <w:marTop w:val="0"/>
          <w:marBottom w:val="0"/>
          <w:divBdr>
            <w:top w:val="none" w:sz="0" w:space="0" w:color="auto"/>
            <w:left w:val="none" w:sz="0" w:space="0" w:color="auto"/>
            <w:bottom w:val="none" w:sz="0" w:space="0" w:color="auto"/>
            <w:right w:val="none" w:sz="0" w:space="0" w:color="auto"/>
          </w:divBdr>
        </w:div>
        <w:div w:id="864246334">
          <w:marLeft w:val="0"/>
          <w:marRight w:val="0"/>
          <w:marTop w:val="0"/>
          <w:marBottom w:val="0"/>
          <w:divBdr>
            <w:top w:val="none" w:sz="0" w:space="0" w:color="auto"/>
            <w:left w:val="none" w:sz="0" w:space="0" w:color="auto"/>
            <w:bottom w:val="none" w:sz="0" w:space="0" w:color="auto"/>
            <w:right w:val="none" w:sz="0" w:space="0" w:color="auto"/>
          </w:divBdr>
        </w:div>
        <w:div w:id="241570735">
          <w:marLeft w:val="0"/>
          <w:marRight w:val="0"/>
          <w:marTop w:val="0"/>
          <w:marBottom w:val="0"/>
          <w:divBdr>
            <w:top w:val="none" w:sz="0" w:space="0" w:color="auto"/>
            <w:left w:val="none" w:sz="0" w:space="0" w:color="auto"/>
            <w:bottom w:val="none" w:sz="0" w:space="0" w:color="auto"/>
            <w:right w:val="none" w:sz="0" w:space="0" w:color="auto"/>
          </w:divBdr>
        </w:div>
        <w:div w:id="807287891">
          <w:marLeft w:val="0"/>
          <w:marRight w:val="0"/>
          <w:marTop w:val="0"/>
          <w:marBottom w:val="0"/>
          <w:divBdr>
            <w:top w:val="none" w:sz="0" w:space="0" w:color="auto"/>
            <w:left w:val="none" w:sz="0" w:space="0" w:color="auto"/>
            <w:bottom w:val="none" w:sz="0" w:space="0" w:color="auto"/>
            <w:right w:val="none" w:sz="0" w:space="0" w:color="auto"/>
          </w:divBdr>
        </w:div>
        <w:div w:id="1304432047">
          <w:marLeft w:val="0"/>
          <w:marRight w:val="0"/>
          <w:marTop w:val="0"/>
          <w:marBottom w:val="0"/>
          <w:divBdr>
            <w:top w:val="none" w:sz="0" w:space="0" w:color="auto"/>
            <w:left w:val="none" w:sz="0" w:space="0" w:color="auto"/>
            <w:bottom w:val="none" w:sz="0" w:space="0" w:color="auto"/>
            <w:right w:val="none" w:sz="0" w:space="0" w:color="auto"/>
          </w:divBdr>
        </w:div>
        <w:div w:id="2094350440">
          <w:marLeft w:val="0"/>
          <w:marRight w:val="0"/>
          <w:marTop w:val="0"/>
          <w:marBottom w:val="0"/>
          <w:divBdr>
            <w:top w:val="none" w:sz="0" w:space="0" w:color="auto"/>
            <w:left w:val="none" w:sz="0" w:space="0" w:color="auto"/>
            <w:bottom w:val="none" w:sz="0" w:space="0" w:color="auto"/>
            <w:right w:val="none" w:sz="0" w:space="0" w:color="auto"/>
          </w:divBdr>
        </w:div>
        <w:div w:id="1714845044">
          <w:marLeft w:val="0"/>
          <w:marRight w:val="0"/>
          <w:marTop w:val="0"/>
          <w:marBottom w:val="0"/>
          <w:divBdr>
            <w:top w:val="none" w:sz="0" w:space="0" w:color="auto"/>
            <w:left w:val="none" w:sz="0" w:space="0" w:color="auto"/>
            <w:bottom w:val="none" w:sz="0" w:space="0" w:color="auto"/>
            <w:right w:val="none" w:sz="0" w:space="0" w:color="auto"/>
          </w:divBdr>
        </w:div>
        <w:div w:id="2097287347">
          <w:marLeft w:val="0"/>
          <w:marRight w:val="0"/>
          <w:marTop w:val="0"/>
          <w:marBottom w:val="0"/>
          <w:divBdr>
            <w:top w:val="none" w:sz="0" w:space="0" w:color="auto"/>
            <w:left w:val="none" w:sz="0" w:space="0" w:color="auto"/>
            <w:bottom w:val="none" w:sz="0" w:space="0" w:color="auto"/>
            <w:right w:val="none" w:sz="0" w:space="0" w:color="auto"/>
          </w:divBdr>
        </w:div>
        <w:div w:id="535583181">
          <w:marLeft w:val="0"/>
          <w:marRight w:val="0"/>
          <w:marTop w:val="0"/>
          <w:marBottom w:val="0"/>
          <w:divBdr>
            <w:top w:val="none" w:sz="0" w:space="0" w:color="auto"/>
            <w:left w:val="none" w:sz="0" w:space="0" w:color="auto"/>
            <w:bottom w:val="none" w:sz="0" w:space="0" w:color="auto"/>
            <w:right w:val="none" w:sz="0" w:space="0" w:color="auto"/>
          </w:divBdr>
        </w:div>
        <w:div w:id="967013306">
          <w:marLeft w:val="0"/>
          <w:marRight w:val="0"/>
          <w:marTop w:val="0"/>
          <w:marBottom w:val="0"/>
          <w:divBdr>
            <w:top w:val="none" w:sz="0" w:space="0" w:color="auto"/>
            <w:left w:val="none" w:sz="0" w:space="0" w:color="auto"/>
            <w:bottom w:val="none" w:sz="0" w:space="0" w:color="auto"/>
            <w:right w:val="none" w:sz="0" w:space="0" w:color="auto"/>
          </w:divBdr>
        </w:div>
        <w:div w:id="1633171290">
          <w:marLeft w:val="0"/>
          <w:marRight w:val="0"/>
          <w:marTop w:val="0"/>
          <w:marBottom w:val="0"/>
          <w:divBdr>
            <w:top w:val="none" w:sz="0" w:space="0" w:color="auto"/>
            <w:left w:val="none" w:sz="0" w:space="0" w:color="auto"/>
            <w:bottom w:val="none" w:sz="0" w:space="0" w:color="auto"/>
            <w:right w:val="none" w:sz="0" w:space="0" w:color="auto"/>
          </w:divBdr>
        </w:div>
        <w:div w:id="105781143">
          <w:marLeft w:val="0"/>
          <w:marRight w:val="0"/>
          <w:marTop w:val="0"/>
          <w:marBottom w:val="0"/>
          <w:divBdr>
            <w:top w:val="none" w:sz="0" w:space="0" w:color="auto"/>
            <w:left w:val="none" w:sz="0" w:space="0" w:color="auto"/>
            <w:bottom w:val="none" w:sz="0" w:space="0" w:color="auto"/>
            <w:right w:val="none" w:sz="0" w:space="0" w:color="auto"/>
          </w:divBdr>
        </w:div>
        <w:div w:id="174543862">
          <w:marLeft w:val="0"/>
          <w:marRight w:val="0"/>
          <w:marTop w:val="0"/>
          <w:marBottom w:val="0"/>
          <w:divBdr>
            <w:top w:val="none" w:sz="0" w:space="0" w:color="auto"/>
            <w:left w:val="none" w:sz="0" w:space="0" w:color="auto"/>
            <w:bottom w:val="none" w:sz="0" w:space="0" w:color="auto"/>
            <w:right w:val="none" w:sz="0" w:space="0" w:color="auto"/>
          </w:divBdr>
        </w:div>
        <w:div w:id="927421880">
          <w:marLeft w:val="0"/>
          <w:marRight w:val="0"/>
          <w:marTop w:val="0"/>
          <w:marBottom w:val="0"/>
          <w:divBdr>
            <w:top w:val="none" w:sz="0" w:space="0" w:color="auto"/>
            <w:left w:val="none" w:sz="0" w:space="0" w:color="auto"/>
            <w:bottom w:val="none" w:sz="0" w:space="0" w:color="auto"/>
            <w:right w:val="none" w:sz="0" w:space="0" w:color="auto"/>
          </w:divBdr>
        </w:div>
        <w:div w:id="638802339">
          <w:marLeft w:val="0"/>
          <w:marRight w:val="0"/>
          <w:marTop w:val="0"/>
          <w:marBottom w:val="0"/>
          <w:divBdr>
            <w:top w:val="none" w:sz="0" w:space="0" w:color="auto"/>
            <w:left w:val="none" w:sz="0" w:space="0" w:color="auto"/>
            <w:bottom w:val="none" w:sz="0" w:space="0" w:color="auto"/>
            <w:right w:val="none" w:sz="0" w:space="0" w:color="auto"/>
          </w:divBdr>
        </w:div>
        <w:div w:id="1478499680">
          <w:marLeft w:val="0"/>
          <w:marRight w:val="0"/>
          <w:marTop w:val="0"/>
          <w:marBottom w:val="0"/>
          <w:divBdr>
            <w:top w:val="none" w:sz="0" w:space="0" w:color="auto"/>
            <w:left w:val="none" w:sz="0" w:space="0" w:color="auto"/>
            <w:bottom w:val="none" w:sz="0" w:space="0" w:color="auto"/>
            <w:right w:val="none" w:sz="0" w:space="0" w:color="auto"/>
          </w:divBdr>
        </w:div>
        <w:div w:id="183043755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1843547377">
          <w:marLeft w:val="0"/>
          <w:marRight w:val="0"/>
          <w:marTop w:val="0"/>
          <w:marBottom w:val="0"/>
          <w:divBdr>
            <w:top w:val="none" w:sz="0" w:space="0" w:color="auto"/>
            <w:left w:val="none" w:sz="0" w:space="0" w:color="auto"/>
            <w:bottom w:val="none" w:sz="0" w:space="0" w:color="auto"/>
            <w:right w:val="none" w:sz="0" w:space="0" w:color="auto"/>
          </w:divBdr>
        </w:div>
        <w:div w:id="1413773064">
          <w:marLeft w:val="0"/>
          <w:marRight w:val="0"/>
          <w:marTop w:val="0"/>
          <w:marBottom w:val="0"/>
          <w:divBdr>
            <w:top w:val="none" w:sz="0" w:space="0" w:color="auto"/>
            <w:left w:val="none" w:sz="0" w:space="0" w:color="auto"/>
            <w:bottom w:val="none" w:sz="0" w:space="0" w:color="auto"/>
            <w:right w:val="none" w:sz="0" w:space="0" w:color="auto"/>
          </w:divBdr>
        </w:div>
        <w:div w:id="653066390">
          <w:marLeft w:val="0"/>
          <w:marRight w:val="0"/>
          <w:marTop w:val="0"/>
          <w:marBottom w:val="0"/>
          <w:divBdr>
            <w:top w:val="none" w:sz="0" w:space="0" w:color="auto"/>
            <w:left w:val="none" w:sz="0" w:space="0" w:color="auto"/>
            <w:bottom w:val="none" w:sz="0" w:space="0" w:color="auto"/>
            <w:right w:val="none" w:sz="0" w:space="0" w:color="auto"/>
          </w:divBdr>
        </w:div>
        <w:div w:id="1963533860">
          <w:marLeft w:val="0"/>
          <w:marRight w:val="0"/>
          <w:marTop w:val="0"/>
          <w:marBottom w:val="0"/>
          <w:divBdr>
            <w:top w:val="none" w:sz="0" w:space="0" w:color="auto"/>
            <w:left w:val="none" w:sz="0" w:space="0" w:color="auto"/>
            <w:bottom w:val="none" w:sz="0" w:space="0" w:color="auto"/>
            <w:right w:val="none" w:sz="0" w:space="0" w:color="auto"/>
          </w:divBdr>
        </w:div>
        <w:div w:id="1004740939">
          <w:marLeft w:val="0"/>
          <w:marRight w:val="0"/>
          <w:marTop w:val="0"/>
          <w:marBottom w:val="0"/>
          <w:divBdr>
            <w:top w:val="none" w:sz="0" w:space="0" w:color="auto"/>
            <w:left w:val="none" w:sz="0" w:space="0" w:color="auto"/>
            <w:bottom w:val="none" w:sz="0" w:space="0" w:color="auto"/>
            <w:right w:val="none" w:sz="0" w:space="0" w:color="auto"/>
          </w:divBdr>
        </w:div>
        <w:div w:id="1377047847">
          <w:marLeft w:val="0"/>
          <w:marRight w:val="0"/>
          <w:marTop w:val="0"/>
          <w:marBottom w:val="0"/>
          <w:divBdr>
            <w:top w:val="none" w:sz="0" w:space="0" w:color="auto"/>
            <w:left w:val="none" w:sz="0" w:space="0" w:color="auto"/>
            <w:bottom w:val="none" w:sz="0" w:space="0" w:color="auto"/>
            <w:right w:val="none" w:sz="0" w:space="0" w:color="auto"/>
          </w:divBdr>
        </w:div>
        <w:div w:id="426586171">
          <w:marLeft w:val="0"/>
          <w:marRight w:val="0"/>
          <w:marTop w:val="0"/>
          <w:marBottom w:val="0"/>
          <w:divBdr>
            <w:top w:val="none" w:sz="0" w:space="0" w:color="auto"/>
            <w:left w:val="none" w:sz="0" w:space="0" w:color="auto"/>
            <w:bottom w:val="none" w:sz="0" w:space="0" w:color="auto"/>
            <w:right w:val="none" w:sz="0" w:space="0" w:color="auto"/>
          </w:divBdr>
        </w:div>
        <w:div w:id="1777940936">
          <w:marLeft w:val="0"/>
          <w:marRight w:val="0"/>
          <w:marTop w:val="0"/>
          <w:marBottom w:val="0"/>
          <w:divBdr>
            <w:top w:val="none" w:sz="0" w:space="0" w:color="auto"/>
            <w:left w:val="none" w:sz="0" w:space="0" w:color="auto"/>
            <w:bottom w:val="none" w:sz="0" w:space="0" w:color="auto"/>
            <w:right w:val="none" w:sz="0" w:space="0" w:color="auto"/>
          </w:divBdr>
        </w:div>
        <w:div w:id="1234511686">
          <w:marLeft w:val="0"/>
          <w:marRight w:val="0"/>
          <w:marTop w:val="0"/>
          <w:marBottom w:val="0"/>
          <w:divBdr>
            <w:top w:val="none" w:sz="0" w:space="0" w:color="auto"/>
            <w:left w:val="none" w:sz="0" w:space="0" w:color="auto"/>
            <w:bottom w:val="none" w:sz="0" w:space="0" w:color="auto"/>
            <w:right w:val="none" w:sz="0" w:space="0" w:color="auto"/>
          </w:divBdr>
        </w:div>
        <w:div w:id="772479708">
          <w:marLeft w:val="0"/>
          <w:marRight w:val="0"/>
          <w:marTop w:val="0"/>
          <w:marBottom w:val="0"/>
          <w:divBdr>
            <w:top w:val="none" w:sz="0" w:space="0" w:color="auto"/>
            <w:left w:val="none" w:sz="0" w:space="0" w:color="auto"/>
            <w:bottom w:val="none" w:sz="0" w:space="0" w:color="auto"/>
            <w:right w:val="none" w:sz="0" w:space="0" w:color="auto"/>
          </w:divBdr>
        </w:div>
        <w:div w:id="2078935519">
          <w:marLeft w:val="0"/>
          <w:marRight w:val="0"/>
          <w:marTop w:val="0"/>
          <w:marBottom w:val="0"/>
          <w:divBdr>
            <w:top w:val="none" w:sz="0" w:space="0" w:color="auto"/>
            <w:left w:val="none" w:sz="0" w:space="0" w:color="auto"/>
            <w:bottom w:val="none" w:sz="0" w:space="0" w:color="auto"/>
            <w:right w:val="none" w:sz="0" w:space="0" w:color="auto"/>
          </w:divBdr>
        </w:div>
        <w:div w:id="834497677">
          <w:marLeft w:val="0"/>
          <w:marRight w:val="0"/>
          <w:marTop w:val="0"/>
          <w:marBottom w:val="0"/>
          <w:divBdr>
            <w:top w:val="none" w:sz="0" w:space="0" w:color="auto"/>
            <w:left w:val="none" w:sz="0" w:space="0" w:color="auto"/>
            <w:bottom w:val="none" w:sz="0" w:space="0" w:color="auto"/>
            <w:right w:val="none" w:sz="0" w:space="0" w:color="auto"/>
          </w:divBdr>
        </w:div>
        <w:div w:id="2016610349">
          <w:marLeft w:val="0"/>
          <w:marRight w:val="0"/>
          <w:marTop w:val="0"/>
          <w:marBottom w:val="0"/>
          <w:divBdr>
            <w:top w:val="none" w:sz="0" w:space="0" w:color="auto"/>
            <w:left w:val="none" w:sz="0" w:space="0" w:color="auto"/>
            <w:bottom w:val="none" w:sz="0" w:space="0" w:color="auto"/>
            <w:right w:val="none" w:sz="0" w:space="0" w:color="auto"/>
          </w:divBdr>
        </w:div>
        <w:div w:id="1078284555">
          <w:marLeft w:val="0"/>
          <w:marRight w:val="0"/>
          <w:marTop w:val="0"/>
          <w:marBottom w:val="0"/>
          <w:divBdr>
            <w:top w:val="none" w:sz="0" w:space="0" w:color="auto"/>
            <w:left w:val="none" w:sz="0" w:space="0" w:color="auto"/>
            <w:bottom w:val="none" w:sz="0" w:space="0" w:color="auto"/>
            <w:right w:val="none" w:sz="0" w:space="0" w:color="auto"/>
          </w:divBdr>
        </w:div>
        <w:div w:id="633603175">
          <w:marLeft w:val="0"/>
          <w:marRight w:val="0"/>
          <w:marTop w:val="0"/>
          <w:marBottom w:val="0"/>
          <w:divBdr>
            <w:top w:val="none" w:sz="0" w:space="0" w:color="auto"/>
            <w:left w:val="none" w:sz="0" w:space="0" w:color="auto"/>
            <w:bottom w:val="none" w:sz="0" w:space="0" w:color="auto"/>
            <w:right w:val="none" w:sz="0" w:space="0" w:color="auto"/>
          </w:divBdr>
        </w:div>
        <w:div w:id="1537084200">
          <w:marLeft w:val="0"/>
          <w:marRight w:val="0"/>
          <w:marTop w:val="0"/>
          <w:marBottom w:val="0"/>
          <w:divBdr>
            <w:top w:val="none" w:sz="0" w:space="0" w:color="auto"/>
            <w:left w:val="none" w:sz="0" w:space="0" w:color="auto"/>
            <w:bottom w:val="none" w:sz="0" w:space="0" w:color="auto"/>
            <w:right w:val="none" w:sz="0" w:space="0" w:color="auto"/>
          </w:divBdr>
        </w:div>
        <w:div w:id="326637871">
          <w:marLeft w:val="0"/>
          <w:marRight w:val="0"/>
          <w:marTop w:val="0"/>
          <w:marBottom w:val="0"/>
          <w:divBdr>
            <w:top w:val="none" w:sz="0" w:space="0" w:color="auto"/>
            <w:left w:val="none" w:sz="0" w:space="0" w:color="auto"/>
            <w:bottom w:val="none" w:sz="0" w:space="0" w:color="auto"/>
            <w:right w:val="none" w:sz="0" w:space="0" w:color="auto"/>
          </w:divBdr>
        </w:div>
        <w:div w:id="800029249">
          <w:marLeft w:val="0"/>
          <w:marRight w:val="0"/>
          <w:marTop w:val="0"/>
          <w:marBottom w:val="0"/>
          <w:divBdr>
            <w:top w:val="none" w:sz="0" w:space="0" w:color="auto"/>
            <w:left w:val="none" w:sz="0" w:space="0" w:color="auto"/>
            <w:bottom w:val="none" w:sz="0" w:space="0" w:color="auto"/>
            <w:right w:val="none" w:sz="0" w:space="0" w:color="auto"/>
          </w:divBdr>
        </w:div>
        <w:div w:id="693266337">
          <w:marLeft w:val="0"/>
          <w:marRight w:val="0"/>
          <w:marTop w:val="0"/>
          <w:marBottom w:val="0"/>
          <w:divBdr>
            <w:top w:val="none" w:sz="0" w:space="0" w:color="auto"/>
            <w:left w:val="none" w:sz="0" w:space="0" w:color="auto"/>
            <w:bottom w:val="none" w:sz="0" w:space="0" w:color="auto"/>
            <w:right w:val="none" w:sz="0" w:space="0" w:color="auto"/>
          </w:divBdr>
        </w:div>
        <w:div w:id="978151489">
          <w:marLeft w:val="0"/>
          <w:marRight w:val="0"/>
          <w:marTop w:val="0"/>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 w:id="27721806">
          <w:marLeft w:val="0"/>
          <w:marRight w:val="0"/>
          <w:marTop w:val="0"/>
          <w:marBottom w:val="0"/>
          <w:divBdr>
            <w:top w:val="none" w:sz="0" w:space="0" w:color="auto"/>
            <w:left w:val="none" w:sz="0" w:space="0" w:color="auto"/>
            <w:bottom w:val="none" w:sz="0" w:space="0" w:color="auto"/>
            <w:right w:val="none" w:sz="0" w:space="0" w:color="auto"/>
          </w:divBdr>
        </w:div>
        <w:div w:id="1001929755">
          <w:marLeft w:val="0"/>
          <w:marRight w:val="0"/>
          <w:marTop w:val="0"/>
          <w:marBottom w:val="0"/>
          <w:divBdr>
            <w:top w:val="none" w:sz="0" w:space="0" w:color="auto"/>
            <w:left w:val="none" w:sz="0" w:space="0" w:color="auto"/>
            <w:bottom w:val="none" w:sz="0" w:space="0" w:color="auto"/>
            <w:right w:val="none" w:sz="0" w:space="0" w:color="auto"/>
          </w:divBdr>
        </w:div>
        <w:div w:id="1988624387">
          <w:marLeft w:val="0"/>
          <w:marRight w:val="0"/>
          <w:marTop w:val="0"/>
          <w:marBottom w:val="0"/>
          <w:divBdr>
            <w:top w:val="none" w:sz="0" w:space="0" w:color="auto"/>
            <w:left w:val="none" w:sz="0" w:space="0" w:color="auto"/>
            <w:bottom w:val="none" w:sz="0" w:space="0" w:color="auto"/>
            <w:right w:val="none" w:sz="0" w:space="0" w:color="auto"/>
          </w:divBdr>
        </w:div>
        <w:div w:id="1894078727">
          <w:marLeft w:val="0"/>
          <w:marRight w:val="0"/>
          <w:marTop w:val="0"/>
          <w:marBottom w:val="0"/>
          <w:divBdr>
            <w:top w:val="none" w:sz="0" w:space="0" w:color="auto"/>
            <w:left w:val="none" w:sz="0" w:space="0" w:color="auto"/>
            <w:bottom w:val="none" w:sz="0" w:space="0" w:color="auto"/>
            <w:right w:val="none" w:sz="0" w:space="0" w:color="auto"/>
          </w:divBdr>
        </w:div>
        <w:div w:id="2029140438">
          <w:marLeft w:val="0"/>
          <w:marRight w:val="0"/>
          <w:marTop w:val="0"/>
          <w:marBottom w:val="0"/>
          <w:divBdr>
            <w:top w:val="none" w:sz="0" w:space="0" w:color="auto"/>
            <w:left w:val="none" w:sz="0" w:space="0" w:color="auto"/>
            <w:bottom w:val="none" w:sz="0" w:space="0" w:color="auto"/>
            <w:right w:val="none" w:sz="0" w:space="0" w:color="auto"/>
          </w:divBdr>
        </w:div>
        <w:div w:id="1437216309">
          <w:marLeft w:val="0"/>
          <w:marRight w:val="0"/>
          <w:marTop w:val="0"/>
          <w:marBottom w:val="0"/>
          <w:divBdr>
            <w:top w:val="none" w:sz="0" w:space="0" w:color="auto"/>
            <w:left w:val="none" w:sz="0" w:space="0" w:color="auto"/>
            <w:bottom w:val="none" w:sz="0" w:space="0" w:color="auto"/>
            <w:right w:val="none" w:sz="0" w:space="0" w:color="auto"/>
          </w:divBdr>
        </w:div>
        <w:div w:id="977806441">
          <w:marLeft w:val="0"/>
          <w:marRight w:val="0"/>
          <w:marTop w:val="0"/>
          <w:marBottom w:val="0"/>
          <w:divBdr>
            <w:top w:val="none" w:sz="0" w:space="0" w:color="auto"/>
            <w:left w:val="none" w:sz="0" w:space="0" w:color="auto"/>
            <w:bottom w:val="none" w:sz="0" w:space="0" w:color="auto"/>
            <w:right w:val="none" w:sz="0" w:space="0" w:color="auto"/>
          </w:divBdr>
        </w:div>
        <w:div w:id="1813520112">
          <w:marLeft w:val="0"/>
          <w:marRight w:val="0"/>
          <w:marTop w:val="0"/>
          <w:marBottom w:val="0"/>
          <w:divBdr>
            <w:top w:val="none" w:sz="0" w:space="0" w:color="auto"/>
            <w:left w:val="none" w:sz="0" w:space="0" w:color="auto"/>
            <w:bottom w:val="none" w:sz="0" w:space="0" w:color="auto"/>
            <w:right w:val="none" w:sz="0" w:space="0" w:color="auto"/>
          </w:divBdr>
        </w:div>
        <w:div w:id="1703020548">
          <w:marLeft w:val="0"/>
          <w:marRight w:val="0"/>
          <w:marTop w:val="0"/>
          <w:marBottom w:val="0"/>
          <w:divBdr>
            <w:top w:val="none" w:sz="0" w:space="0" w:color="auto"/>
            <w:left w:val="none" w:sz="0" w:space="0" w:color="auto"/>
            <w:bottom w:val="none" w:sz="0" w:space="0" w:color="auto"/>
            <w:right w:val="none" w:sz="0" w:space="0" w:color="auto"/>
          </w:divBdr>
        </w:div>
        <w:div w:id="58485574">
          <w:marLeft w:val="0"/>
          <w:marRight w:val="0"/>
          <w:marTop w:val="0"/>
          <w:marBottom w:val="0"/>
          <w:divBdr>
            <w:top w:val="none" w:sz="0" w:space="0" w:color="auto"/>
            <w:left w:val="none" w:sz="0" w:space="0" w:color="auto"/>
            <w:bottom w:val="none" w:sz="0" w:space="0" w:color="auto"/>
            <w:right w:val="none" w:sz="0" w:space="0" w:color="auto"/>
          </w:divBdr>
        </w:div>
        <w:div w:id="8456304">
          <w:marLeft w:val="0"/>
          <w:marRight w:val="0"/>
          <w:marTop w:val="0"/>
          <w:marBottom w:val="0"/>
          <w:divBdr>
            <w:top w:val="none" w:sz="0" w:space="0" w:color="auto"/>
            <w:left w:val="none" w:sz="0" w:space="0" w:color="auto"/>
            <w:bottom w:val="none" w:sz="0" w:space="0" w:color="auto"/>
            <w:right w:val="none" w:sz="0" w:space="0" w:color="auto"/>
          </w:divBdr>
        </w:div>
        <w:div w:id="923537965">
          <w:marLeft w:val="0"/>
          <w:marRight w:val="0"/>
          <w:marTop w:val="0"/>
          <w:marBottom w:val="0"/>
          <w:divBdr>
            <w:top w:val="none" w:sz="0" w:space="0" w:color="auto"/>
            <w:left w:val="none" w:sz="0" w:space="0" w:color="auto"/>
            <w:bottom w:val="none" w:sz="0" w:space="0" w:color="auto"/>
            <w:right w:val="none" w:sz="0" w:space="0" w:color="auto"/>
          </w:divBdr>
        </w:div>
      </w:divsChild>
    </w:div>
    <w:div w:id="1279679207">
      <w:bodyDiv w:val="1"/>
      <w:marLeft w:val="0"/>
      <w:marRight w:val="0"/>
      <w:marTop w:val="0"/>
      <w:marBottom w:val="0"/>
      <w:divBdr>
        <w:top w:val="none" w:sz="0" w:space="0" w:color="auto"/>
        <w:left w:val="none" w:sz="0" w:space="0" w:color="auto"/>
        <w:bottom w:val="none" w:sz="0" w:space="0" w:color="auto"/>
        <w:right w:val="none" w:sz="0" w:space="0" w:color="auto"/>
      </w:divBdr>
    </w:div>
    <w:div w:id="1426026382">
      <w:bodyDiv w:val="1"/>
      <w:marLeft w:val="0"/>
      <w:marRight w:val="0"/>
      <w:marTop w:val="0"/>
      <w:marBottom w:val="0"/>
      <w:divBdr>
        <w:top w:val="none" w:sz="0" w:space="0" w:color="auto"/>
        <w:left w:val="none" w:sz="0" w:space="0" w:color="auto"/>
        <w:bottom w:val="none" w:sz="0" w:space="0" w:color="auto"/>
        <w:right w:val="none" w:sz="0" w:space="0" w:color="auto"/>
      </w:divBdr>
    </w:div>
    <w:div w:id="1466266549">
      <w:bodyDiv w:val="1"/>
      <w:marLeft w:val="0"/>
      <w:marRight w:val="0"/>
      <w:marTop w:val="0"/>
      <w:marBottom w:val="0"/>
      <w:divBdr>
        <w:top w:val="none" w:sz="0" w:space="0" w:color="auto"/>
        <w:left w:val="none" w:sz="0" w:space="0" w:color="auto"/>
        <w:bottom w:val="none" w:sz="0" w:space="0" w:color="auto"/>
        <w:right w:val="none" w:sz="0" w:space="0" w:color="auto"/>
      </w:divBdr>
    </w:div>
    <w:div w:id="1708065365">
      <w:bodyDiv w:val="1"/>
      <w:marLeft w:val="0"/>
      <w:marRight w:val="0"/>
      <w:marTop w:val="0"/>
      <w:marBottom w:val="0"/>
      <w:divBdr>
        <w:top w:val="none" w:sz="0" w:space="0" w:color="auto"/>
        <w:left w:val="none" w:sz="0" w:space="0" w:color="auto"/>
        <w:bottom w:val="none" w:sz="0" w:space="0" w:color="auto"/>
        <w:right w:val="none" w:sz="0" w:space="0" w:color="auto"/>
      </w:divBdr>
    </w:div>
    <w:div w:id="1813476726">
      <w:bodyDiv w:val="1"/>
      <w:marLeft w:val="0"/>
      <w:marRight w:val="0"/>
      <w:marTop w:val="0"/>
      <w:marBottom w:val="0"/>
      <w:divBdr>
        <w:top w:val="none" w:sz="0" w:space="0" w:color="auto"/>
        <w:left w:val="none" w:sz="0" w:space="0" w:color="auto"/>
        <w:bottom w:val="none" w:sz="0" w:space="0" w:color="auto"/>
        <w:right w:val="none" w:sz="0" w:space="0" w:color="auto"/>
      </w:divBdr>
      <w:divsChild>
        <w:div w:id="1510873638">
          <w:marLeft w:val="0"/>
          <w:marRight w:val="0"/>
          <w:marTop w:val="0"/>
          <w:marBottom w:val="0"/>
          <w:divBdr>
            <w:top w:val="none" w:sz="0" w:space="0" w:color="auto"/>
            <w:left w:val="none" w:sz="0" w:space="0" w:color="auto"/>
            <w:bottom w:val="none" w:sz="0" w:space="0" w:color="auto"/>
            <w:right w:val="none" w:sz="0" w:space="0" w:color="auto"/>
          </w:divBdr>
        </w:div>
        <w:div w:id="1142305540">
          <w:marLeft w:val="0"/>
          <w:marRight w:val="0"/>
          <w:marTop w:val="0"/>
          <w:marBottom w:val="0"/>
          <w:divBdr>
            <w:top w:val="none" w:sz="0" w:space="0" w:color="auto"/>
            <w:left w:val="none" w:sz="0" w:space="0" w:color="auto"/>
            <w:bottom w:val="none" w:sz="0" w:space="0" w:color="auto"/>
            <w:right w:val="none" w:sz="0" w:space="0" w:color="auto"/>
          </w:divBdr>
        </w:div>
        <w:div w:id="629286334">
          <w:marLeft w:val="0"/>
          <w:marRight w:val="0"/>
          <w:marTop w:val="0"/>
          <w:marBottom w:val="0"/>
          <w:divBdr>
            <w:top w:val="none" w:sz="0" w:space="0" w:color="auto"/>
            <w:left w:val="none" w:sz="0" w:space="0" w:color="auto"/>
            <w:bottom w:val="none" w:sz="0" w:space="0" w:color="auto"/>
            <w:right w:val="none" w:sz="0" w:space="0" w:color="auto"/>
          </w:divBdr>
        </w:div>
        <w:div w:id="131336901">
          <w:marLeft w:val="0"/>
          <w:marRight w:val="0"/>
          <w:marTop w:val="0"/>
          <w:marBottom w:val="0"/>
          <w:divBdr>
            <w:top w:val="none" w:sz="0" w:space="0" w:color="auto"/>
            <w:left w:val="none" w:sz="0" w:space="0" w:color="auto"/>
            <w:bottom w:val="none" w:sz="0" w:space="0" w:color="auto"/>
            <w:right w:val="none" w:sz="0" w:space="0" w:color="auto"/>
          </w:divBdr>
        </w:div>
        <w:div w:id="1027409657">
          <w:marLeft w:val="0"/>
          <w:marRight w:val="0"/>
          <w:marTop w:val="0"/>
          <w:marBottom w:val="0"/>
          <w:divBdr>
            <w:top w:val="none" w:sz="0" w:space="0" w:color="auto"/>
            <w:left w:val="none" w:sz="0" w:space="0" w:color="auto"/>
            <w:bottom w:val="none" w:sz="0" w:space="0" w:color="auto"/>
            <w:right w:val="none" w:sz="0" w:space="0" w:color="auto"/>
          </w:divBdr>
        </w:div>
        <w:div w:id="2044093181">
          <w:marLeft w:val="0"/>
          <w:marRight w:val="0"/>
          <w:marTop w:val="0"/>
          <w:marBottom w:val="0"/>
          <w:divBdr>
            <w:top w:val="none" w:sz="0" w:space="0" w:color="auto"/>
            <w:left w:val="none" w:sz="0" w:space="0" w:color="auto"/>
            <w:bottom w:val="none" w:sz="0" w:space="0" w:color="auto"/>
            <w:right w:val="none" w:sz="0" w:space="0" w:color="auto"/>
          </w:divBdr>
        </w:div>
        <w:div w:id="551422684">
          <w:marLeft w:val="0"/>
          <w:marRight w:val="0"/>
          <w:marTop w:val="0"/>
          <w:marBottom w:val="0"/>
          <w:divBdr>
            <w:top w:val="none" w:sz="0" w:space="0" w:color="auto"/>
            <w:left w:val="none" w:sz="0" w:space="0" w:color="auto"/>
            <w:bottom w:val="none" w:sz="0" w:space="0" w:color="auto"/>
            <w:right w:val="none" w:sz="0" w:space="0" w:color="auto"/>
          </w:divBdr>
        </w:div>
        <w:div w:id="454372311">
          <w:marLeft w:val="0"/>
          <w:marRight w:val="0"/>
          <w:marTop w:val="0"/>
          <w:marBottom w:val="0"/>
          <w:divBdr>
            <w:top w:val="none" w:sz="0" w:space="0" w:color="auto"/>
            <w:left w:val="none" w:sz="0" w:space="0" w:color="auto"/>
            <w:bottom w:val="none" w:sz="0" w:space="0" w:color="auto"/>
            <w:right w:val="none" w:sz="0" w:space="0" w:color="auto"/>
          </w:divBdr>
        </w:div>
        <w:div w:id="1588810718">
          <w:marLeft w:val="0"/>
          <w:marRight w:val="0"/>
          <w:marTop w:val="0"/>
          <w:marBottom w:val="0"/>
          <w:divBdr>
            <w:top w:val="none" w:sz="0" w:space="0" w:color="auto"/>
            <w:left w:val="none" w:sz="0" w:space="0" w:color="auto"/>
            <w:bottom w:val="none" w:sz="0" w:space="0" w:color="auto"/>
            <w:right w:val="none" w:sz="0" w:space="0" w:color="auto"/>
          </w:divBdr>
        </w:div>
        <w:div w:id="64500126">
          <w:marLeft w:val="0"/>
          <w:marRight w:val="0"/>
          <w:marTop w:val="0"/>
          <w:marBottom w:val="0"/>
          <w:divBdr>
            <w:top w:val="none" w:sz="0" w:space="0" w:color="auto"/>
            <w:left w:val="none" w:sz="0" w:space="0" w:color="auto"/>
            <w:bottom w:val="none" w:sz="0" w:space="0" w:color="auto"/>
            <w:right w:val="none" w:sz="0" w:space="0" w:color="auto"/>
          </w:divBdr>
        </w:div>
        <w:div w:id="87236202">
          <w:marLeft w:val="0"/>
          <w:marRight w:val="0"/>
          <w:marTop w:val="0"/>
          <w:marBottom w:val="0"/>
          <w:divBdr>
            <w:top w:val="none" w:sz="0" w:space="0" w:color="auto"/>
            <w:left w:val="none" w:sz="0" w:space="0" w:color="auto"/>
            <w:bottom w:val="none" w:sz="0" w:space="0" w:color="auto"/>
            <w:right w:val="none" w:sz="0" w:space="0" w:color="auto"/>
          </w:divBdr>
        </w:div>
        <w:div w:id="1432774556">
          <w:marLeft w:val="0"/>
          <w:marRight w:val="0"/>
          <w:marTop w:val="0"/>
          <w:marBottom w:val="0"/>
          <w:divBdr>
            <w:top w:val="none" w:sz="0" w:space="0" w:color="auto"/>
            <w:left w:val="none" w:sz="0" w:space="0" w:color="auto"/>
            <w:bottom w:val="none" w:sz="0" w:space="0" w:color="auto"/>
            <w:right w:val="none" w:sz="0" w:space="0" w:color="auto"/>
          </w:divBdr>
        </w:div>
        <w:div w:id="1751349781">
          <w:marLeft w:val="0"/>
          <w:marRight w:val="0"/>
          <w:marTop w:val="0"/>
          <w:marBottom w:val="0"/>
          <w:divBdr>
            <w:top w:val="none" w:sz="0" w:space="0" w:color="auto"/>
            <w:left w:val="none" w:sz="0" w:space="0" w:color="auto"/>
            <w:bottom w:val="none" w:sz="0" w:space="0" w:color="auto"/>
            <w:right w:val="none" w:sz="0" w:space="0" w:color="auto"/>
          </w:divBdr>
        </w:div>
        <w:div w:id="578173913">
          <w:marLeft w:val="0"/>
          <w:marRight w:val="0"/>
          <w:marTop w:val="0"/>
          <w:marBottom w:val="0"/>
          <w:divBdr>
            <w:top w:val="none" w:sz="0" w:space="0" w:color="auto"/>
            <w:left w:val="none" w:sz="0" w:space="0" w:color="auto"/>
            <w:bottom w:val="none" w:sz="0" w:space="0" w:color="auto"/>
            <w:right w:val="none" w:sz="0" w:space="0" w:color="auto"/>
          </w:divBdr>
        </w:div>
        <w:div w:id="420493976">
          <w:marLeft w:val="0"/>
          <w:marRight w:val="0"/>
          <w:marTop w:val="0"/>
          <w:marBottom w:val="0"/>
          <w:divBdr>
            <w:top w:val="none" w:sz="0" w:space="0" w:color="auto"/>
            <w:left w:val="none" w:sz="0" w:space="0" w:color="auto"/>
            <w:bottom w:val="none" w:sz="0" w:space="0" w:color="auto"/>
            <w:right w:val="none" w:sz="0" w:space="0" w:color="auto"/>
          </w:divBdr>
        </w:div>
        <w:div w:id="1880819566">
          <w:marLeft w:val="0"/>
          <w:marRight w:val="0"/>
          <w:marTop w:val="0"/>
          <w:marBottom w:val="0"/>
          <w:divBdr>
            <w:top w:val="none" w:sz="0" w:space="0" w:color="auto"/>
            <w:left w:val="none" w:sz="0" w:space="0" w:color="auto"/>
            <w:bottom w:val="none" w:sz="0" w:space="0" w:color="auto"/>
            <w:right w:val="none" w:sz="0" w:space="0" w:color="auto"/>
          </w:divBdr>
        </w:div>
        <w:div w:id="547256268">
          <w:marLeft w:val="0"/>
          <w:marRight w:val="0"/>
          <w:marTop w:val="0"/>
          <w:marBottom w:val="0"/>
          <w:divBdr>
            <w:top w:val="none" w:sz="0" w:space="0" w:color="auto"/>
            <w:left w:val="none" w:sz="0" w:space="0" w:color="auto"/>
            <w:bottom w:val="none" w:sz="0" w:space="0" w:color="auto"/>
            <w:right w:val="none" w:sz="0" w:space="0" w:color="auto"/>
          </w:divBdr>
        </w:div>
        <w:div w:id="1974406402">
          <w:marLeft w:val="0"/>
          <w:marRight w:val="0"/>
          <w:marTop w:val="0"/>
          <w:marBottom w:val="0"/>
          <w:divBdr>
            <w:top w:val="none" w:sz="0" w:space="0" w:color="auto"/>
            <w:left w:val="none" w:sz="0" w:space="0" w:color="auto"/>
            <w:bottom w:val="none" w:sz="0" w:space="0" w:color="auto"/>
            <w:right w:val="none" w:sz="0" w:space="0" w:color="auto"/>
          </w:divBdr>
        </w:div>
        <w:div w:id="373384951">
          <w:marLeft w:val="0"/>
          <w:marRight w:val="0"/>
          <w:marTop w:val="0"/>
          <w:marBottom w:val="0"/>
          <w:divBdr>
            <w:top w:val="none" w:sz="0" w:space="0" w:color="auto"/>
            <w:left w:val="none" w:sz="0" w:space="0" w:color="auto"/>
            <w:bottom w:val="none" w:sz="0" w:space="0" w:color="auto"/>
            <w:right w:val="none" w:sz="0" w:space="0" w:color="auto"/>
          </w:divBdr>
        </w:div>
        <w:div w:id="1208688642">
          <w:marLeft w:val="0"/>
          <w:marRight w:val="0"/>
          <w:marTop w:val="0"/>
          <w:marBottom w:val="0"/>
          <w:divBdr>
            <w:top w:val="none" w:sz="0" w:space="0" w:color="auto"/>
            <w:left w:val="none" w:sz="0" w:space="0" w:color="auto"/>
            <w:bottom w:val="none" w:sz="0" w:space="0" w:color="auto"/>
            <w:right w:val="none" w:sz="0" w:space="0" w:color="auto"/>
          </w:divBdr>
        </w:div>
        <w:div w:id="239103092">
          <w:marLeft w:val="0"/>
          <w:marRight w:val="0"/>
          <w:marTop w:val="0"/>
          <w:marBottom w:val="0"/>
          <w:divBdr>
            <w:top w:val="none" w:sz="0" w:space="0" w:color="auto"/>
            <w:left w:val="none" w:sz="0" w:space="0" w:color="auto"/>
            <w:bottom w:val="none" w:sz="0" w:space="0" w:color="auto"/>
            <w:right w:val="none" w:sz="0" w:space="0" w:color="auto"/>
          </w:divBdr>
        </w:div>
        <w:div w:id="1289043935">
          <w:marLeft w:val="0"/>
          <w:marRight w:val="0"/>
          <w:marTop w:val="0"/>
          <w:marBottom w:val="0"/>
          <w:divBdr>
            <w:top w:val="none" w:sz="0" w:space="0" w:color="auto"/>
            <w:left w:val="none" w:sz="0" w:space="0" w:color="auto"/>
            <w:bottom w:val="none" w:sz="0" w:space="0" w:color="auto"/>
            <w:right w:val="none" w:sz="0" w:space="0" w:color="auto"/>
          </w:divBdr>
        </w:div>
        <w:div w:id="1913270302">
          <w:marLeft w:val="0"/>
          <w:marRight w:val="0"/>
          <w:marTop w:val="0"/>
          <w:marBottom w:val="0"/>
          <w:divBdr>
            <w:top w:val="none" w:sz="0" w:space="0" w:color="auto"/>
            <w:left w:val="none" w:sz="0" w:space="0" w:color="auto"/>
            <w:bottom w:val="none" w:sz="0" w:space="0" w:color="auto"/>
            <w:right w:val="none" w:sz="0" w:space="0" w:color="auto"/>
          </w:divBdr>
        </w:div>
        <w:div w:id="2119058193">
          <w:marLeft w:val="0"/>
          <w:marRight w:val="0"/>
          <w:marTop w:val="0"/>
          <w:marBottom w:val="0"/>
          <w:divBdr>
            <w:top w:val="none" w:sz="0" w:space="0" w:color="auto"/>
            <w:left w:val="none" w:sz="0" w:space="0" w:color="auto"/>
            <w:bottom w:val="none" w:sz="0" w:space="0" w:color="auto"/>
            <w:right w:val="none" w:sz="0" w:space="0" w:color="auto"/>
          </w:divBdr>
        </w:div>
        <w:div w:id="1840777957">
          <w:marLeft w:val="0"/>
          <w:marRight w:val="0"/>
          <w:marTop w:val="0"/>
          <w:marBottom w:val="0"/>
          <w:divBdr>
            <w:top w:val="none" w:sz="0" w:space="0" w:color="auto"/>
            <w:left w:val="none" w:sz="0" w:space="0" w:color="auto"/>
            <w:bottom w:val="none" w:sz="0" w:space="0" w:color="auto"/>
            <w:right w:val="none" w:sz="0" w:space="0" w:color="auto"/>
          </w:divBdr>
        </w:div>
      </w:divsChild>
    </w:div>
    <w:div w:id="1821775425">
      <w:bodyDiv w:val="1"/>
      <w:marLeft w:val="0"/>
      <w:marRight w:val="0"/>
      <w:marTop w:val="0"/>
      <w:marBottom w:val="0"/>
      <w:divBdr>
        <w:top w:val="none" w:sz="0" w:space="0" w:color="auto"/>
        <w:left w:val="none" w:sz="0" w:space="0" w:color="auto"/>
        <w:bottom w:val="none" w:sz="0" w:space="0" w:color="auto"/>
        <w:right w:val="none" w:sz="0" w:space="0" w:color="auto"/>
      </w:divBdr>
    </w:div>
    <w:div w:id="1870289909">
      <w:bodyDiv w:val="1"/>
      <w:marLeft w:val="0"/>
      <w:marRight w:val="0"/>
      <w:marTop w:val="0"/>
      <w:marBottom w:val="0"/>
      <w:divBdr>
        <w:top w:val="none" w:sz="0" w:space="0" w:color="auto"/>
        <w:left w:val="none" w:sz="0" w:space="0" w:color="auto"/>
        <w:bottom w:val="none" w:sz="0" w:space="0" w:color="auto"/>
        <w:right w:val="none" w:sz="0" w:space="0" w:color="auto"/>
      </w:divBdr>
    </w:div>
    <w:div w:id="1953122466">
      <w:bodyDiv w:val="1"/>
      <w:marLeft w:val="0"/>
      <w:marRight w:val="0"/>
      <w:marTop w:val="0"/>
      <w:marBottom w:val="0"/>
      <w:divBdr>
        <w:top w:val="none" w:sz="0" w:space="0" w:color="auto"/>
        <w:left w:val="none" w:sz="0" w:space="0" w:color="auto"/>
        <w:bottom w:val="none" w:sz="0" w:space="0" w:color="auto"/>
        <w:right w:val="none" w:sz="0" w:space="0" w:color="auto"/>
      </w:divBdr>
    </w:div>
    <w:div w:id="1982806131">
      <w:bodyDiv w:val="1"/>
      <w:marLeft w:val="0"/>
      <w:marRight w:val="0"/>
      <w:marTop w:val="0"/>
      <w:marBottom w:val="0"/>
      <w:divBdr>
        <w:top w:val="none" w:sz="0" w:space="0" w:color="auto"/>
        <w:left w:val="none" w:sz="0" w:space="0" w:color="auto"/>
        <w:bottom w:val="none" w:sz="0" w:space="0" w:color="auto"/>
        <w:right w:val="none" w:sz="0" w:space="0" w:color="auto"/>
      </w:divBdr>
    </w:div>
    <w:div w:id="20239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aobrien2\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BA906296274A4EBA33AD590DCEFA74" ma:contentTypeVersion="2" ma:contentTypeDescription="Create a new document." ma:contentTypeScope="" ma:versionID="653ad0eb5faff2cd9caefe413696b224">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8F45C-7397-4B81-AE82-6577B756FF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8B4992-059D-40CD-94FC-82C054F39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0FFFC-F96B-4CFC-ADD3-5ECF76BF7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B40DF9-BC74-4345-A7C2-764A958DEE49}">
  <ds:schemaRefs>
    <ds:schemaRef ds:uri="http://schemas.microsoft.com/sharepoint/v3/contenttype/forms"/>
  </ds:schemaRefs>
</ds:datastoreItem>
</file>

<file path=customXml/itemProps5.xml><?xml version="1.0" encoding="utf-8"?>
<ds:datastoreItem xmlns:ds="http://schemas.openxmlformats.org/officeDocument/2006/customXml" ds:itemID="{2F099B29-4EB3-445C-8EBD-BAF4EDE5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Template>
  <TotalTime>4</TotalTime>
  <Pages>21</Pages>
  <Words>7281</Words>
  <Characters>41504</Characters>
  <Application>Microsoft Office Word</Application>
  <DocSecurity>0</DocSecurity>
  <Lines>345</Lines>
  <Paragraphs>97</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The proposal of all Transmission System Operators performing the reserve replacement for the implementation framework for the exchange of balancing energy from Replacement Reserves in accordance with Article 19 of Commission Regulation (EU) 2017/2195 of 2</vt:lpstr>
      <vt:lpstr>The proposal of all Transmission System Operators performing the reserve replacement for the implementation framework for the exchange of balancing energy from Replacement Reserves in accordance with Article 19 of Commission Regulation (EU) 2017/2195 of 2</vt:lpstr>
      <vt:lpstr>The proposal of all Transmission System Operators performing the reserve replacement for the implementation framework for the exchange of balancing energy from Replacement Reserves in accordance with Article 19 of Commission Regulation (EU) 2017/2195 of 2</vt:lpstr>
    </vt:vector>
  </TitlesOfParts>
  <Company>Svenska Kraftnät</Company>
  <LinksUpToDate>false</LinksUpToDate>
  <CharactersWithSpaces>48688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proposal of all Transmission System Operators performing the reserve replacement for the implementation framework for the exchange of balancing energy from Replacement Reserves in accordance with Article 19 of Commission Regulation (EU) 2017/2195 of 2</dc:title>
  <dc:creator>Pieter-Jan Marsboom</dc:creator>
  <cp:lastModifiedBy>Ricardo Renedo Williams</cp:lastModifiedBy>
  <cp:revision>2</cp:revision>
  <cp:lastPrinted>2018-01-15T08:57:00Z</cp:lastPrinted>
  <dcterms:created xsi:type="dcterms:W3CDTF">2020-09-18T13:32:00Z</dcterms:created>
  <dcterms:modified xsi:type="dcterms:W3CDTF">2020-09-18T13:32:00Z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0x01010056BA906296274A4EBA33AD590DCEFA74</vt:lpwstr>
  </property>
  <property fmtid="{D5CDD505-2E9C-101B-9397-08002B2CF9AE}" pid="4" name="m21e1f176c4a4ad491d679d83442a8a3">
    <vt:lpwstr/>
  </property>
  <property fmtid="{D5CDD505-2E9C-101B-9397-08002B2CF9AE}" pid="5" name="b">
    <vt:lpwstr/>
  </property>
  <property fmtid="{D5CDD505-2E9C-101B-9397-08002B2CF9AE}" pid="6" name="Addo_DocID">
    <vt:lpwstr>d73c2d92-7b3e-411a-ba81-34805e613ae0</vt:lpwstr>
  </property>
  <property fmtid="{D5CDD505-2E9C-101B-9397-08002B2CF9AE}" pid="7" name="docIndexRef">
    <vt:lpwstr>d2e2abb5-d567-490a-825d-040c28538126</vt:lpwstr>
  </property>
  <property fmtid="{D5CDD505-2E9C-101B-9397-08002B2CF9AE}" pid="8" name="bjSaver">
    <vt:lpwstr>HsVPKqL1QSwtygYIqPOTev9BAaSV9JK2</vt:lpwstr>
  </property>
  <property fmtid="{D5CDD505-2E9C-101B-9397-08002B2CF9AE}" pid="9" name="bjDocumentSecurityLabel">
    <vt:lpwstr>This item has no classification</vt:lpwstr>
  </property>
</Properties>
</file>